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71120</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40" w:type="dxa"/>
            <w:vAlign w:val="bottom"/>
          </w:tcPr>
          <w:p>
            <w:pPr>
              <w:jc w:val="center"/>
              <w:ind w:left="1084"/>
              <w:spacing w:after="0"/>
              <w:rPr>
                <w:sz w:val="20"/>
                <w:szCs w:val="20"/>
                <w:color w:val="auto"/>
              </w:rPr>
            </w:pPr>
            <w:r>
              <w:rPr>
                <w:rFonts w:ascii="Times New Roman" w:cs="Times New Roman" w:eastAsia="Times New Roman" w:hAnsi="Times New Roman"/>
                <w:sz w:val="18"/>
                <w:szCs w:val="18"/>
                <w:b w:val="1"/>
                <w:bCs w:val="1"/>
                <w:color w:val="auto"/>
                <w:w w:val="99"/>
              </w:rPr>
              <w:t>001-11625</w:t>
            </w:r>
          </w:p>
        </w:tc>
        <w:tc>
          <w:tcPr>
            <w:tcW w:w="3280" w:type="dxa"/>
            <w:vAlign w:val="bottom"/>
          </w:tcPr>
          <w:p>
            <w:pPr>
              <w:jc w:val="center"/>
              <w:ind w:left="2144"/>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149"/>
        </w:trPr>
        <w:tc>
          <w:tcPr>
            <w:tcW w:w="244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3280" w:type="dxa"/>
            <w:vAlign w:val="bottom"/>
          </w:tcPr>
          <w:p>
            <w:pPr>
              <w:jc w:val="center"/>
              <w:ind w:left="214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4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File No.)</w:t>
            </w:r>
          </w:p>
        </w:tc>
        <w:tc>
          <w:tcPr>
            <w:tcW w:w="3280" w:type="dxa"/>
            <w:vAlign w:val="bottom"/>
          </w:tcPr>
          <w:p>
            <w:pPr>
              <w:jc w:val="center"/>
              <w:ind w:left="212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41"/>
        </w:trPr>
        <w:tc>
          <w:tcPr>
            <w:tcW w:w="8860" w:type="dxa"/>
            <w:vAlign w:val="bottom"/>
            <w:gridSpan w:val="3"/>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Regal House, 70 London Road, Twickenham, London, TW13QS United Kingdom</w:t>
            </w:r>
          </w:p>
        </w:tc>
      </w:tr>
      <w:tr>
        <w:trPr>
          <w:trHeight w:val="188"/>
        </w:trPr>
        <w:tc>
          <w:tcPr>
            <w:tcW w:w="2440" w:type="dxa"/>
            <w:vAlign w:val="bottom"/>
          </w:tcPr>
          <w:p>
            <w:pPr>
              <w:spacing w:after="0"/>
              <w:rPr>
                <w:sz w:val="16"/>
                <w:szCs w:val="16"/>
                <w:color w:val="auto"/>
              </w:rPr>
            </w:pPr>
          </w:p>
        </w:tc>
        <w:tc>
          <w:tcPr>
            <w:tcW w:w="3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9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4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60" w:type="dxa"/>
            <w:vAlign w:val="bottom"/>
          </w:tcPr>
          <w:p>
            <w:pPr>
              <w:spacing w:after="0"/>
              <w:rPr>
                <w:sz w:val="19"/>
                <w:szCs w:val="19"/>
                <w:color w:val="auto"/>
              </w:rPr>
            </w:pPr>
          </w:p>
        </w:tc>
        <w:tc>
          <w:tcPr>
            <w:tcW w:w="4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42545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2026, Pentair plc (the “Company”) issued a press release announcing its earnings for the first quarter of 2026 and a conference call in connection therewith. A copy of the release is attached hereto as Exhibit 99.1 and incorporated herein by reference.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refers to certain non-generally accepted accounting principles (“GAAP”) financial measures (core sales, adjusted operating income, adjusted return on sales, adjusted net income from continuing operations, adjusted diluted earnings per share from continuing operations and free cash flow) and a reconciliation of those non-GAAP financial measures to the corresponding financial measures contained in the Company’s financial statements prepared in accordance with GAAP.</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2026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and certain tax items. The 2025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loss on sale of business, deal-related costs and expenses, pension and other post-retirement mark-to-market loss and certain tax items.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term “core sales” to refer to GAAP net sales from continuing operations excluding (1) the impact of currency translation and (2) the impact of net sales from acquired businesses recorded prior to the first anniversary of the acquisition, excluding the excess over prior year net sales of the acquired business less the net sales attributable to discontinued or divested businesses/product lines not considered discontinued operations (“acquisition sales”). The portion of GAAP net sales attributable to currency translation is calculated as the difference between (a) the period-to-period change in net sales (excluding acquisition sales) and (b) the period-to-period change in net sales (excluding acquisition sales) after applying current period foreign exchange rates to the prior year period. We use the term “core sales growth” to refer to the measure of comparing current period core net sales with the corresponding period of the prior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free cash flow to assess its cash flow performance. The Company believes free cash flow is an important measure of liquidity because it provides the Company and its investors a measurement of cash generated from operations that is available to pay dividends, repurchase shares and repay debt. In addition, free cash flow is used as a criterion to measure and pay annual incentive compensation. The Company’s measure of free cash flow may not be comparable to similarly titled measures reported by other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80" w:right="7420" w:hanging="329"/>
        <w:spacing w:after="0" w:line="375" w:lineRule="auto"/>
        <w:tabs>
          <w:tab w:leader="none" w:pos="5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580" w:right="8280" w:hanging="329"/>
        <w:spacing w:after="0" w:line="375" w:lineRule="auto"/>
        <w:tabs>
          <w:tab w:leader="none" w:pos="5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580" w:right="8600" w:hanging="329"/>
        <w:spacing w:after="0" w:line="397" w:lineRule="auto"/>
        <w:tabs>
          <w:tab w:leader="none" w:pos="57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spacing w:after="0" w:line="1" w:lineRule="exact"/>
        <w:rPr>
          <w:rFonts w:ascii="Times New Roman" w:cs="Times New Roman" w:eastAsia="Times New Roman" w:hAnsi="Times New Roman"/>
          <w:sz w:val="17"/>
          <w:szCs w:val="17"/>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6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Pentair plc press release dated April 28, 2026 announcing earnings for the first quarter of 2026</w:t>
      </w:r>
    </w:p>
    <w:p>
      <w:pPr>
        <w:spacing w:after="0" w:line="23" w:lineRule="exact"/>
        <w:rPr>
          <w:sz w:val="20"/>
          <w:szCs w:val="20"/>
          <w:color w:val="auto"/>
        </w:rPr>
      </w:pPr>
    </w:p>
    <w:p>
      <w:pPr>
        <w:ind w:left="1480" w:hanging="709"/>
        <w:spacing w:after="0"/>
        <w:tabs>
          <w:tab w:leader="none" w:pos="1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April 28, 2026.</w:t>
      </w:r>
    </w:p>
    <w:p>
      <w:pPr>
        <w:spacing w:after="0" w:line="9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Nicholas J.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Nicholas J. Brazis</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3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6278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Pentair Reports Strong First Quarter 2026 Results</w:t>
      </w:r>
    </w:p>
    <w:p>
      <w:pPr>
        <w:spacing w:after="0" w:line="16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$1,037 million, up 3 percent compared to sales for the same period last year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$210 million with ROS of 20.3 percent, an increase of 20 basis points compared to the prior year period; on an adjusted basis, ROS expanded 100 basis points to 25.0 percent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increased 5 percent to $0.98 when compared to the prior year period and adjusted EPS rose 10 percent to $1.22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$200 million of ordinary shares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updated its full year 2026 GAAP EPS guidance to approximately $4.83 to $4.93, up 23 percent to 25 percent versus the prior year, and updated EPS guidance on an adjusted basis to approximately $5.30 to $5.40, up 8 percent to 10 percent versus the prior year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Reconciliations of GAAP to Non-GAAP measures are in the attached financial tables.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LONDON, United Kingdom — April 28, 2026 — Pentair plc (NYSE: PNR), a leader in helping the world sustainably move, improve and enjoy water, life’s most essential resource, today announced first quarter 2026 sales of $1,037 million. Sales were up 3 percent compared to sales for the same period last year. Excluding currency translation, acquisitions and divestitures, core sales grew 1 percent in the first quarter. First quarter 2026 earnings per diluted share from continuing operations (“EPS”) were $0.98 compared to $0.93 in the first quarter of 2025, a 5 percent increase. On an adjusted basis, the Company reported first quarter 2026 EPS of $1.22 compared to $1.11 in the first quarter of 2025, reflecting a 10 percent increase. Adjusted operating income, reportable segment income, adjusted net income, free cash flow and adjusted EPS are described in the attached schedules.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L. Stauch, Pentair’s President and Chief Executive Officer commented, “Continued execution across our Move, Improve and Enjoy Water portfolio led by our Pentair Business System initiatives drove another quarter of sales and earnings growth, and delivered strong productivity and margin expansion. At our recent Investor Day in March, we provided our target long-term growth algorithm detailing our organic growth strategy and continued margin expansion opportunity over the next three years. We believe we have structurally changed our business model into a resilient and balanced water portfolio to drive durable earnings growth long term and mitigate the impacts of economic cyclicality. Our strategy has guided us to deliver breakthrough innovation, invest in organic growth, drive strong financial performance and return capital to shareholders. With a solid balance sheet, strong cash flow, a balanced capital deployment strategy and a resilient water portfolio, we remain focused on delivering long-term shareholder value.”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quarter 2026 operating income was $210 million, up 3 percent compared to operating income for the first quarter of 2025, and return on sales (“ROS”) was 20.3 percent, an increase of 20 basis points when compared to the first quarter of 2025. On an adjusted basis, the Company had adjusted operating income of $259 million for the first quarter of 2026, up 7 percent compared to adjusted operating income for the first quarter of 2025, and ROS was 25.0 percent, an increase of 100 basis points when compared to the first quarter of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Flow sales were up 11 percent compared to sales for the same period last year. Excluding currency translation, acquisitions and divestitures, core sales grew 2 percent in the first quarter. Reportable segment income of $61 million was up 22 percent compared to the first quarter of 2025, and ROS was 23.7 percent, an increase of 210 basis points when compared to the first quarter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 Solutions sales were down 1 percent compared to sales for the same period last year. Excluding currency translation, acquisitions and divestitures, core sales grew 1 percent in the first quarter. Reportable segment income of $100 million was up 6 percent compared to the first quarter of 2025, and ROS was 25.5 percent, an increase of 160 basis points when compared to the first quarter of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Pool sales were up 1 percent compared to sales for the same period last year. Excluding currency translation, acquisitions and divestitures, core sales grew 1 percent in the first quarter. Reportable segment income of $128 million was up 2 percent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8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first quarter of 2025, and ROS was 33.1 percent, an increase of 30 basis points when compared to the first quarter of 2025.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operating activities was $67 million for the quarter compared to $39 million in the first quarter of 2025. Free cash flow used for the quarter was $86 million compared to $56 million in the first quarter of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RETURNS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Pentair paid a regular cash dividend of $0.27 per share in the first quarter of 2026. In addition, Pentair previously announced on February 23, 2026 that it will pay a regular quarterly cash dividend of $0.27 per share on May 1, 2026 to shareholders of record at the close of business on April 17, 2026. This year marks the 50th consecutive year that Pentair has increased its dividend.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the Company repurchased 2.0 million shares for $200 million. As of March 31, 2026, we had $800.0 million available for share repurchases under our share repurchase authorization.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Stauch concluded, “Our full year outlook reflects a strong first quarter and cautious optimism as we head into our most important quarter seasonally. Our sales growth forecast assumes limited to no U.S. residential recovery and continued expansion across our commercial, industrial and municipal verticals. We feel confident that we expect to control what we can and continue to mitigate risk. We also introduced second quarter guidance reflecting sales growth, margin expansion and EPS growth. As a leader in helping the world move, improve and enjoy water, life’s most essential resource, we are well positioned to capture opportunities from favorable secular trends in water and we continue to invest to drive long-term sales and earnings growth.”</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updated its estimated 2026 GAAP EPS from continuing operations to approximately $4.83 to $4.93, up 23 percent to 25 percent versus the prior year, and updated estimated EPS on an adjusted basis to approximately $5.30 to $5.40, up 8 percent to 10 percent versus the prior year. The Company updated its estimated full year 2026 sales to be up approximately 2 to 4 percent on a reported basis.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introduces estimated second quarter 2026 GAAP EPS from continuing operations guidance of approximately $1.39 to $1.42, up approximately 54 percent to 58 percent compared to the prior year period, and adjusted EPS of approximately $1.47 to $1.50, up approximately 6 percent to 8 percent compared to the prior year period. The Company expects second quarter sales to be up approximately 1 percent on a reported basis compared to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Pentair President and Chief Executive Officer John L. Stauch and Chief Financial Officer Nicholas J. Brazis will discuss the Company’s first quarter 2026 results on a conference call with investors at 9:00 a.m. Eastern today. A live audio webcast of the call, along with the related presentation, can be accessed in the Investor Relations section of the Company’s website,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 shortly before the call begins.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are set forth in the attachments to this release and in the presentations, each of which can be found on Pentair’s website. The webcast and presentations will be archived at the Company’s website following the conclusion of the event.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our Annual Report on Form 10-K for the year ended December 31, 2025. All forward-looking statements, including all financial forecasts, speak only as of the date of this release. Pentair assumes no obligation, and disclaims any obligation, to update the information contained in this 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PENTAIR PLC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Pentair, we help the world sustainably move, improve and enjoy water, life’s most essential resource. From our residential and commercial water solutions, to industrial water management and everything in between, Pentair is a core large cap value S&amp;P 500 equity stock focused on smart, sustainable water solutions that help our planet and people thrive.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Pentair had revenue in 2025 of approximately $4.2 billion, and trades under the ticker symbol PNR. With approximately 9,000 global employees serving customers in more than 150 countries, we work to help improve lives and the environment around the world. To learn more, visit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PENTAIR CONTACTS</w:t>
            </w: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Shelly Hubbard</w:t>
            </w:r>
          </w:p>
        </w:tc>
        <w:tc>
          <w:tcPr>
            <w:tcW w:w="4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Rebecca Osborn</w:t>
            </w: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tc>
        <w:tc>
          <w:tcPr>
            <w:tcW w:w="4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Vice President, Communications</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 763-656-5575</w:t>
            </w:r>
          </w:p>
        </w:tc>
        <w:tc>
          <w:tcPr>
            <w:tcW w:w="4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Direct: 763-656-5589</w:t>
            </w:r>
          </w:p>
        </w:tc>
      </w:tr>
      <w:tr>
        <w:trPr>
          <w:trHeight w:val="194"/>
        </w:trPr>
        <w:tc>
          <w:tcPr>
            <w:tcW w:w="4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Email: shelly.hubbard@pentair.com</w:t>
            </w:r>
          </w:p>
        </w:tc>
        <w:tc>
          <w:tcPr>
            <w:tcW w:w="4260" w:type="dxa"/>
            <w:vAlign w:val="bottom"/>
            <w:gridSpan w:val="2"/>
          </w:tcPr>
          <w:p>
            <w:pPr>
              <w:ind w:left="1640"/>
              <w:spacing w:after="0" w:line="194" w:lineRule="exact"/>
              <w:rPr>
                <w:sz w:val="20"/>
                <w:szCs w:val="20"/>
                <w:color w:val="auto"/>
              </w:rPr>
            </w:pPr>
            <w:r>
              <w:rPr>
                <w:rFonts w:ascii="Times New Roman" w:cs="Times New Roman" w:eastAsia="Times New Roman" w:hAnsi="Times New Roman"/>
                <w:sz w:val="18"/>
                <w:szCs w:val="18"/>
                <w:color w:val="auto"/>
                <w:w w:val="98"/>
              </w:rPr>
              <w:t>Email: rebecca.osborn@pentair.com</w:t>
            </w:r>
          </w:p>
        </w:tc>
      </w:tr>
      <w:tr>
        <w:trPr>
          <w:trHeight w:val="885"/>
        </w:trPr>
        <w:tc>
          <w:tcPr>
            <w:tcW w:w="5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(more)</w:t>
            </w:r>
          </w:p>
        </w:tc>
        <w:tc>
          <w:tcPr>
            <w:tcW w:w="21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per-share data</w:t>
            </w:r>
          </w:p>
        </w:tc>
        <w:tc>
          <w:tcPr>
            <w:tcW w:w="280" w:type="dxa"/>
            <w:vAlign w:val="bottom"/>
          </w:tcPr>
          <w:p>
            <w:pPr>
              <w:spacing w:after="0"/>
              <w:rPr>
                <w:sz w:val="13"/>
                <w:szCs w:val="13"/>
                <w:color w:val="auto"/>
              </w:rPr>
            </w:pPr>
          </w:p>
        </w:tc>
        <w:tc>
          <w:tcPr>
            <w:tcW w:w="1300" w:type="dxa"/>
            <w:vAlign w:val="bottom"/>
          </w:tcPr>
          <w:p>
            <w:pPr>
              <w:jc w:val="right"/>
              <w:ind w:right="35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3"/>
                <w:szCs w:val="13"/>
                <w:color w:val="auto"/>
              </w:rPr>
            </w:pPr>
          </w:p>
        </w:tc>
        <w:tc>
          <w:tcPr>
            <w:tcW w:w="130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1,036.7</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1,010.4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603.3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607.1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r>
        <w:trPr>
          <w:trHeight w:val="214"/>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41.8 %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39.9 %</w:t>
            </w: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4"/>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19.2 %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17.5 %</w:t>
            </w: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20.3 %</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20.1 %</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7"/>
        </w:trPr>
        <w:tc>
          <w:tcPr>
            <w:tcW w:w="8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15.1 %</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15.3 %</w:t>
            </w: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2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160.8</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172.4</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0.99</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ordinary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0.98</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ordinary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ordinary shares outstanding</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163.7</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paid per ordinary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00" w:type="dxa"/>
            <w:vAlign w:val="bottom"/>
          </w:tcPr>
          <w:p>
            <w:pPr>
              <w:spacing w:after="0"/>
              <w:rPr>
                <w:sz w:val="24"/>
                <w:szCs w:val="24"/>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Pentair plc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04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5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to reconcile net income from continuing operations to net cash provided by (used for) operating</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activities of continuing operations</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income of unconsolidated subsidiaries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impairment and write-offs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assets and liabilities, net of effects of business acquisitions</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(261.6)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jc w:val="center"/>
              <w:ind w:right="4399"/>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jc w:val="center"/>
              <w:ind w:right="4419"/>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repayments of short-term borrowings</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 of revolving long-term debt</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to employees, net of shares withheld</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ordinary shares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1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09"/>
        </w:trPr>
        <w:tc>
          <w:tcPr>
            <w:tcW w:w="7580" w:type="dxa"/>
            <w:vAlign w:val="bottom"/>
          </w:tcPr>
          <w:p>
            <w:pPr>
              <w:jc w:val="center"/>
              <w:ind w:right="4359"/>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1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cash and cash equivalents</w:t>
            </w:r>
          </w:p>
        </w:tc>
        <w:tc>
          <w:tcPr>
            <w:tcW w:w="1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2"/>
        </w:trPr>
        <w:tc>
          <w:tcPr>
            <w:tcW w:w="7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20"/>
          </w:cols>
          <w:pgMar w:left="380" w:top="121"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436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3940" w:type="dxa"/>
            <w:vAlign w:val="bottom"/>
          </w:tcPr>
          <w:p>
            <w:pPr>
              <w:spacing w:after="0"/>
              <w:rPr>
                <w:sz w:val="24"/>
                <w:szCs w:val="24"/>
                <w:color w:val="auto"/>
              </w:rPr>
            </w:pPr>
          </w:p>
        </w:tc>
        <w:tc>
          <w:tcPr>
            <w:tcW w:w="45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Reconciliation of the GAAP Operating Activities Cash Flow to the Non-GAAP Free Cash Flow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9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1"/>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4"/>
                <w:szCs w:val="14"/>
                <w:color w:val="auto"/>
              </w:rPr>
            </w:pPr>
          </w:p>
        </w:tc>
        <w:tc>
          <w:tcPr>
            <w:tcW w:w="132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4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50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88"/>
              </w:rPr>
              <w:t>8</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2700" w:type="dxa"/>
            <w:vAlign w:val="bottom"/>
          </w:tcPr>
          <w:p>
            <w:pPr>
              <w:spacing w:after="0"/>
              <w:rPr>
                <w:sz w:val="24"/>
                <w:szCs w:val="24"/>
                <w:color w:val="auto"/>
              </w:rPr>
            </w:pPr>
          </w:p>
        </w:tc>
        <w:tc>
          <w:tcPr>
            <w:tcW w:w="53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6780" w:type="dxa"/>
            <w:vAlign w:val="bottom"/>
            <w:gridSpan w:val="3"/>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Supplemental Financial Information by Reportable Segment (Unaudited)</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7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6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340" w:type="dxa"/>
            <w:vAlign w:val="bottom"/>
          </w:tcPr>
          <w:p>
            <w:pPr>
              <w:spacing w:after="0"/>
              <w:rPr>
                <w:sz w:val="14"/>
                <w:szCs w:val="14"/>
                <w:color w:val="auto"/>
              </w:rPr>
            </w:pPr>
          </w:p>
        </w:tc>
        <w:tc>
          <w:tcPr>
            <w:tcW w:w="142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First</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5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387.1</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1,036.2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1,036.7</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income (loss)</w:t>
            </w: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5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5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289.2</w:t>
            </w:r>
          </w:p>
        </w:tc>
        <w:tc>
          <w:tcPr>
            <w:tcW w:w="3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259.1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sales</w:t>
            </w:r>
          </w:p>
        </w:tc>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5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sales</w:t>
            </w:r>
          </w:p>
        </w:tc>
        <w:tc>
          <w:tcPr>
            <w:tcW w:w="50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4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88"/>
              </w:rPr>
              <w:t>9</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20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940" w:type="dxa"/>
            <w:vAlign w:val="bottom"/>
            <w:gridSpan w:val="7"/>
          </w:tcPr>
          <w:p>
            <w:pPr>
              <w:jc w:val="center"/>
              <w:ind w:left="1212"/>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60" w:type="dxa"/>
            <w:vAlign w:val="bottom"/>
            <w:gridSpan w:val="5"/>
          </w:tcPr>
          <w:p>
            <w:pPr>
              <w:jc w:val="center"/>
              <w:ind w:left="3292"/>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232"/>
              <w:spacing w:after="0" w:line="169" w:lineRule="exact"/>
              <w:rPr>
                <w:sz w:val="20"/>
                <w:szCs w:val="20"/>
                <w:color w:val="auto"/>
              </w:rPr>
            </w:pPr>
            <w:r>
              <w:rPr>
                <w:rFonts w:ascii="Times New Roman" w:cs="Times New Roman" w:eastAsia="Times New Roman" w:hAnsi="Times New Roman"/>
                <w:sz w:val="18"/>
                <w:szCs w:val="18"/>
                <w:b w:val="1"/>
                <w:bCs w:val="1"/>
                <w:color w:val="auto"/>
                <w:w w:val="97"/>
              </w:rPr>
              <w:t>First</w:t>
            </w:r>
          </w:p>
        </w:tc>
        <w:tc>
          <w:tcPr>
            <w:tcW w:w="2160" w:type="dxa"/>
            <w:vAlign w:val="bottom"/>
            <w:gridSpan w:val="2"/>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Second</w:t>
            </w:r>
          </w:p>
        </w:tc>
        <w:tc>
          <w:tcPr>
            <w:tcW w:w="780" w:type="dxa"/>
            <w:vAlign w:val="bottom"/>
          </w:tcPr>
          <w:p>
            <w:pPr>
              <w:spacing w:after="0"/>
              <w:rPr>
                <w:sz w:val="14"/>
                <w:szCs w:val="14"/>
                <w:color w:val="auto"/>
              </w:rPr>
            </w:pPr>
          </w:p>
        </w:tc>
        <w:tc>
          <w:tcPr>
            <w:tcW w:w="1300" w:type="dxa"/>
            <w:vAlign w:val="bottom"/>
          </w:tcPr>
          <w:p>
            <w:pPr>
              <w:jc w:val="right"/>
              <w:ind w:right="850"/>
              <w:spacing w:after="0" w:line="169" w:lineRule="exact"/>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16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7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1,036.7</w:t>
            </w:r>
          </w:p>
        </w:tc>
        <w:tc>
          <w:tcPr>
            <w:tcW w:w="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Up 1%</w:t>
            </w:r>
          </w:p>
        </w:tc>
        <w:tc>
          <w:tcPr>
            <w:tcW w:w="7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2% - 4%</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210.0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Up 36% - 37%</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19% - 21%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i w:val="1"/>
                <w:iCs w:val="1"/>
                <w:color w:val="auto"/>
              </w:rPr>
              <w:t>20.3 %</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21.4</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 $</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259.1</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Up 5% - 6%</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6% - 8%</w:t>
            </w: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4"/>
                <w:szCs w:val="14"/>
                <w:i w:val="1"/>
                <w:iCs w:val="1"/>
                <w:color w:val="auto"/>
              </w:rPr>
              <w:t>25.0 %</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160.8</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$227 - $232</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 $803</w:t>
            </w: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48.6</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1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1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199.0</w:t>
            </w: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$240 - $245</w:t>
            </w: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$864 - $880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0.98</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$1.39 - $1.42</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 $4.93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0.24</w:t>
            </w:r>
          </w:p>
        </w:tc>
        <w:tc>
          <w:tcPr>
            <w:tcW w:w="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1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$1.47 - $1.50</w:t>
            </w: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$5.30 - $5.40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460" w:type="dxa"/>
            <w:vAlign w:val="bottom"/>
          </w:tcPr>
          <w:p>
            <w:pPr>
              <w:spacing w:after="0"/>
              <w:rPr>
                <w:sz w:val="24"/>
                <w:szCs w:val="24"/>
                <w:color w:val="auto"/>
              </w:rPr>
            </w:pPr>
          </w:p>
        </w:tc>
        <w:tc>
          <w:tcPr>
            <w:tcW w:w="3140" w:type="dxa"/>
            <w:vAlign w:val="bottom"/>
            <w:gridSpan w:val="4"/>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20" w:type="dxa"/>
            <w:vAlign w:val="bottom"/>
            <w:gridSpan w:val="9"/>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00" w:type="dxa"/>
            <w:vAlign w:val="bottom"/>
            <w:gridSpan w:val="5"/>
          </w:tcPr>
          <w:p>
            <w:pPr>
              <w:jc w:val="center"/>
              <w:ind w:left="3551"/>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90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8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1,010.4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1,022.0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1,020.5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4,176.0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19.4 %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22.7 %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20.5 %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9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242.5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296.7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24.0 %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26.4 %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25.7 %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24.7 %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25.2 %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161.8</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other post retirement mark-to-market loss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184.2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814.7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Sales Growth to Core Net Sales Growth by Reportable Segment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 (Unaudited)</w:t>
      </w:r>
    </w:p>
    <w:p>
      <w:pPr>
        <w:spacing w:after="0" w:line="7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Q1 Net Sales Growth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Core</w:t>
            </w:r>
          </w:p>
        </w:tc>
        <w:tc>
          <w:tcPr>
            <w:tcW w:w="3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3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Acq. / Div.</w:t>
            </w: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tcPr>
          <w:p>
            <w:pPr>
              <w:spacing w:after="0"/>
              <w:rPr>
                <w:sz w:val="19"/>
                <w:szCs w:val="19"/>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Pentair</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1.1 %</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2.1 %</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Flow</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Solutions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4"/>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Pool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2026-04-28T06:10:20Z</dcterms:created>
  <dcterms:modified xsi:type="dcterms:W3CDTF">2026-04-28T06:10:20Z</dcterms:modified>
</cp:coreProperties>
</file>