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572135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48" w:lineRule="exact"/>
        <w:rPr>
          <w:sz w:val="24"/>
          <w:szCs w:val="24"/>
          <w:color w:val="auto"/>
        </w:rPr>
      </w:pPr>
    </w:p>
    <w:p>
      <w:pPr>
        <w:ind w:left="1120" w:hanging="1094"/>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11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left="4300" w:right="1420" w:hanging="4274"/>
        <w:spacing w:after="0" w:line="391" w:lineRule="auto"/>
        <w:tabs>
          <w:tab w:leader="none" w:pos="112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b w:val="1"/>
          <w:bCs w:val="1"/>
          <w:color w:val="auto"/>
        </w:rPr>
        <w:t>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-30480</wp:posOffset>
            </wp:positionV>
            <wp:extent cx="197167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167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bottom w:val="single" w:sz="8" w:color="auto"/>
            </w:tcBorders>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1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w w:val="98"/>
              </w:rPr>
              <w:t>98-1141328</w:t>
            </w:r>
          </w:p>
        </w:tc>
      </w:tr>
      <w:tr>
        <w:trPr>
          <w:trHeight w:val="228"/>
        </w:trPr>
        <w:tc>
          <w:tcPr>
            <w:tcW w:w="59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180" w:type="dxa"/>
            <w:vAlign w:val="bottom"/>
          </w:tcPr>
          <w:p>
            <w:pPr>
              <w:spacing w:after="0"/>
              <w:rPr>
                <w:sz w:val="19"/>
                <w:szCs w:val="19"/>
                <w:color w:val="auto"/>
              </w:rPr>
            </w:pPr>
          </w:p>
        </w:tc>
        <w:tc>
          <w:tcPr>
            <w:tcW w:w="4100" w:type="dxa"/>
            <w:vAlign w:val="bottom"/>
            <w:gridSpan w:val="2"/>
          </w:tcPr>
          <w:p>
            <w:pPr>
              <w:jc w:val="center"/>
              <w:ind w:right="12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79"/>
        </w:trPr>
        <w:tc>
          <w:tcPr>
            <w:tcW w:w="41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b w:val="1"/>
                <w:bCs w:val="1"/>
                <w:color w:val="auto"/>
              </w:rPr>
              <w:t>Regal House, 70 London Road,</w:t>
            </w:r>
          </w:p>
        </w:tc>
        <w:tc>
          <w:tcPr>
            <w:tcW w:w="1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Twickenham,</w:t>
            </w:r>
          </w:p>
        </w:tc>
        <w:tc>
          <w:tcPr>
            <w:tcW w:w="11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London,</w:t>
            </w: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TW13QS</w:t>
            </w:r>
          </w:p>
        </w:tc>
        <w:tc>
          <w:tcPr>
            <w:tcW w:w="31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United Kingdom</w:t>
            </w:r>
          </w:p>
        </w:tc>
      </w:tr>
      <w:tr>
        <w:trPr>
          <w:trHeight w:val="228"/>
        </w:trPr>
        <w:tc>
          <w:tcPr>
            <w:tcW w:w="4140" w:type="dxa"/>
            <w:vAlign w:val="bottom"/>
          </w:tcPr>
          <w:p>
            <w:pPr>
              <w:spacing w:after="0"/>
              <w:rPr>
                <w:sz w:val="19"/>
                <w:szCs w:val="19"/>
                <w:color w:val="auto"/>
              </w:rPr>
            </w:pPr>
          </w:p>
        </w:tc>
        <w:tc>
          <w:tcPr>
            <w:tcW w:w="3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940" w:type="dxa"/>
            <w:vAlign w:val="bottom"/>
          </w:tcPr>
          <w:p>
            <w:pPr>
              <w:spacing w:after="0"/>
              <w:rPr>
                <w:sz w:val="19"/>
                <w:szCs w:val="19"/>
                <w:color w:val="auto"/>
              </w:rPr>
            </w:pPr>
          </w:p>
        </w:tc>
        <w:tc>
          <w:tcPr>
            <w:tcW w:w="3160" w:type="dxa"/>
            <w:vAlign w:val="bottom"/>
          </w:tcPr>
          <w:p>
            <w:pPr>
              <w:spacing w:after="0"/>
              <w:rPr>
                <w:sz w:val="19"/>
                <w:szCs w:val="19"/>
                <w:color w:val="auto"/>
              </w:rPr>
            </w:pPr>
          </w:p>
        </w:tc>
      </w:tr>
    </w:tbl>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44-74-9421-6154</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20" w:type="dxa"/>
            <w:vAlign w:val="bottom"/>
          </w:tcPr>
          <w:p>
            <w:pPr>
              <w:spacing w:after="0"/>
              <w:rPr>
                <w:sz w:val="19"/>
                <w:szCs w:val="19"/>
                <w:color w:val="auto"/>
              </w:rPr>
            </w:pPr>
          </w:p>
        </w:tc>
        <w:tc>
          <w:tcPr>
            <w:tcW w:w="47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Ordinary Shares, nominal value $0.01 per share</w:t>
            </w:r>
          </w:p>
        </w:tc>
        <w:tc>
          <w:tcPr>
            <w:tcW w:w="24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PNR</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tcPr>
          <w:p>
            <w:pPr>
              <w:spacing w:after="0"/>
              <w:rPr>
                <w:sz w:val="18"/>
                <w:szCs w:val="18"/>
                <w:color w:val="auto"/>
              </w:rPr>
            </w:pPr>
          </w:p>
        </w:tc>
        <w:tc>
          <w:tcPr>
            <w:tcW w:w="54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vMerge w:val="restart"/>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8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600" w:type="dxa"/>
            <w:vAlign w:val="bottom"/>
            <w:vMerge w:val="restart"/>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40" w:type="dxa"/>
            <w:vAlign w:val="bottom"/>
            <w:vMerge w:val="continue"/>
          </w:tcPr>
          <w:p>
            <w:pPr>
              <w:spacing w:after="0"/>
              <w:rPr>
                <w:sz w:val="23"/>
                <w:szCs w:val="23"/>
                <w:color w:val="auto"/>
              </w:rPr>
            </w:pPr>
          </w:p>
        </w:tc>
        <w:tc>
          <w:tcPr>
            <w:tcW w:w="1960" w:type="dxa"/>
            <w:vAlign w:val="bottom"/>
            <w:vMerge w:val="continue"/>
          </w:tcPr>
          <w:p>
            <w:pPr>
              <w:spacing w:after="0"/>
              <w:rPr>
                <w:sz w:val="23"/>
                <w:szCs w:val="23"/>
                <w:color w:val="auto"/>
              </w:rPr>
            </w:pPr>
          </w:p>
        </w:tc>
        <w:tc>
          <w:tcPr>
            <w:tcW w:w="1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Non-accelerated filer</w:t>
            </w:r>
          </w:p>
        </w:tc>
        <w:tc>
          <w:tcPr>
            <w:tcW w:w="580" w:type="dxa"/>
            <w:vAlign w:val="bottom"/>
            <w:vMerge w:val="continue"/>
          </w:tcPr>
          <w:p>
            <w:pPr>
              <w:spacing w:after="0"/>
              <w:rPr>
                <w:sz w:val="23"/>
                <w:szCs w:val="2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600" w:type="dxa"/>
            <w:vAlign w:val="bottom"/>
            <w:vMerge w:val="continue"/>
          </w:tcPr>
          <w:p>
            <w:pPr>
              <w:spacing w:after="0"/>
              <w:rPr>
                <w:sz w:val="23"/>
                <w:szCs w:val="2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80"/>
        <w:spacing w:after="0" w:line="2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June 30, 2025, 163,931,255 shares of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596900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80" w:type="dxa"/>
            <w:vAlign w:val="bottom"/>
            <w:gridSpan w:val="8"/>
          </w:tcPr>
          <w:p>
            <w:pPr>
              <w:ind w:left="120"/>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40"/>
        </w:trPr>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5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w:t>
            </w:r>
          </w:p>
        </w:tc>
        <w:tc>
          <w:tcPr>
            <w:tcW w:w="2520" w:type="dxa"/>
            <w:vAlign w:val="bottom"/>
            <w:gridSpan w:val="2"/>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20" w:type="dxa"/>
            <w:vAlign w:val="bottom"/>
          </w:tcPr>
          <w:p>
            <w:pPr>
              <w:spacing w:after="0"/>
              <w:rPr>
                <w:sz w:val="22"/>
                <w:szCs w:val="22"/>
                <w:color w:val="auto"/>
              </w:rPr>
            </w:pPr>
          </w:p>
        </w:tc>
      </w:tr>
      <w:tr>
        <w:trPr>
          <w:trHeight w:val="264"/>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4</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5</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w:t>
            </w:r>
          </w:p>
        </w:tc>
        <w:tc>
          <w:tcPr>
            <w:tcW w:w="5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0000FF"/>
              </w:rPr>
              <w:t>6</w:t>
            </w:r>
          </w:p>
        </w:tc>
        <w:tc>
          <w:tcPr>
            <w:tcW w:w="420" w:type="dxa"/>
            <w:vAlign w:val="bottom"/>
          </w:tcPr>
          <w:p>
            <w:pPr>
              <w:spacing w:after="0"/>
              <w:rPr>
                <w:sz w:val="22"/>
                <w:szCs w:val="22"/>
                <w:color w:val="auto"/>
              </w:rPr>
            </w:pPr>
          </w:p>
        </w:tc>
      </w:tr>
      <w:tr>
        <w:trPr>
          <w:trHeight w:val="263"/>
        </w:trPr>
        <w:tc>
          <w:tcPr>
            <w:tcW w:w="2040" w:type="dxa"/>
            <w:vAlign w:val="bottom"/>
          </w:tcPr>
          <w:p>
            <w:pPr>
              <w:spacing w:after="0"/>
              <w:rPr>
                <w:sz w:val="22"/>
                <w:szCs w:val="22"/>
                <w:color w:val="auto"/>
              </w:rPr>
            </w:pPr>
          </w:p>
        </w:tc>
        <w:tc>
          <w:tcPr>
            <w:tcW w:w="41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60" w:type="dxa"/>
            <w:vAlign w:val="bottom"/>
            <w:gridSpan w:val="4"/>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420" w:type="dxa"/>
            <w:vAlign w:val="bottom"/>
          </w:tcPr>
          <w:p>
            <w:pPr>
              <w:spacing w:after="0"/>
              <w:rPr>
                <w:sz w:val="22"/>
                <w:szCs w:val="22"/>
                <w:color w:val="auto"/>
              </w:rPr>
            </w:pP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gridSpan w:val="2"/>
          </w:tcPr>
          <w:p>
            <w:pPr>
              <w:spacing w:after="0"/>
              <w:rPr>
                <w:sz w:val="22"/>
                <w:szCs w:val="22"/>
                <w:color w:val="auto"/>
              </w:rPr>
            </w:pPr>
          </w:p>
        </w:tc>
        <w:tc>
          <w:tcPr>
            <w:tcW w:w="1800" w:type="dxa"/>
            <w:vAlign w:val="bottom"/>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40" w:type="dxa"/>
            <w:vAlign w:val="bottom"/>
            <w:gridSpan w:val="6"/>
          </w:tcPr>
          <w:p>
            <w:pPr>
              <w:spacing w:after="0"/>
              <w:rPr>
                <w:sz w:val="22"/>
                <w:szCs w:val="22"/>
                <w:color w:val="auto"/>
              </w:rPr>
            </w:pP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gridSpan w:val="2"/>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940" w:type="dxa"/>
            <w:vAlign w:val="bottom"/>
            <w:gridSpan w:val="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5"/>
          </w:tcPr>
          <w:p>
            <w:pPr>
              <w:spacing w:after="0"/>
              <w:rPr>
                <w:sz w:val="22"/>
                <w:szCs w:val="22"/>
                <w:color w:val="auto"/>
              </w:rPr>
            </w:pPr>
          </w:p>
        </w:tc>
        <w:tc>
          <w:tcPr>
            <w:tcW w:w="6940" w:type="dxa"/>
            <w:vAlign w:val="bottom"/>
            <w:gridSpan w:val="10"/>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80" w:type="dxa"/>
            <w:vAlign w:val="bottom"/>
            <w:gridSpan w:val="1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480" w:type="dxa"/>
            <w:vAlign w:val="bottom"/>
            <w:gridSpan w:val="13"/>
          </w:tcPr>
          <w:p>
            <w:pPr>
              <w:spacing w:after="0"/>
              <w:rPr>
                <w:sz w:val="22"/>
                <w:szCs w:val="22"/>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gridSpan w:val="3"/>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7500" w:type="dxa"/>
            <w:vAlign w:val="bottom"/>
            <w:gridSpan w:val="3"/>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Pentair plc and Subsidiaries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20" w:type="dxa"/>
            <w:vAlign w:val="bottom"/>
            <w:gridSpan w:val="8"/>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Income (Unaudited)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24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1,273.6</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1"/>
        </w:trPr>
        <w:tc>
          <w:tcPr>
            <w:tcW w:w="628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148.5</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186.1</w:t>
            </w: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303.4</w:t>
            </w: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cumulative translation adjustment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market value of derivative financial instruments,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234"/>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320" w:type="dxa"/>
            <w:vAlign w:val="bottom"/>
          </w:tcPr>
          <w:p>
            <w:pPr>
              <w:spacing w:after="0"/>
              <w:rPr>
                <w:sz w:val="17"/>
                <w:szCs w:val="17"/>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7"/>
                <w:szCs w:val="17"/>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800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53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$8.3 and $9.1, respectively</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4,683.4</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4,651.6</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0" w:type="dxa"/>
            <w:vAlign w:val="bottom"/>
          </w:tcPr>
          <w:p>
            <w:pPr>
              <w:spacing w:after="0"/>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00" w:type="dxa"/>
            <w:vAlign w:val="bottom"/>
            <w:shd w:val="clear" w:color="auto" w:fill="CCEEFF"/>
          </w:tcPr>
          <w:p>
            <w:pPr>
              <w:ind w:left="47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short-term borrowings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compensation and benefits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2,883.6</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Ordinary shares $0.01 par value, 426.0 authorized, 163.9 and 164.8 issued at June 30, 2025 and December 31,</w:t>
            </w: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respectively</w:t>
            </w: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3,672.2</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3,562.9</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4"/>
                <w:szCs w:val="14"/>
                <w:color w:val="auto"/>
              </w:rPr>
            </w:pPr>
          </w:p>
        </w:tc>
        <w:tc>
          <w:tcPr>
            <w:tcW w:w="130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802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75"/>
        </w:trPr>
        <w:tc>
          <w:tcPr>
            <w:tcW w:w="802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from continuing operations to net cash provided by (used for)</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income of unconsolidated subsidiaries</w:t>
            </w: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effects of business acquisitions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investments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(repayments) receipts of short-term borrowings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borrowings of revolving long-term debt</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to employees, net of shares withheld</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ordinary shares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Pentair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(Unaudited)</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40" w:type="dxa"/>
            <w:vAlign w:val="bottom"/>
          </w:tcPr>
          <w:p>
            <w:pPr>
              <w:spacing w:after="0"/>
              <w:rPr>
                <w:sz w:val="16"/>
                <w:szCs w:val="16"/>
                <w:color w:val="auto"/>
              </w:rPr>
            </w:pPr>
          </w:p>
        </w:tc>
        <w:tc>
          <w:tcPr>
            <w:tcW w:w="10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6"/>
                <w:szCs w:val="16"/>
                <w:color w:val="auto"/>
              </w:rPr>
            </w:pP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40" w:type="dxa"/>
            <w:vAlign w:val="bottom"/>
          </w:tcPr>
          <w:p>
            <w:pPr>
              <w:spacing w:after="0"/>
              <w:rPr>
                <w:sz w:val="16"/>
                <w:szCs w:val="16"/>
                <w:color w:val="auto"/>
              </w:rPr>
            </w:pPr>
          </w:p>
        </w:tc>
        <w:tc>
          <w:tcPr>
            <w:tcW w:w="140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rPr>
              <w:t>other</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40" w:type="dxa"/>
            <w:vAlign w:val="bottom"/>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 (loss)</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29"/>
        </w:trPr>
        <w:tc>
          <w:tcPr>
            <w:tcW w:w="4000" w:type="dxa"/>
            <w:vAlign w:val="bottom"/>
            <w:tcBorders>
              <w:bottom w:val="single" w:sz="8" w:color="auto"/>
            </w:tcBorders>
            <w:gridSpan w:val="2"/>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3,562.9</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Dividends declared, $0.25 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4"/>
        </w:trPr>
        <w:tc>
          <w:tcPr>
            <w:tcW w:w="4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March 31, 2025</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2,449.8</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3,633.6</w:t>
            </w:r>
          </w:p>
        </w:tc>
        <w:tc>
          <w:tcPr>
            <w:tcW w:w="0" w:type="dxa"/>
            <w:vAlign w:val="bottom"/>
          </w:tcPr>
          <w:p>
            <w:pPr>
              <w:spacing w:after="0"/>
              <w:rPr>
                <w:sz w:val="1"/>
                <w:szCs w:val="1"/>
                <w:color w:val="auto"/>
              </w:rPr>
            </w:pPr>
          </w:p>
        </w:tc>
      </w:tr>
      <w:tr>
        <w:trPr>
          <w:trHeight w:val="223"/>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$0.25 per share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 repurchases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184"/>
        </w:trPr>
        <w:tc>
          <w:tcPr>
            <w:tcW w:w="40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June 30, 2025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3,672.2</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4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6"/>
                <w:szCs w:val="16"/>
                <w:color w:val="auto"/>
              </w:rPr>
            </w:pPr>
          </w:p>
        </w:tc>
        <w:tc>
          <w:tcPr>
            <w:tcW w:w="10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40" w:type="dxa"/>
            <w:vAlign w:val="bottom"/>
          </w:tcPr>
          <w:p>
            <w:pPr>
              <w:spacing w:after="0"/>
              <w:rPr>
                <w:sz w:val="16"/>
                <w:szCs w:val="16"/>
                <w:color w:val="auto"/>
              </w:rPr>
            </w:pPr>
          </w:p>
        </w:tc>
        <w:tc>
          <w:tcPr>
            <w:tcW w:w="14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vMerge w:val="restart"/>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line="20" w:lineRule="exact"/>
              <w:rPr>
                <w:sz w:val="1"/>
                <w:szCs w:val="1"/>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30"/>
        </w:trPr>
        <w:tc>
          <w:tcPr>
            <w:tcW w:w="4000" w:type="dxa"/>
            <w:vAlign w:val="bottom"/>
            <w:tcBorders>
              <w:bottom w:val="single" w:sz="8" w:color="auto"/>
            </w:tcBorders>
            <w:gridSpan w:val="2"/>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3,217.1</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$0.23 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184"/>
        </w:trPr>
        <w:tc>
          <w:tcPr>
            <w:tcW w:w="400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restricted shares, net of cancellations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March 31, 2024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1,961.3</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3,327.2</w:t>
            </w: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$0.23 per share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84"/>
        </w:trPr>
        <w:tc>
          <w:tcPr>
            <w:tcW w:w="400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Exercise of options, net of shares tendered for</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surrendered by employees to pay taxes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June 30, 2024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2,109.3</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3,432.9</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Responsibility for Interim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Pentair plc and its subsidiaries (“we,” “us,” “our,” or “Pentair”)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2024.</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fiscal year ends on December 31. We report our interim quarterly periods on a calendar quarter basis.</w:t>
      </w:r>
    </w:p>
    <w:p>
      <w:pPr>
        <w:spacing w:after="0" w:line="24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disaggregate our revenue from contracts with customers by reportable segment, geographic location and vertical market, as we believe these best depict how the nature, amount, timing and uncertainty of our revenue and cash flows are affected by economic factors. Refer to Note 14 for revenue disaggregated by reportable segment.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net sales information, based on geographic destination of the sale,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7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Developing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Developed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Consolidated net sales</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1,123.1</w:t>
            </w:r>
          </w:p>
        </w:tc>
        <w:tc>
          <w:tcPr>
            <w:tcW w:w="32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1,099.3</w:t>
            </w:r>
          </w:p>
        </w:tc>
        <w:tc>
          <w:tcPr>
            <w:tcW w:w="10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2,133.5</w:t>
            </w:r>
          </w:p>
        </w:tc>
        <w:tc>
          <w:tcPr>
            <w:tcW w:w="3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2,116.5</w:t>
            </w:r>
          </w:p>
        </w:tc>
        <w:tc>
          <w:tcPr>
            <w:tcW w:w="0" w:type="dxa"/>
            <w:vAlign w:val="bottom"/>
          </w:tcPr>
          <w:p>
            <w:pPr>
              <w:spacing w:after="0"/>
              <w:rPr>
                <w:sz w:val="1"/>
                <w:szCs w:val="1"/>
                <w:color w:val="auto"/>
              </w:rPr>
            </w:pPr>
          </w:p>
        </w:tc>
      </w:tr>
    </w:tbl>
    <w:p>
      <w:pPr>
        <w:ind w:left="200" w:hanging="174"/>
        <w:spacing w:after="0" w:line="224"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Developing includes China, Eastern Europe, Latin America, the Middle East and Southeast Asia.</w:t>
      </w:r>
    </w:p>
    <w:p>
      <w:pPr>
        <w:spacing w:after="0" w:line="65"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Developed primarily includes Australia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Vertical market net sales information was as follows: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7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0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1,124.6</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0" w:type="dxa"/>
            <w:vAlign w:val="bottom"/>
          </w:tcPr>
          <w:p>
            <w:pPr>
              <w:spacing w:after="0"/>
              <w:rPr>
                <w:sz w:val="1"/>
                <w:szCs w:val="1"/>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June 30, 2025, we had $121.2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w w:val="98"/>
              </w:rPr>
              <w:t>% Change</w:t>
            </w:r>
          </w:p>
        </w:tc>
        <w:tc>
          <w:tcPr>
            <w:tcW w:w="0" w:type="dxa"/>
            <w:vAlign w:val="bottom"/>
          </w:tcPr>
          <w:p>
            <w:pPr>
              <w:spacing w:after="0"/>
              <w:rPr>
                <w:sz w:val="1"/>
                <w:szCs w:val="1"/>
                <w:color w:val="auto"/>
              </w:rPr>
            </w:pPr>
          </w:p>
        </w:tc>
      </w:tr>
      <w:tr>
        <w:trPr>
          <w:trHeight w:val="241"/>
        </w:trPr>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80" w:type="dxa"/>
            <w:vAlign w:val="bottom"/>
            <w:vMerge w:val="continue"/>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860" w:space="620"/>
            <w:col w:w="5760"/>
          </w:cols>
          <w:pgMar w:left="320" w:top="118" w:right="339" w:bottom="1440" w:gutter="0" w:footer="0" w:header="0"/>
        </w:sectPr>
      </w:pPr>
    </w:p>
    <w:tbl>
      <w:tblPr>
        <w:tblLayout w:type="fixed"/>
        <w:tblInd w:w="0" w:type="dxa"/>
        <w:tblCellMar>
          <w:top w:w="0" w:type="dxa"/>
          <w:left w:w="0" w:type="dxa"/>
          <w:bottom w:w="0" w:type="dxa"/>
          <w:right w:w="0" w:type="dxa"/>
        </w:tblCellMar>
      </w:tblPr>
      <w:tr>
        <w:trPr>
          <w:trHeight w:val="225"/>
        </w:trPr>
        <w:tc>
          <w:tcPr>
            <w:tcW w:w="3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44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64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w:t>
            </w:r>
          </w:p>
        </w:tc>
        <w:tc>
          <w:tcPr>
            <w:tcW w:w="68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r>
      <w:tr>
        <w:trPr>
          <w:trHeight w:val="229"/>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6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9.3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24.0 %</w:t>
            </w:r>
          </w:p>
        </w:tc>
      </w:tr>
      <w:tr>
        <w:trPr>
          <w:trHeight w:val="248"/>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24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4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6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0"/>
        </w:trPr>
        <w:tc>
          <w:tcPr>
            <w:tcW w:w="3220" w:type="dxa"/>
            <w:vAlign w:val="bottom"/>
            <w:tcBorders>
              <w:top w:val="single" w:sz="8" w:color="CCEEFF"/>
              <w:bottom w:val="single" w:sz="8" w:color="auto"/>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$2.3 million increase in net contract assets from December 31, 2024 to June 30, 2025 was primarily the result of timing of milestone payments.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80% of our contract liabilities at December 31, 2024 were recognized in revenue in the first half of 2025.</w:t>
      </w:r>
    </w:p>
    <w:p>
      <w:pPr>
        <w:spacing w:after="0" w:line="23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share-based compensation expense for the three and six months ended June 30, 2025 and 2024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6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74"/>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4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40" w:type="dxa"/>
            <w:vAlign w:val="bottom"/>
          </w:tcPr>
          <w:p>
            <w:pPr>
              <w:spacing w:after="0"/>
              <w:rPr>
                <w:sz w:val="15"/>
                <w:szCs w:val="15"/>
                <w:color w:val="auto"/>
              </w:rPr>
            </w:pP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5"/>
                <w:szCs w:val="15"/>
                <w:color w:val="auto"/>
              </w:rPr>
            </w:pPr>
          </w:p>
        </w:tc>
        <w:tc>
          <w:tcPr>
            <w:tcW w:w="1240" w:type="dxa"/>
            <w:vAlign w:val="bottom"/>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50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18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units</w:t>
            </w:r>
          </w:p>
        </w:tc>
        <w:tc>
          <w:tcPr>
            <w:tcW w:w="11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18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2025, we issued our annual share-based compensation grants under the Pentair plc 2020 Share and Incentive Plan to eligible employees. The total number of awards issued was approximately 0.4 million, of which 0.2 million were restricted stock units (“RSUs”), 0.1 million were stock options and 0.1 million were performance share units (“PSUs”). The weighted-average grant date fair value of the RSUs, stock options and PSUs issued was $93.69, $36.73 and $99.16, respectively.</w:t>
      </w:r>
    </w:p>
    <w:p>
      <w:pPr>
        <w:spacing w:after="0" w:line="12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We estimated the fair value of each stock option award issued in the annual share-based compensation grant using a Black-Scholes option pricing model, modified for dividends and using the following assumptions:</w:t>
      </w: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5220" w:type="dxa"/>
            <w:vAlign w:val="bottom"/>
          </w:tcPr>
          <w:p>
            <w:pPr>
              <w:jc w:val="right"/>
              <w:ind w:right="590"/>
              <w:spacing w:after="0" w:line="185"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41"/>
        </w:trPr>
        <w:tc>
          <w:tcPr>
            <w:tcW w:w="602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Annual Grant</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4.12 %</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0.98 %</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share price volatility</w:t>
            </w:r>
          </w:p>
        </w:tc>
        <w:tc>
          <w:tcPr>
            <w:tcW w:w="5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31.10 %</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5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Restructuring and Transformation Program</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2025, we initiated and continued execution of activities associated with our Transformation Program as well as initiated and continued certain business restructuring initiatives aimed at reducing our fixed cost structure and realigning our business. Restructuring and Transformation Program initiatives included a reduction in hourly and salaried headcount of approximately 185 employees during the six months ended June 30, 2025.</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Restructuring and transformation-related costs included within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Condensed Consolidated Statements of Operations and Comprehensive Income included the following: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58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Initiatives</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restructuring costs and related adjustments </w:t>
            </w:r>
            <w:r>
              <w:rPr>
                <w:rFonts w:ascii="Times New Roman" w:cs="Times New Roman" w:eastAsia="Times New Roman" w:hAnsi="Times New Roman"/>
                <w:sz w:val="23"/>
                <w:szCs w:val="23"/>
                <w:color w:val="auto"/>
                <w:vertAlign w:val="superscript"/>
              </w:rPr>
              <w:t>(1)</w:t>
            </w:r>
          </w:p>
        </w:tc>
        <w:tc>
          <w:tcPr>
            <w:tcW w:w="10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costs</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Transformation Program</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transformation costs </w:t>
            </w:r>
            <w:r>
              <w:rPr>
                <w:rFonts w:ascii="Times New Roman" w:cs="Times New Roman" w:eastAsia="Times New Roman" w:hAnsi="Times New Roman"/>
                <w:sz w:val="23"/>
                <w:szCs w:val="23"/>
                <w:color w:val="auto"/>
                <w:vertAlign w:val="superscript"/>
              </w:rPr>
              <w:t>(2)</w:t>
            </w: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transformation costs</w:t>
            </w:r>
          </w:p>
        </w:tc>
        <w:tc>
          <w:tcPr>
            <w:tcW w:w="10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1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ind w:left="180" w:right="20" w:hanging="154"/>
        <w:spacing w:after="0" w:line="206" w:lineRule="auto"/>
        <w:tabs>
          <w:tab w:leader="none" w:pos="21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Other restructuring costs and related adjustments primarily consist of certain accruals and related refinements as well as various contract termination costs, asset impairments and inventory write-offs associated with business and product line exits.</w:t>
      </w:r>
    </w:p>
    <w:p>
      <w:pPr>
        <w:ind w:left="200" w:hanging="174"/>
        <w:spacing w:after="0" w:line="217" w:lineRule="auto"/>
        <w:tabs>
          <w:tab w:leader="none" w:pos="20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transformation costs primarily consist of professional services and project management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transformation costs by reportable segment as well as Corporate and other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58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4"/>
                <w:szCs w:val="14"/>
                <w:color w:val="auto"/>
              </w:rPr>
            </w:pPr>
          </w:p>
        </w:tc>
        <w:tc>
          <w:tcPr>
            <w:tcW w:w="11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Pr>
          <w:p>
            <w:pPr>
              <w:spacing w:after="0"/>
              <w:rPr>
                <w:sz w:val="14"/>
                <w:szCs w:val="14"/>
                <w:color w:val="auto"/>
              </w:rPr>
            </w:pPr>
          </w:p>
        </w:tc>
        <w:tc>
          <w:tcPr>
            <w:tcW w:w="122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12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restructuring and transformation costs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12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8"/>
          <w:szCs w:val="18"/>
          <w:color w:val="auto"/>
        </w:rPr>
        <w:t xml:space="preserve">Activity related to accrued severance and related costs recorded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in the Condensed Consolidated Balance Sheets is summarized as follows for the six months ended June 30, 2025:</w:t>
      </w:r>
    </w:p>
    <w:tbl>
      <w:tblPr>
        <w:tblLayout w:type="fixed"/>
        <w:tblInd w:w="0" w:type="dxa"/>
        <w:tblCellMar>
          <w:top w:w="0" w:type="dxa"/>
          <w:left w:w="0" w:type="dxa"/>
          <w:bottom w:w="0" w:type="dxa"/>
          <w:right w:w="0" w:type="dxa"/>
        </w:tblCellMar>
      </w:tblPr>
      <w:tr>
        <w:trPr>
          <w:trHeight w:val="190"/>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180" w:type="dxa"/>
            <w:vAlign w:val="bottom"/>
          </w:tcPr>
          <w:p>
            <w:pPr>
              <w:spacing w:after="0"/>
              <w:rPr>
                <w:sz w:val="16"/>
                <w:szCs w:val="16"/>
                <w:color w:val="auto"/>
              </w:rPr>
            </w:pPr>
          </w:p>
        </w:tc>
        <w:tc>
          <w:tcPr>
            <w:tcW w:w="1300" w:type="dxa"/>
            <w:vAlign w:val="bottom"/>
          </w:tcPr>
          <w:p>
            <w:pPr>
              <w:jc w:val="center"/>
              <w:ind w:right="210"/>
              <w:spacing w:after="0" w:line="190"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38"/>
        </w:trPr>
        <w:tc>
          <w:tcPr>
            <w:tcW w:w="5760" w:type="dxa"/>
            <w:vAlign w:val="bottom"/>
            <w:tcBorders>
              <w:bottom w:val="single" w:sz="8" w:color="auto"/>
            </w:tcBorders>
            <w:vMerge w:val="continue"/>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5"/>
              </w:rPr>
              <w:t>18.7</w:t>
            </w:r>
          </w:p>
        </w:tc>
        <w:tc>
          <w:tcPr>
            <w:tcW w:w="0" w:type="dxa"/>
            <w:vAlign w:val="bottom"/>
          </w:tcPr>
          <w:p>
            <w:pPr>
              <w:spacing w:after="0"/>
              <w:rPr>
                <w:sz w:val="1"/>
                <w:szCs w:val="1"/>
                <w:color w:val="auto"/>
              </w:rPr>
            </w:pPr>
          </w:p>
        </w:tc>
      </w:tr>
      <w:tr>
        <w:trPr>
          <w:trHeight w:val="230"/>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w:t>
            </w:r>
          </w:p>
        </w:tc>
        <w:tc>
          <w:tcPr>
            <w:tcW w:w="4180" w:type="dxa"/>
            <w:vAlign w:val="bottom"/>
          </w:tcPr>
          <w:p>
            <w:pPr>
              <w:spacing w:after="0"/>
              <w:rPr>
                <w:sz w:val="19"/>
                <w:szCs w:val="19"/>
                <w:color w:val="auto"/>
              </w:rPr>
            </w:pPr>
          </w:p>
        </w:tc>
        <w:tc>
          <w:tcPr>
            <w:tcW w:w="130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5"/>
              </w:rPr>
              <w:t>20.3</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w:t>
            </w:r>
          </w:p>
        </w:tc>
        <w:tc>
          <w:tcPr>
            <w:tcW w:w="4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5"/>
              </w:rPr>
              <w:t>22.9</w:t>
            </w:r>
          </w:p>
        </w:tc>
        <w:tc>
          <w:tcPr>
            <w:tcW w:w="0" w:type="dxa"/>
            <w:vAlign w:val="bottom"/>
          </w:tcPr>
          <w:p>
            <w:pPr>
              <w:spacing w:after="0"/>
              <w:rPr>
                <w:sz w:val="1"/>
                <w:szCs w:val="1"/>
                <w:color w:val="auto"/>
              </w:rPr>
            </w:pPr>
          </w:p>
        </w:tc>
      </w:tr>
      <w:tr>
        <w:trPr>
          <w:trHeight w:val="20"/>
        </w:trPr>
        <w:tc>
          <w:tcPr>
            <w:tcW w:w="576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were calculated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7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74"/>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data</w:t>
            </w: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1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148.5</w:t>
            </w:r>
          </w:p>
        </w:tc>
        <w:tc>
          <w:tcPr>
            <w:tcW w:w="30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303.4</w:t>
            </w: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319.6</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ordinary shares outstanding</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0" w:type="dxa"/>
            <w:vAlign w:val="bottom"/>
          </w:tcPr>
          <w:p>
            <w:pPr>
              <w:spacing w:after="0"/>
              <w:rPr>
                <w:sz w:val="1"/>
                <w:szCs w:val="1"/>
                <w:color w:val="auto"/>
              </w:rPr>
            </w:pPr>
          </w:p>
        </w:tc>
      </w:tr>
      <w:tr>
        <w:trPr>
          <w:trHeight w:val="184"/>
        </w:trPr>
        <w:tc>
          <w:tcPr>
            <w:tcW w:w="5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Dilutive impact of stock options, restricted stock units and</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performance share units</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ordinary share</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Basic</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Diluted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14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b w:val="1"/>
                <w:bCs w:val="1"/>
                <w:color w:val="auto"/>
              </w:rPr>
              <w:t>Anti-dilutive stock options excluded from the calculation of</w:t>
            </w: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Accounts Receivable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Activity related to our allowance for credit losses is summarized as follows for the six months ended June 30, 2025:</w:t>
            </w: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40" w:type="dxa"/>
            <w:vAlign w:val="bottom"/>
          </w:tcPr>
          <w:p>
            <w:pPr>
              <w:spacing w:after="0"/>
              <w:rPr>
                <w:sz w:val="24"/>
                <w:szCs w:val="24"/>
                <w:color w:val="auto"/>
              </w:rPr>
            </w:pPr>
          </w:p>
        </w:tc>
        <w:tc>
          <w:tcPr>
            <w:tcW w:w="12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3"/>
        </w:trPr>
        <w:tc>
          <w:tcPr>
            <w:tcW w:w="904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9.1</w:t>
            </w:r>
          </w:p>
        </w:tc>
        <w:tc>
          <w:tcPr>
            <w:tcW w:w="0" w:type="dxa"/>
            <w:vAlign w:val="bottom"/>
          </w:tcPr>
          <w:p>
            <w:pPr>
              <w:spacing w:after="0"/>
              <w:rPr>
                <w:sz w:val="1"/>
                <w:szCs w:val="1"/>
                <w:color w:val="auto"/>
              </w:rPr>
            </w:pP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940" w:type="dxa"/>
            <w:vAlign w:val="bottom"/>
          </w:tcPr>
          <w:p>
            <w:pPr>
              <w:spacing w:after="0"/>
              <w:rPr>
                <w:sz w:val="19"/>
                <w:szCs w:val="19"/>
                <w:color w:val="auto"/>
              </w:rPr>
            </w:pPr>
          </w:p>
        </w:tc>
        <w:tc>
          <w:tcPr>
            <w:tcW w:w="126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7"/>
              </w:rPr>
              <w:t>0.2</w:t>
            </w:r>
          </w:p>
        </w:tc>
        <w:tc>
          <w:tcPr>
            <w:tcW w:w="0" w:type="dxa"/>
            <w:vAlign w:val="bottom"/>
          </w:tcPr>
          <w:p>
            <w:pPr>
              <w:spacing w:after="0"/>
              <w:rPr>
                <w:sz w:val="1"/>
                <w:szCs w:val="1"/>
                <w:color w:val="auto"/>
              </w:rPr>
            </w:pP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9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90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7"/>
              </w:rPr>
              <w:t>0.5</w:t>
            </w:r>
          </w:p>
        </w:tc>
        <w:tc>
          <w:tcPr>
            <w:tcW w:w="0" w:type="dxa"/>
            <w:vAlign w:val="bottom"/>
          </w:tcPr>
          <w:p>
            <w:pPr>
              <w:spacing w:after="0"/>
              <w:rPr>
                <w:sz w:val="1"/>
                <w:szCs w:val="1"/>
                <w:color w:val="auto"/>
              </w:rPr>
            </w:pPr>
          </w:p>
        </w:tc>
      </w:tr>
      <w:tr>
        <w:trPr>
          <w:trHeight w:val="248"/>
        </w:trPr>
        <w:tc>
          <w:tcPr>
            <w:tcW w:w="9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8.3</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Other amounts are primarily the effects of changes in currency translation and the impact of allowance for credits.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Supplemental Balance Sheet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00" w:type="dxa"/>
            <w:vAlign w:val="bottom"/>
          </w:tcPr>
          <w:p>
            <w:pPr>
              <w:spacing w:after="0"/>
              <w:rPr>
                <w:sz w:val="16"/>
                <w:szCs w:val="16"/>
                <w:color w:val="auto"/>
              </w:rPr>
            </w:pPr>
          </w:p>
        </w:tc>
        <w:tc>
          <w:tcPr>
            <w:tcW w:w="12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5720" w:type="dxa"/>
            <w:vAlign w:val="bottom"/>
            <w:tcBorders>
              <w:bottom w:val="single" w:sz="8" w:color="auto"/>
            </w:tcBorders>
            <w:vMerge w:val="continue"/>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2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Work-in-process</w:t>
            </w: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w:t>
            </w:r>
          </w:p>
        </w:tc>
        <w:tc>
          <w:tcPr>
            <w:tcW w:w="2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602.5</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610.9</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assets</w:t>
            </w:r>
          </w:p>
        </w:tc>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in excess of billings</w:t>
            </w:r>
          </w:p>
        </w:tc>
        <w:tc>
          <w:tcPr>
            <w:tcW w:w="2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16"/>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6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09"/>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2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6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w:t>
            </w: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0" w:type="dxa"/>
            <w:vAlign w:val="bottom"/>
          </w:tcPr>
          <w:p>
            <w:pPr>
              <w:spacing w:after="0"/>
              <w:rPr>
                <w:sz w:val="1"/>
                <w:szCs w:val="1"/>
                <w:color w:val="auto"/>
              </w:rPr>
            </w:pPr>
          </w:p>
        </w:tc>
      </w:tr>
      <w:tr>
        <w:trPr>
          <w:trHeight w:val="21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2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1,068.3</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2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747.0</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709.5</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2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assets</w:t>
            </w:r>
          </w:p>
        </w:tc>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2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235"/>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2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current liabilities</w:t>
            </w:r>
          </w:p>
        </w:tc>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payable</w:t>
            </w:r>
          </w:p>
        </w:tc>
        <w:tc>
          <w:tcPr>
            <w:tcW w:w="2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warranty</w:t>
            </w:r>
          </w:p>
        </w:tc>
        <w:tc>
          <w:tcPr>
            <w:tcW w:w="2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rebates and incentives</w:t>
            </w: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freight</w:t>
            </w:r>
          </w:p>
        </w:tc>
        <w:tc>
          <w:tcPr>
            <w:tcW w:w="2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Billings in excess of cost</w:t>
            </w: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lease liability</w:t>
            </w:r>
          </w:p>
        </w:tc>
        <w:tc>
          <w:tcPr>
            <w:tcW w:w="2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restructuring</w:t>
            </w:r>
          </w:p>
        </w:tc>
        <w:tc>
          <w:tcPr>
            <w:tcW w:w="2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35"/>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2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573.7</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non-current liabilities</w:t>
            </w:r>
          </w:p>
        </w:tc>
        <w:tc>
          <w:tcPr>
            <w:tcW w:w="2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lease liability</w:t>
            </w:r>
          </w:p>
        </w:tc>
        <w:tc>
          <w:tcPr>
            <w:tcW w:w="26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Self-insurance liabilities</w:t>
            </w: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plan liabilities</w:t>
            </w:r>
          </w:p>
        </w:tc>
        <w:tc>
          <w:tcPr>
            <w:tcW w:w="26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21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and interest rate contract liabilities</w:t>
            </w:r>
          </w:p>
        </w:tc>
        <w:tc>
          <w:tcPr>
            <w:tcW w:w="2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3"/>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35"/>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6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Goodwill and Other Identifiable Intangible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20" w:type="dxa"/>
            <w:vAlign w:val="bottom"/>
          </w:tcPr>
          <w:p>
            <w:pPr>
              <w:spacing w:after="0"/>
              <w:rPr>
                <w:sz w:val="17"/>
                <w:szCs w:val="17"/>
                <w:color w:val="auto"/>
              </w:rPr>
            </w:pPr>
          </w:p>
        </w:tc>
        <w:tc>
          <w:tcPr>
            <w:tcW w:w="15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17"/>
                <w:szCs w:val="17"/>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Foreign Currency</w:t>
            </w:r>
          </w:p>
        </w:tc>
        <w:tc>
          <w:tcPr>
            <w:tcW w:w="340" w:type="dxa"/>
            <w:vAlign w:val="bottom"/>
          </w:tcPr>
          <w:p>
            <w:pPr>
              <w:spacing w:after="0"/>
              <w:rPr>
                <w:sz w:val="17"/>
                <w:szCs w:val="17"/>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auto"/>
            </w:tcBorders>
            <w:vMerge w:val="continue"/>
          </w:tcPr>
          <w:p>
            <w:pPr>
              <w:spacing w:after="0"/>
              <w:rPr>
                <w:sz w:val="20"/>
                <w:szCs w:val="20"/>
                <w:color w:val="auto"/>
              </w:rPr>
            </w:pPr>
          </w:p>
        </w:tc>
        <w:tc>
          <w:tcPr>
            <w:tcW w:w="27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7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7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2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3,364.3</w:t>
            </w:r>
          </w:p>
        </w:tc>
        <w:tc>
          <w:tcPr>
            <w:tcW w:w="0" w:type="dxa"/>
            <w:vAlign w:val="bottom"/>
          </w:tcPr>
          <w:p>
            <w:pPr>
              <w:spacing w:after="0"/>
              <w:rPr>
                <w:sz w:val="1"/>
                <w:szCs w:val="1"/>
                <w:color w:val="auto"/>
              </w:rPr>
            </w:pPr>
          </w:p>
        </w:tc>
      </w:tr>
      <w:tr>
        <w:trPr>
          <w:trHeight w:val="21"/>
        </w:trPr>
        <w:tc>
          <w:tcPr>
            <w:tcW w:w="36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0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c>
          <w:tcPr>
            <w:tcW w:w="280" w:type="dxa"/>
            <w:vAlign w:val="bottom"/>
          </w:tcPr>
          <w:p>
            <w:pPr>
              <w:spacing w:after="0"/>
              <w:rPr>
                <w:sz w:val="14"/>
                <w:szCs w:val="14"/>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320" w:type="dxa"/>
            <w:vAlign w:val="bottom"/>
          </w:tcPr>
          <w:p>
            <w:pPr>
              <w:spacing w:after="0"/>
              <w:rPr>
                <w:sz w:val="14"/>
                <w:szCs w:val="14"/>
                <w:color w:val="auto"/>
              </w:rPr>
            </w:pPr>
          </w:p>
        </w:tc>
        <w:tc>
          <w:tcPr>
            <w:tcW w:w="9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1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Definite-life intangibles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0" w:type="dxa"/>
            <w:vAlign w:val="bottom"/>
          </w:tcPr>
          <w:p>
            <w:pPr>
              <w:spacing w:after="0"/>
              <w:rPr>
                <w:sz w:val="1"/>
                <w:szCs w:val="1"/>
                <w:color w:val="auto"/>
              </w:rPr>
            </w:pPr>
          </w:p>
        </w:tc>
      </w:tr>
      <w:tr>
        <w:trPr>
          <w:trHeight w:val="229"/>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 and patents</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definite-life intangibles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Indefinite-life intangibles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1,033.8</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Identifiable intangible asset amortization expense was $14.3 million and $13.4 million for the three months ended June 30, 2025 and 2024, and $28.5 million and $26.9 million for the six months ended June 30, 2025 and 2024, respectively.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 impairment charge of $30.9 million was recorded during the three and six months ended June 30, 2025 related to the write-off of a definite-lived customer relationship intangible asset as a result of a business exit within our Water Solutions segment during the second quarter of 2025. The impairment charge was recorded in </w:t>
      </w: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xml:space="preserve"> in the Condensed Consolidated Statements of Operations and Comprehensive Income. No impairment was recognized for identifiable intangible assets for the three and six months ended June 30, 2024.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amortization expense for identifiable intangible assets during the remainder of 2025 and the next five years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Q3 - Q4</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8"/>
        </w:trPr>
        <w:tc>
          <w:tcPr>
            <w:tcW w:w="38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2030</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and the average interest rates on debt outstanding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Average interest rate as of</w:t>
            </w:r>
          </w:p>
        </w:tc>
        <w:tc>
          <w:tcPr>
            <w:tcW w:w="11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420" w:type="dxa"/>
            <w:vAlign w:val="bottom"/>
          </w:tcPr>
          <w:p>
            <w:pPr>
              <w:spacing w:after="0"/>
              <w:rPr>
                <w:sz w:val="17"/>
                <w:szCs w:val="17"/>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180" w:type="dxa"/>
            <w:vAlign w:val="bottom"/>
            <w:tcBorders>
              <w:bottom w:val="single" w:sz="8" w:color="auto"/>
            </w:tcBorders>
            <w:vMerge w:val="continue"/>
          </w:tcPr>
          <w:p>
            <w:pPr>
              <w:spacing w:after="0"/>
              <w:rPr>
                <w:sz w:val="21"/>
                <w:szCs w:val="21"/>
                <w:color w:val="auto"/>
              </w:rPr>
            </w:pPr>
          </w:p>
        </w:tc>
        <w:tc>
          <w:tcPr>
            <w:tcW w:w="28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(Senior Credit Facility)</w:t>
            </w:r>
          </w:p>
        </w:tc>
        <w:tc>
          <w:tcPr>
            <w:tcW w:w="28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5.447%</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5.662%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4.650%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4.500%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 fixed rate </w:t>
            </w:r>
            <w:r>
              <w:rPr>
                <w:rFonts w:ascii="Times New Roman" w:cs="Times New Roman" w:eastAsia="Times New Roman" w:hAnsi="Times New Roman"/>
                <w:sz w:val="23"/>
                <w:szCs w:val="23"/>
                <w:color w:val="auto"/>
                <w:vertAlign w:val="superscript"/>
              </w:rPr>
              <w:t>(1)</w:t>
            </w:r>
          </w:p>
        </w:tc>
        <w:tc>
          <w:tcPr>
            <w:tcW w:w="28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7"/>
              </w:rPr>
              <w:t>5.900%</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5.447%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 and discounts</w:t>
            </w:r>
          </w:p>
        </w:tc>
        <w:tc>
          <w:tcPr>
            <w:tcW w:w="2820" w:type="dxa"/>
            <w:vAlign w:val="bottom"/>
            <w:tcBorders>
              <w:bottom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N/A</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short-term borrowings</w:t>
            </w:r>
          </w:p>
        </w:tc>
        <w:tc>
          <w:tcPr>
            <w:tcW w:w="2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8"/>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0" w:hanging="174"/>
        <w:spacing w:after="0"/>
        <w:tabs>
          <w:tab w:leader="none" w:pos="20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Senior notes are guaranteed as to payment by Pentair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which was amended and restated in May 2025, providing for a $900.0 million senior unsecured revolving credit facility. The Senior Credit Facility has a maturity date of May 5, 2030.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total availability under the Senior Credit Facility was $880.6 million. In addition, PFSA has the option to request to increase the revolving credit facility and/or to enter into one or more tranches of term loans in an aggregate amount of up to $450.0 million, subject to customary conditions, including the commitment of the participating lenders.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June 30, 2025, the remaining obligation of $575.0 million matures on July 28, 2027.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$20.9 million, of which there were no outstanding borrowings at June 30, 2025. Borrowings under these credit facilities bear interest at variable rates.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have $19.3 million of senior notes maturing in the next twelve months. We classified this debt as long-term as of June 30, 2025 as we have the intent and ability to refinance such obligation on a long-term basis under the Senior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outstanding, excluding unamortized issuance costs and discounts, at June 30, 2025 matures on a calendar year basis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Q3 - Q4</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2028</w:t>
            </w:r>
          </w:p>
        </w:tc>
        <w:tc>
          <w:tcPr>
            <w:tcW w:w="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2030</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debt obligation maturities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6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r>
    </w:tbl>
    <w:p>
      <w:pPr>
        <w:spacing w:after="0" w:line="248" w:lineRule="exact"/>
        <w:rPr>
          <w:sz w:val="20"/>
          <w:szCs w:val="20"/>
          <w:color w:val="auto"/>
        </w:rPr>
      </w:pPr>
    </w:p>
    <w:p>
      <w:pPr>
        <w:ind w:right="7880" w:firstLine="8"/>
        <w:spacing w:after="0" w:line="278" w:lineRule="auto"/>
        <w:tabs>
          <w:tab w:leader="none" w:pos="40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Derivatives and Financial Instruments </w:t>
      </w:r>
      <w:r>
        <w:rPr>
          <w:rFonts w:ascii="Times New Roman" w:cs="Times New Roman" w:eastAsia="Times New Roman" w:hAnsi="Times New Roman"/>
          <w:sz w:val="17"/>
          <w:szCs w:val="17"/>
          <w:b w:val="1"/>
          <w:bCs w:val="1"/>
          <w:i w:val="1"/>
          <w:iCs w:val="1"/>
          <w:color w:val="auto"/>
        </w:rPr>
        <w:t>Derivative financial instruments</w:t>
      </w:r>
    </w:p>
    <w:p>
      <w:pPr>
        <w:spacing w:after="0" w:line="1" w:lineRule="exact"/>
        <w:rPr>
          <w:rFonts w:ascii="Times New Roman" w:cs="Times New Roman" w:eastAsia="Times New Roman" w:hAnsi="Times New Roman"/>
          <w:sz w:val="17"/>
          <w:szCs w:val="17"/>
          <w:b w:val="1"/>
          <w:bCs w:val="1"/>
          <w:color w:val="auto"/>
        </w:rPr>
      </w:pPr>
    </w:p>
    <w:p>
      <w:pPr>
        <w:jc w:val="both"/>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contracts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June 30, 2025, we had outstanding foreign currency derivative contracts with gross notional U.S. dollar equivalent amounts of $22.0 million. At December 31, 2024, there were no outstanding foreign currency derivative contracts. The impact of these contracts on the Condensed Consolidated Statements of Operations and Comprehensive Income was not material for any period presented.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At June 30, 2025 and December 31, 2024, we had outstanding cross currency swap agreements with a combined notional amount of $819.1 million and $728.5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$94.2 million and $13.8 million at June 30, 2025 and December 31, 2024, respectively,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of variable interest rates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exposure to certain interest rate risks related to our variable-rate debt through the use of interest rate swaps and collars. We enter into these agreements to hedge the variability of interest expense and cash flows attributable to changes in interest rates of our variable-rate debt. As of June 30, 2025, we had an aggregate notional amount of $300.0 million and $200.0 million in interest rate swaps and collars, respectively, that are designated as cash flow hedges.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Unrealized gains and losses related to the fair value of the interest rate swaps are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on our Condensed Consolidated Balance Sheets. We had unrealized gains of $0.1 million and $1.9 million at June 30, 2025 and December 31, 2024, respectively, recorded in </w:t>
      </w:r>
      <w:r>
        <w:rPr>
          <w:rFonts w:ascii="Times New Roman" w:cs="Times New Roman" w:eastAsia="Times New Roman" w:hAnsi="Times New Roman"/>
          <w:sz w:val="18"/>
          <w:szCs w:val="18"/>
          <w:i w:val="1"/>
          <w:iCs w:val="1"/>
          <w:color w:val="auto"/>
        </w:rPr>
        <w:t xml:space="preserve">Accumulated other comprehensive loss </w:t>
      </w:r>
      <w:r>
        <w:rPr>
          <w:rFonts w:ascii="Times New Roman" w:cs="Times New Roman" w:eastAsia="Times New Roman" w:hAnsi="Times New Roman"/>
          <w:sz w:val="18"/>
          <w:szCs w:val="18"/>
          <w:color w:val="auto"/>
        </w:rPr>
        <w:t>associated with our interest rate swap and collar activity. The periodic interest settlements related to our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swaps and collars are classified as operating activities.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03"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7"/>
          <w:szCs w:val="17"/>
          <w:color w:val="auto"/>
        </w:rPr>
        <w:t>Valuation is based on observable inputs such as quoted market prices (unadjusted) for identical assets or liabilities in active markets.</w:t>
      </w:r>
    </w:p>
    <w:p>
      <w:pPr>
        <w:spacing w:after="0" w:line="77" w:lineRule="exact"/>
        <w:rPr>
          <w:sz w:val="20"/>
          <w:szCs w:val="20"/>
          <w:color w:val="auto"/>
        </w:rPr>
      </w:pPr>
    </w:p>
    <w:p>
      <w:pPr>
        <w:ind w:left="1380" w:right="20" w:hanging="741"/>
        <w:spacing w:after="0" w:line="237" w:lineRule="auto"/>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6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7"/>
          <w:szCs w:val="17"/>
          <w:color w:val="auto"/>
        </w:rPr>
        <w:t>Valuation is based upon other unobservable inputs that are significant to the fair value measurement.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values of each class of financial instrument:</w:t>
      </w:r>
    </w:p>
    <w:p>
      <w:pPr>
        <w:spacing w:after="0" w:line="151" w:lineRule="exact"/>
        <w:rPr>
          <w:sz w:val="20"/>
          <w:szCs w:val="20"/>
          <w:color w:val="auto"/>
        </w:rPr>
      </w:pPr>
    </w:p>
    <w:p>
      <w:pPr>
        <w:ind w:left="500" w:hanging="330"/>
        <w:spacing w:after="0" w:line="284" w:lineRule="auto"/>
        <w:tabs>
          <w:tab w:leader="none" w:pos="4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short-term financial instruments (cash and cash equivalents, accounts and notes receivable, accounts payable and variable-rate debt) </w:t>
      </w:r>
      <w:r>
        <w:rPr>
          <w:rFonts w:ascii="Times New Roman" w:cs="Times New Roman" w:eastAsia="Times New Roman" w:hAnsi="Times New Roman"/>
          <w:sz w:val="18"/>
          <w:szCs w:val="18"/>
          <w:color w:val="auto"/>
        </w:rPr>
        <w:t>— recorded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approximates fair value because of the short maturity period;</w:t>
      </w:r>
    </w:p>
    <w:p>
      <w:pPr>
        <w:spacing w:after="0" w:line="104" w:lineRule="exact"/>
        <w:rPr>
          <w:rFonts w:ascii="Times New Roman" w:cs="Times New Roman" w:eastAsia="Times New Roman" w:hAnsi="Times New Roman"/>
          <w:sz w:val="18"/>
          <w:szCs w:val="18"/>
          <w:color w:val="auto"/>
        </w:rPr>
      </w:pPr>
    </w:p>
    <w:p>
      <w:pPr>
        <w:ind w:left="500" w:hanging="330"/>
        <w:spacing w:after="0" w:line="284" w:lineRule="auto"/>
        <w:tabs>
          <w:tab w:leader="none" w:pos="4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long-term fixed-rate debt, including current maturities </w:t>
      </w:r>
      <w:r>
        <w:rPr>
          <w:rFonts w:ascii="Times New Roman" w:cs="Times New Roman" w:eastAsia="Times New Roman" w:hAnsi="Times New Roman"/>
          <w:sz w:val="18"/>
          <w:szCs w:val="18"/>
          <w:color w:val="auto"/>
        </w:rPr>
        <w:t>— fair value is based on market quotes available for issuance of debt with similar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inputs that are classified as Level 2 in the valuation hierarchy defined above;</w:t>
      </w:r>
    </w:p>
    <w:p>
      <w:pPr>
        <w:spacing w:after="0" w:line="104" w:lineRule="exact"/>
        <w:rPr>
          <w:rFonts w:ascii="Times New Roman" w:cs="Times New Roman" w:eastAsia="Times New Roman" w:hAnsi="Times New Roman"/>
          <w:sz w:val="18"/>
          <w:szCs w:val="18"/>
          <w:color w:val="auto"/>
        </w:rPr>
      </w:pPr>
    </w:p>
    <w:p>
      <w:pPr>
        <w:jc w:val="both"/>
        <w:ind w:left="500" w:hanging="330"/>
        <w:spacing w:after="0" w:line="267" w:lineRule="auto"/>
        <w:tabs>
          <w:tab w:leader="none" w:pos="4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currency contracts, interest rate swap and collar agreements </w:t>
      </w:r>
      <w:r>
        <w:rPr>
          <w:rFonts w:ascii="Times New Roman" w:cs="Times New Roman" w:eastAsia="Times New Roman" w:hAnsi="Times New Roman"/>
          <w:sz w:val="18"/>
          <w:szCs w:val="18"/>
          <w:color w:val="auto"/>
        </w:rPr>
        <w:t>— fair values are determined through the use of models that consider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including time value, yield curves, as well as other relevant economic measures, which are inputs that are classified as Level 2 in the valuation hierarchy defined above;</w:t>
      </w:r>
    </w:p>
    <w:p>
      <w:pPr>
        <w:spacing w:after="0" w:line="119" w:lineRule="exact"/>
        <w:rPr>
          <w:rFonts w:ascii="Times New Roman" w:cs="Times New Roman" w:eastAsia="Times New Roman" w:hAnsi="Times New Roman"/>
          <w:sz w:val="18"/>
          <w:szCs w:val="18"/>
          <w:color w:val="auto"/>
        </w:rPr>
      </w:pPr>
    </w:p>
    <w:p>
      <w:pPr>
        <w:jc w:val="both"/>
        <w:ind w:left="460" w:hanging="331"/>
        <w:spacing w:after="0" w:line="261" w:lineRule="auto"/>
        <w:tabs>
          <w:tab w:leader="none" w:pos="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deferred compensation plan assets (mutual funds, common/collective trusts and cash equivalents for payment of certain non-qualified benefits for retired, terminated and active employees) </w:t>
      </w:r>
      <w:r>
        <w:rPr>
          <w:rFonts w:ascii="Times New Roman" w:cs="Times New Roman" w:eastAsia="Times New Roman" w:hAnsi="Times New Roman"/>
          <w:sz w:val="18"/>
          <w:szCs w:val="18"/>
          <w:color w:val="auto"/>
        </w:rPr>
        <w:t>— fair value of mutual funds and cash equivalents are based on quoted market prices in active markets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classified as Level 1 in the valuation hierarchy defined above; fair value of common/collective trusts are valued at net asset value (“NAV”), which is based on the fair value of the underlying securities owned by the fund and divided by the number of shares outstanding; and</w:t>
      </w:r>
    </w:p>
    <w:p>
      <w:pPr>
        <w:spacing w:after="0" w:line="125" w:lineRule="exact"/>
        <w:rPr>
          <w:rFonts w:ascii="Times New Roman" w:cs="Times New Roman" w:eastAsia="Times New Roman" w:hAnsi="Times New Roman"/>
          <w:sz w:val="18"/>
          <w:szCs w:val="18"/>
          <w:color w:val="auto"/>
        </w:rPr>
      </w:pPr>
    </w:p>
    <w:p>
      <w:pPr>
        <w:ind w:left="460" w:hanging="331"/>
        <w:spacing w:after="0" w:line="284" w:lineRule="auto"/>
        <w:tabs>
          <w:tab w:leader="none" w:pos="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contingent earn-out liabilities </w:t>
      </w:r>
      <w:r>
        <w:rPr>
          <w:rFonts w:ascii="Times New Roman" w:cs="Times New Roman" w:eastAsia="Times New Roman" w:hAnsi="Times New Roman"/>
          <w:sz w:val="18"/>
          <w:szCs w:val="18"/>
          <w:color w:val="auto"/>
        </w:rPr>
        <w:t>— fair value is generally established using a probability-weighted discounted income approach to convert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cash flows to a single present value amount. The related inputs are classified as Level 3 in the valuation hierarchy defined above.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recorded amounts and estimated fair values of total debt, excluding unamortized issuance costs and discounts,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400" w:type="dxa"/>
            <w:vAlign w:val="bottom"/>
          </w:tcPr>
          <w:p>
            <w:pPr>
              <w:spacing w:after="0"/>
              <w:rPr>
                <w:sz w:val="14"/>
                <w:szCs w:val="14"/>
                <w:color w:val="auto"/>
              </w:rPr>
            </w:pPr>
          </w:p>
        </w:tc>
        <w:tc>
          <w:tcPr>
            <w:tcW w:w="880" w:type="dxa"/>
            <w:vAlign w:val="bottom"/>
          </w:tcPr>
          <w:p>
            <w:pPr>
              <w:jc w:val="center"/>
              <w:ind w:right="29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150"/>
              <w:spacing w:after="0" w:line="171" w:lineRule="exact"/>
              <w:rPr>
                <w:sz w:val="20"/>
                <w:szCs w:val="20"/>
                <w:color w:val="auto"/>
              </w:rPr>
            </w:pPr>
            <w:r>
              <w:rPr>
                <w:rFonts w:ascii="Times New Roman" w:cs="Times New Roman" w:eastAsia="Times New Roman" w:hAnsi="Times New Roman"/>
                <w:sz w:val="18"/>
                <w:szCs w:val="18"/>
                <w:b w:val="1"/>
                <w:bCs w:val="1"/>
                <w:color w:val="auto"/>
              </w:rPr>
              <w:t>Recorded</w:t>
            </w:r>
          </w:p>
        </w:tc>
        <w:tc>
          <w:tcPr>
            <w:tcW w:w="320" w:type="dxa"/>
            <w:vAlign w:val="bottom"/>
          </w:tcPr>
          <w:p>
            <w:pPr>
              <w:spacing w:after="0"/>
              <w:rPr>
                <w:sz w:val="14"/>
                <w:szCs w:val="14"/>
                <w:color w:val="auto"/>
              </w:rPr>
            </w:pPr>
          </w:p>
        </w:tc>
        <w:tc>
          <w:tcPr>
            <w:tcW w:w="960" w:type="dxa"/>
            <w:vAlign w:val="bottom"/>
          </w:tcPr>
          <w:p>
            <w:pPr>
              <w:jc w:val="right"/>
              <w:ind w:right="370"/>
              <w:spacing w:after="0" w:line="171"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rate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843.8</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Fixed rate debt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834.7</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814.3</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1,663.1</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measured at fair value on a recurring and nonrecurring basis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 liabilities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earn-out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8"/>
              </w:rPr>
              <w:t>(8.0)</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8"/>
              </w:rPr>
              <w:t>(8.0)</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1"/>
        </w:trPr>
        <w:tc>
          <w:tcPr>
            <w:tcW w:w="5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Nonrecurring fair value measurements </w:t>
      </w:r>
      <w:r>
        <w:rPr>
          <w:rFonts w:ascii="Times New Roman" w:cs="Times New Roman" w:eastAsia="Times New Roman" w:hAnsi="Times New Roman"/>
          <w:sz w:val="23"/>
          <w:szCs w:val="23"/>
          <w:b w:val="1"/>
          <w:bCs w:val="1"/>
          <w:color w:val="auto"/>
          <w:vertAlign w:val="superscript"/>
        </w:rPr>
        <w:t>(1)</w:t>
      </w:r>
    </w:p>
    <w:p>
      <w:pPr>
        <w:spacing w:after="0" w:line="113" w:lineRule="exact"/>
        <w:rPr>
          <w:sz w:val="20"/>
          <w:szCs w:val="20"/>
          <w:color w:val="auto"/>
        </w:rPr>
      </w:pPr>
    </w:p>
    <w:p>
      <w:pPr>
        <w:jc w:val="both"/>
        <w:ind w:left="180" w:hanging="172"/>
        <w:spacing w:after="0" w:line="256" w:lineRule="auto"/>
        <w:tabs>
          <w:tab w:leader="none" w:pos="167"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During the quarter ended June 30, 2025, we recorded an impairment charge on a definite-lived customer relationship intangible asset of $30.9 million. We determined the value using unobservable inputs and wrote the balance of the definite-lived intangible asset to zero. The impairment charge was recorded in </w:t>
      </w:r>
      <w:r>
        <w:rPr>
          <w:rFonts w:ascii="Times New Roman" w:cs="Times New Roman" w:eastAsia="Times New Roman" w:hAnsi="Times New Roman"/>
          <w:sz w:val="15"/>
          <w:szCs w:val="15"/>
          <w:i w:val="1"/>
          <w:iCs w:val="1"/>
          <w:color w:val="auto"/>
        </w:rPr>
        <w:t>Selling, general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administrative expenses </w:t>
      </w:r>
      <w:r>
        <w:rPr>
          <w:rFonts w:ascii="Times New Roman" w:cs="Times New Roman" w:eastAsia="Times New Roman" w:hAnsi="Times New Roman"/>
          <w:sz w:val="15"/>
          <w:szCs w:val="15"/>
          <w:color w:val="auto"/>
        </w:rPr>
        <w:t>in the Condensed Consolidated Statements of Operations and Comprehensive Income.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NAV</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contract liabilities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9"/>
                <w:szCs w:val="19"/>
                <w:color w:val="auto"/>
              </w:rPr>
            </w:pPr>
          </w:p>
        </w:tc>
        <w:tc>
          <w:tcPr>
            <w:tcW w:w="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plan assets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9"/>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Contingent earn-out liabilities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8"/>
              </w:rPr>
              <w:t>(8.0)</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8"/>
        </w:trPr>
        <w:tc>
          <w:tcPr>
            <w:tcW w:w="5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8"/>
              </w:rPr>
              <w:t>(8.0)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5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 2024, we completed the acquisition of G &amp; F Manufacturing, LLC (“G &amp; F Manufacturing”). In conjunction with the acquisition, we recorded an estimated fair value of $8.0 million of contingent earn-out liabilities, which are considered Level 3 under our fair value hierarchy. The recorded fair value of the associated contingent earn-out liabilities was reviewed as of June 30, 2025, with no further change in fair value. The fair value of the contingent earn-out liabilities will be re-measured for each reporting period until resolution of the contingent earn-out payments, and any resulting changes to fair value would be recorded in earnings.</w:t>
      </w:r>
    </w:p>
    <w:p>
      <w:pPr>
        <w:spacing w:after="0" w:line="152" w:lineRule="exact"/>
        <w:rPr>
          <w:sz w:val="20"/>
          <w:szCs w:val="20"/>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both the six months ended June 30, 2025 and June 30, 2024 was 14.6%. We continue to actively pursue initiatives to reduce our effective tax rate. The tax rate in any quarter can be affected positively or negatively by the mix of global earnings or adjustments that are required to be reported in the specific quarter of resolution.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total gross liability for uncertain tax positions was $5.0 million and $6.0 million at June 30, 2025 and December 31, 2024, respectively. We record penalties and interest related to unrecognized tax benefits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interest expense</w:t>
      </w:r>
      <w:r>
        <w:rPr>
          <w:rFonts w:ascii="Times New Roman" w:cs="Times New Roman" w:eastAsia="Times New Roman" w:hAnsi="Times New Roman"/>
          <w:sz w:val="18"/>
          <w:szCs w:val="18"/>
          <w:color w:val="auto"/>
        </w:rPr>
        <w:t>, respectively, on the Condensed Consolidated Statements of Operations and Comprehensive Income, which is consistent with our past practices.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have been adopted by a number of jurisdictions in which we operate. For the six months ended June 30, 2025 and June 30, 2024, the impact of Pillar Two on our condensed consolidated financial statements was not material.</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U.S. enacted H.R.1 – One Big Beautiful Bill Act (the “Act”). The Act contains numerous income tax provisions, such as the permanent extension of certain expiring provisions of the Tax Cuts and Jobs Act and modifications to the international tax framework. The legislation has multiple effective dates, with certain provisions effective in 2025 and others implemented through 2027. We are currently assessing its impact on our consolidated financial statements.</w:t>
      </w:r>
    </w:p>
    <w:p>
      <w:pPr>
        <w:spacing w:after="0" w:line="2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Benefit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net periodic benefit expense for our pension plans for the three and six months ended June 30, 2025 and 2024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80" w:type="dxa"/>
            <w:vAlign w:val="bottom"/>
          </w:tcPr>
          <w:p>
            <w:pPr>
              <w:spacing w:after="0"/>
              <w:rPr>
                <w:sz w:val="14"/>
                <w:szCs w:val="14"/>
                <w:color w:val="auto"/>
              </w:rPr>
            </w:pPr>
          </w:p>
        </w:tc>
        <w:tc>
          <w:tcPr>
            <w:tcW w:w="122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3"/>
        </w:trPr>
        <w:tc>
          <w:tcPr>
            <w:tcW w:w="514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1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2.0</w:t>
            </w:r>
          </w:p>
        </w:tc>
        <w:tc>
          <w:tcPr>
            <w:tcW w:w="280" w:type="dxa"/>
            <w:vAlign w:val="bottom"/>
          </w:tcPr>
          <w:p>
            <w:pPr>
              <w:spacing w:after="0"/>
              <w:rPr>
                <w:sz w:val="19"/>
                <w:szCs w:val="19"/>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periodic benefit expense</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7"/>
              </w:rPr>
              <w:t>2.2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Components of net periodic benefit expense for our other post-retirement plans for the three and six months ended June 30, 2025 and 2024 were not material.</w:t>
      </w:r>
    </w:p>
    <w:p>
      <w:pPr>
        <w:spacing w:after="0" w:line="185" w:lineRule="exact"/>
        <w:rPr>
          <w:sz w:val="20"/>
          <w:szCs w:val="20"/>
          <w:color w:val="auto"/>
        </w:rPr>
      </w:pPr>
    </w:p>
    <w:p>
      <w:pPr>
        <w:ind w:right="9200" w:firstLine="8"/>
        <w:spacing w:after="0" w:line="263" w:lineRule="auto"/>
        <w:tabs>
          <w:tab w:leader="none" w:pos="40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b w:val="1"/>
          <w:bCs w:val="1"/>
          <w:i w:val="1"/>
          <w:iCs w:val="1"/>
          <w:color w:val="auto"/>
        </w:rPr>
        <w:t>Share repurchases</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The authorization expires on December 31, 2025. During the six months ended June 30, 2025, we repurchased 1.3 million of our ordinary shares for $125.0 million. As of June 30, 2025, we had $325.0 million available for share repurchases under this authorization.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May 5, 2025, the Board of Directors declared a quarterly cash dividend of $0.25 per share, payable on August 1, 2025 to shareholders of record at the close of business on July 18, 2025.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$41.0 million at June 30, 2025, compared to $41.2 million at December 31, 2024.</w:t>
      </w:r>
    </w:p>
    <w:p>
      <w:pPr>
        <w:spacing w:after="0" w:line="14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comprised of three reportable segments: Flow, Water Solutions and Pool. We evaluate performance based on net sales and reportable segment income and use certain ratios, particularly return on sales, to measure performance of our reportable segments. These results are not necessarily indicative of the results of operations that would have occurred had each segment been an independent, stand-alone entity during the periods presented. Reportable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 “Corporate and other” activity primarily consists of corporate expenses not allocated to the segments, including executive office, board of directors, and centrally-managed corporate functional or shared service costs related to finance, human resources, communications and corporate development. These activities do not meet the criteria for a stand-alone reportable segment under accounting standards codification (“ASC”) 280.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Financial information by reportable segment as well as a reconciliation of reportable segment income to consolidated income from continuing operations before income taxes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7"/>
                <w:szCs w:val="17"/>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63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Identifiable assets </w:t>
            </w:r>
            <w:r>
              <w:rPr>
                <w:rFonts w:ascii="Times New Roman" w:cs="Times New Roman" w:eastAsia="Times New Roman" w:hAnsi="Times New Roman"/>
                <w:sz w:val="23"/>
                <w:szCs w:val="23"/>
                <w:b w:val="1"/>
                <w:bCs w:val="1"/>
                <w:color w:val="auto"/>
                <w:vertAlign w:val="superscript"/>
              </w:rPr>
              <w:t>(1)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2,589.5</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2,613.5</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1,742.9</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6,035.4</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6,005.5</w:t>
            </w:r>
          </w:p>
        </w:tc>
      </w:tr>
      <w:tr>
        <w:trPr>
          <w:trHeight w:val="230"/>
        </w:trPr>
        <w:tc>
          <w:tcPr>
            <w:tcW w:w="8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r>
      <w:tr>
        <w:trPr>
          <w:trHeight w:val="223"/>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6,446.5</w:t>
            </w:r>
          </w:p>
        </w:tc>
      </w:tr>
      <w:tr>
        <w:trPr>
          <w:trHeight w:val="21"/>
        </w:trPr>
        <w:tc>
          <w:tcPr>
            <w:tcW w:w="8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All cash and cash equivalents are included in “Corporate and other.”</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0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 w:type="dxa"/>
            <w:vAlign w:val="bottom"/>
          </w:tcPr>
          <w:p>
            <w:pPr>
              <w:spacing w:after="0"/>
              <w:rPr>
                <w:sz w:val="20"/>
                <w:szCs w:val="20"/>
                <w:color w:val="auto"/>
              </w:rPr>
            </w:pPr>
          </w:p>
        </w:tc>
        <w:tc>
          <w:tcPr>
            <w:tcW w:w="20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6"/>
              </w:rPr>
              <w:t>June 30,</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8"/>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Solutions</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Pool</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total</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2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2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Flow</w:t>
            </w:r>
          </w:p>
        </w:tc>
        <w:tc>
          <w:tcPr>
            <w:tcW w:w="5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Pool</w:t>
            </w:r>
          </w:p>
        </w:tc>
        <w:tc>
          <w:tcPr>
            <w:tcW w:w="5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0" w:type="dxa"/>
            <w:vAlign w:val="bottom"/>
          </w:tcPr>
          <w:p>
            <w:pPr>
              <w:spacing w:after="0"/>
              <w:rPr>
                <w:sz w:val="1"/>
                <w:szCs w:val="1"/>
                <w:color w:val="auto"/>
              </w:rPr>
            </w:pPr>
          </w:p>
        </w:tc>
      </w:tr>
      <w:tr>
        <w:trPr>
          <w:trHeight w:val="229"/>
        </w:trPr>
        <w:tc>
          <w:tcPr>
            <w:tcW w:w="370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(1)(3)</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(246.3)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(229.0)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(1)(2)(3)</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4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1,099.3</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(1)(3)</w:t>
            </w:r>
          </w:p>
        </w:tc>
        <w:tc>
          <w:tcPr>
            <w:tcW w:w="8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(1)(2)(3)</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1"/>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8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765.2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2,132.8</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2,133.5</w:t>
            </w: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45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4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(1)(3)</w:t>
            </w:r>
          </w:p>
        </w:tc>
        <w:tc>
          <w:tcPr>
            <w:tcW w:w="800" w:type="dxa"/>
            <w:vAlign w:val="bottom"/>
          </w:tcPr>
          <w:p>
            <w:pPr>
              <w:spacing w:after="0"/>
              <w:rPr>
                <w:sz w:val="19"/>
                <w:szCs w:val="19"/>
                <w:color w:val="auto"/>
              </w:rPr>
            </w:pPr>
          </w:p>
        </w:tc>
        <w:tc>
          <w:tcPr>
            <w:tcW w:w="11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(475.1)</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5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(1)(2)(3)</w:t>
            </w: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(113.4)</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176.7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Pentair plc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Flow</w:t>
            </w:r>
          </w:p>
        </w:tc>
        <w:tc>
          <w:tcPr>
            <w:tcW w:w="1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Water Solutions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Pool</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8"/>
              </w:rPr>
              <w:t>781.1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2,115.7</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consolidated net sales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29"/>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goods sold </w:t>
            </w:r>
            <w:r>
              <w:rPr>
                <w:rFonts w:ascii="Times New Roman" w:cs="Times New Roman" w:eastAsia="Times New Roman" w:hAnsi="Times New Roman"/>
                <w:sz w:val="23"/>
                <w:szCs w:val="23"/>
                <w:color w:val="auto"/>
                <w:vertAlign w:val="superscript"/>
              </w:rPr>
              <w:t>(1)(3)</w:t>
            </w:r>
          </w:p>
        </w:tc>
        <w:tc>
          <w:tcPr>
            <w:tcW w:w="840" w:type="dxa"/>
            <w:vAlign w:val="bottom"/>
          </w:tcPr>
          <w:p>
            <w:pPr>
              <w:spacing w:after="0"/>
              <w:rPr>
                <w:sz w:val="19"/>
                <w:szCs w:val="19"/>
                <w:color w:val="auto"/>
              </w:rPr>
            </w:pPr>
          </w:p>
        </w:tc>
        <w:tc>
          <w:tcPr>
            <w:tcW w:w="11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(497.1)</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58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3"/>
                <w:szCs w:val="23"/>
                <w:color w:val="auto"/>
                <w:vertAlign w:val="superscript"/>
              </w:rPr>
              <w:t>(1)(2)(3)</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(122.3)</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Reportable segment income</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161.7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Transformation costs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write-offs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accrual adjustments and settlements</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8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8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80" w:hanging="172"/>
        <w:spacing w:after="0" w:line="226" w:lineRule="auto"/>
        <w:tabs>
          <w:tab w:leader="none" w:pos="183"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significant expense categories and amounts align with the segment-level information that is regularly provided to the chief operating decision maker which includes certain corporate overhead allocations directly attributable to each of the segments.</w:t>
      </w:r>
    </w:p>
    <w:p>
      <w:pPr>
        <w:spacing w:after="0" w:line="20" w:lineRule="exact"/>
        <w:rPr>
          <w:rFonts w:ascii="Times New Roman" w:cs="Times New Roman" w:eastAsia="Times New Roman" w:hAnsi="Times New Roman"/>
          <w:sz w:val="22"/>
          <w:szCs w:val="22"/>
          <w:color w:val="auto"/>
          <w:vertAlign w:val="superscript"/>
        </w:rPr>
      </w:pPr>
    </w:p>
    <w:p>
      <w:pPr>
        <w:ind w:left="180" w:hanging="172"/>
        <w:spacing w:after="0" w:line="219" w:lineRule="auto"/>
        <w:tabs>
          <w:tab w:leader="none" w:pos="183"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Operating expenses include selling, general, administrative, research and development costs which primarily consist of non-manufacturing employee compensation, non-manufacturing overhead and professional service costs as well as depreciation expense.</w:t>
      </w:r>
    </w:p>
    <w:p>
      <w:pPr>
        <w:spacing w:after="0" w:line="19" w:lineRule="exact"/>
        <w:rPr>
          <w:rFonts w:ascii="Times New Roman" w:cs="Times New Roman" w:eastAsia="Times New Roman" w:hAnsi="Times New Roman"/>
          <w:sz w:val="22"/>
          <w:szCs w:val="22"/>
          <w:color w:val="auto"/>
          <w:vertAlign w:val="superscript"/>
        </w:rPr>
      </w:pPr>
    </w:p>
    <w:p>
      <w:pPr>
        <w:ind w:left="180" w:hanging="172"/>
        <w:spacing w:after="0" w:line="220" w:lineRule="auto"/>
        <w:tabs>
          <w:tab w:leader="none" w:pos="20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These costs exclude certain expenses reported in the Condensed Consolidated Statements of Operations and Comprehensive Income, including costs that are reflected in "Corporate and other,” and expenses excluded from reportable segment income as defined above.</w:t>
      </w:r>
    </w:p>
    <w:p>
      <w:pPr>
        <w:spacing w:after="0" w:line="215" w:lineRule="exact"/>
        <w:rPr>
          <w:sz w:val="20"/>
          <w:szCs w:val="20"/>
          <w:color w:val="auto"/>
        </w:rPr>
      </w:pPr>
    </w:p>
    <w:p>
      <w:pPr>
        <w:ind w:right="8280" w:firstLine="8"/>
        <w:spacing w:after="0" w:line="263" w:lineRule="auto"/>
        <w:tabs>
          <w:tab w:leader="none" w:pos="40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Warranties</w:t>
      </w: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service and product warranties from continuing operations for the six months ended June 30, 2025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8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6260" w:type="dxa"/>
            <w:vAlign w:val="bottom"/>
            <w:tcBorders>
              <w:bottom w:val="single" w:sz="8" w:color="auto"/>
            </w:tcBorders>
            <w:vMerge w:val="continue"/>
          </w:tcPr>
          <w:p>
            <w:pPr>
              <w:spacing w:after="0"/>
              <w:rPr>
                <w:sz w:val="21"/>
                <w:szCs w:val="21"/>
                <w:color w:val="auto"/>
              </w:rPr>
            </w:pPr>
          </w:p>
        </w:tc>
        <w:tc>
          <w:tcPr>
            <w:tcW w:w="36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and product warranty provision</w:t>
            </w:r>
          </w:p>
        </w:tc>
        <w:tc>
          <w:tcPr>
            <w:tcW w:w="36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6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6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 bank guarantees and bonds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 outstanding value of bonds, letters of credit and bank guarantees totaled $110.8 million and $102.1 million,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100"/>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Forward-looking statements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this Form 10-Q and our Annual Report on Form 10-K for the year ended December 31, 2024. All forward-looking statements speak only as of the date of this report. Pentair assumes no obligation, and disclaims any obligation, to update the information contained in this report.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moving, improving or helping people enjoy water, we help manage life’s most essential resource. We are comprised of three reportable segments: Flow, Water Solutions and Pool. For the first six months of 2025, the Flow, Water Solutions and Pool reportable segments represented approximately 36%, 26% and 38% of total consolidated net sales, respectively. We classify our operations into reportable segments based primarily on types of products offered and markets served:</w:t>
      </w:r>
    </w:p>
    <w:p>
      <w:pPr>
        <w:spacing w:after="0" w:line="130" w:lineRule="exact"/>
        <w:rPr>
          <w:sz w:val="20"/>
          <w:szCs w:val="20"/>
          <w:color w:val="auto"/>
        </w:rPr>
      </w:pPr>
    </w:p>
    <w:p>
      <w:pPr>
        <w:jc w:val="both"/>
        <w:ind w:left="660" w:hanging="328"/>
        <w:spacing w:after="0" w:line="25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Flow </w:t>
      </w:r>
      <w:r>
        <w:rPr>
          <w:rFonts w:ascii="Times New Roman" w:cs="Times New Roman" w:eastAsia="Times New Roman" w:hAnsi="Times New Roman"/>
          <w:sz w:val="18"/>
          <w:szCs w:val="18"/>
          <w:color w:val="auto"/>
        </w:rPr>
        <w:t>— The focus of this segment is to deliver water where it is needed, when it is needed, more efficiently and to transform waste into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segment designs, manufactures and sells a variety of fluid treatment and pump products and systems, including pressure vessels, gas recovery solutions, 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Water Solutions </w:t>
      </w:r>
      <w:r>
        <w:rPr>
          <w:rFonts w:ascii="Times New Roman" w:cs="Times New Roman" w:eastAsia="Times New Roman" w:hAnsi="Times New Roman"/>
          <w:sz w:val="18"/>
          <w:szCs w:val="18"/>
          <w:color w:val="auto"/>
        </w:rPr>
        <w:t>— The focus of this segment is to provide great-tasting, higher-quality water and ice while helping people use water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660" w:hanging="328"/>
        <w:spacing w:after="0" w:line="26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Pool </w:t>
      </w:r>
      <w:r>
        <w:rPr>
          <w:rFonts w:ascii="Times New Roman" w:cs="Times New Roman" w:eastAsia="Times New Roman" w:hAnsi="Times New Roman"/>
          <w:sz w:val="18"/>
          <w:szCs w:val="18"/>
          <w:color w:val="auto"/>
        </w:rPr>
        <w:t>— The focus of this segment is to provide innovative, energy-efficient pool solutions to help people more sustainably enjoy water.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construction and aquaculture solutions.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 2024, as part of our Pool reportable segment, we completed the acquisition of G &amp; F Manufacturing, LLC (“G &amp; F Manufacturing”) for $116.0 million in cash, net of cash acquired and subject to customary adjustments. The net purchase price is comprised of an upfront cash payment of $108.0 million, subject to customary adjustments, and the estimated fair value at the acquisition date of a contingent earn-out liability based upon the achievement of certain defined operating results in the two years following the acquisition. G &amp; F Manufacturing manufactures and services pool heat pumps.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and uncertainties regarding our existing business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trends and uncertainties affected our financial performance in the first six months of 2025 and are reasonably likely to impact our results in the future:</w:t>
      </w:r>
    </w:p>
    <w:p>
      <w:pPr>
        <w:spacing w:after="0" w:line="127" w:lineRule="exact"/>
        <w:rPr>
          <w:sz w:val="20"/>
          <w:szCs w:val="20"/>
          <w:color w:val="auto"/>
        </w:rPr>
      </w:pPr>
    </w:p>
    <w:p>
      <w:pPr>
        <w:jc w:val="both"/>
        <w:ind w:left="66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Transformation Program designed to accelerate growth and drive margin expansion by driving operational excellence, reducing complexity and streamlining our processes. During 2024 and the first six months of 2025, we made strategic progress on our Transformation Program initiatives with a focus on our four key themes of pricing excellence, sourcing excellence, operations excellence and organizational effectiveness. We expect to continue to execute on our key Transformation Program initiatives to drive margin expansion and to continue to incur transformation costs throughout the remainder of 2025 and beyond.</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and the first six months of 2025, we implemented 80/20 guiding principles to enable our Transformation Program. This 80/20 analysis is expected to create value by focusing on key customers and products through quadrant-based strategies. We expect the analysis to result in actions to improve operating performance by driving growth with our highest value customers, reducing lower margin sales and removing complexity in the future.</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and the first six months of 2025, we executed certain business restructuring initiatives aimed at reducing our fixed cost structure and realigning our business. We expect these actions to continue throughout the remainder of 2025 and to drive margin growth.</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and the first six months of 2025, we experienced inflationary cost increases for certain raw materials as well as logistics and transportation costs. The ongoing volatile market for commodities has the potential to continue to drive price increases in our supply chain. In addition, the current U.S. administration has recently implemented tariffs and has announced the possibility of implementing additional, or increasing current, tariffs. We expect these actions and reactionary tariff adjustments by other countries to continue to impact our business and contribute to inflationary cost increases. As a result, we have taken actions to mitigate the impact of tariffs such as pricing increases, inventory pre-buys and capping orders to manage supply chain, inventory and production, which may continue going forward. In addition, our Transformation Program initiatives are intended to improve productivity and offset cost increases. We anticipate supply chain pressures as well as inflationary cost increases due to these tariffs and any resulting impact on macroeconomic conditions and our business to continue throughout the remainder of 2025.</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Organization for Economic Co-operation and Development Pillar Two Model Rules (“Pillar Two”) for a global 15.0% minimum tax have been adopted by a number of jurisdictions in which we operate. Pillar Two has negatively impacted our effective tax rate in 2025 and is likely to continue to impact our effective tax rate in the future. We continue to evaluate the enacted legislative changes and new guidance as it becomes available.</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our operating objectives focus on delivering our core and building our future. We expect to execute these objectives by:</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profitable revenue growth and productivity for customers and shareholders;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focus on capital allocation through:</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Committing to maintain our investment grade rating;</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on reducing our long-term debt;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Returning cash to shareholders through dividends and share repurchases; and</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our performance with strategically aligned mergers and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growth initiatives that accelerate our investments in digital, innovation, technology and sustainability;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implement our Transformation Program initiatives that will drive operational excellence, reduce complexity and improve our organizational structure, which includes the focus on 80/20 actions to drive profitable growth;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high-performance growth culture and delivering on our commitments while living our Win Right values.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three months ended June 30, 2025 and 2024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4"/>
                <w:szCs w:val="14"/>
                <w:color w:val="auto"/>
              </w:rPr>
            </w:pPr>
          </w:p>
        </w:tc>
        <w:tc>
          <w:tcPr>
            <w:tcW w:w="122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1,123.1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1,099.3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666.5</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661.4</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456.6</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437.9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40.7 %</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39.8 %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213.8</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48.7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19.0 %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25.1</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 pts</w:t>
            </w:r>
          </w:p>
        </w:tc>
        <w:tc>
          <w:tcPr>
            <w:tcW w:w="0" w:type="dxa"/>
            <w:vAlign w:val="bottom"/>
          </w:tcPr>
          <w:p>
            <w:pPr>
              <w:spacing w:after="0"/>
              <w:rPr>
                <w:sz w:val="1"/>
                <w:szCs w:val="1"/>
                <w:color w:val="auto"/>
              </w:rPr>
            </w:pPr>
          </w:p>
        </w:tc>
      </w:tr>
      <w:tr>
        <w:trPr>
          <w:trHeight w:val="256"/>
        </w:trPr>
        <w:tc>
          <w:tcPr>
            <w:tcW w:w="5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217.7</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248.0</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19.4 %</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22.6 %</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(3.2) pts</w:t>
            </w:r>
          </w:p>
        </w:tc>
        <w:tc>
          <w:tcPr>
            <w:tcW w:w="0" w:type="dxa"/>
            <w:vAlign w:val="bottom"/>
          </w:tcPr>
          <w:p>
            <w:pPr>
              <w:spacing w:after="0"/>
              <w:rPr>
                <w:sz w:val="1"/>
                <w:szCs w:val="1"/>
                <w:color w:val="auto"/>
              </w:rPr>
            </w:pPr>
          </w:p>
        </w:tc>
      </w:tr>
      <w:tr>
        <w:trPr>
          <w:trHeight w:val="256"/>
        </w:trPr>
        <w:tc>
          <w:tcPr>
            <w:tcW w:w="5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172.5</w:t>
            </w: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220.9</w:t>
            </w:r>
          </w:p>
        </w:tc>
        <w:tc>
          <w:tcPr>
            <w:tcW w:w="2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13.9 %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15.8 %</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(1.9) pts</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results of operations for the six months ended June 30, 2025 and 2024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40" w:type="dxa"/>
            <w:vAlign w:val="bottom"/>
          </w:tcPr>
          <w:p>
            <w:pPr>
              <w:spacing w:after="0"/>
              <w:rPr>
                <w:sz w:val="14"/>
                <w:szCs w:val="14"/>
                <w:color w:val="auto"/>
              </w:rPr>
            </w:pPr>
          </w:p>
        </w:tc>
        <w:tc>
          <w:tcPr>
            <w:tcW w:w="1140" w:type="dxa"/>
            <w:vAlign w:val="bottom"/>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4"/>
                <w:szCs w:val="14"/>
                <w:color w:val="auto"/>
              </w:rPr>
            </w:pPr>
          </w:p>
        </w:tc>
        <w:tc>
          <w:tcPr>
            <w:tcW w:w="1220" w:type="dxa"/>
            <w:vAlign w:val="bottom"/>
          </w:tcPr>
          <w:p>
            <w:pPr>
              <w:jc w:val="right"/>
              <w:ind w:right="6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8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2,133.5</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2,116.5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1,273.6</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1,288.5</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(14.9)</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859.9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828.0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31.9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40.3 %</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39.1 %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6"/>
        </w:trPr>
        <w:tc>
          <w:tcPr>
            <w:tcW w:w="4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390.4</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350.3</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18.3 %</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16.6 %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48.7</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420.8</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19.7 %</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20.3 %</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(0.6) pts</w:t>
            </w:r>
          </w:p>
        </w:tc>
        <w:tc>
          <w:tcPr>
            <w:tcW w:w="0" w:type="dxa"/>
            <w:vAlign w:val="bottom"/>
          </w:tcPr>
          <w:p>
            <w:pPr>
              <w:spacing w:after="0"/>
              <w:rPr>
                <w:sz w:val="1"/>
                <w:szCs w:val="1"/>
                <w:color w:val="auto"/>
              </w:rPr>
            </w:pPr>
          </w:p>
        </w:tc>
      </w:tr>
      <w:tr>
        <w:trPr>
          <w:trHeight w:val="256"/>
        </w:trPr>
        <w:tc>
          <w:tcPr>
            <w:tcW w:w="4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26.3</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expense</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37.6</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355.4</w:t>
            </w:r>
          </w:p>
        </w:tc>
        <w:tc>
          <w:tcPr>
            <w:tcW w:w="4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374.3</w:t>
            </w:r>
          </w:p>
        </w:tc>
        <w:tc>
          <w:tcPr>
            <w:tcW w:w="22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8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14.6 %</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pts</w:t>
            </w:r>
          </w:p>
        </w:tc>
        <w:tc>
          <w:tcPr>
            <w:tcW w:w="0" w:type="dxa"/>
            <w:vAlign w:val="bottom"/>
          </w:tcPr>
          <w:p>
            <w:pPr>
              <w:spacing w:after="0"/>
              <w:rPr>
                <w:sz w:val="1"/>
                <w:szCs w:val="1"/>
                <w:color w:val="auto"/>
              </w:rPr>
            </w:pPr>
          </w:p>
        </w:tc>
      </w:tr>
      <w:tr>
        <w:trPr>
          <w:trHeight w:val="43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N.M. = Not Meaningful</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the consolidated net sales change from the prior period were as follows: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6860" w:type="dxa"/>
            <w:vAlign w:val="bottom"/>
            <w:gridSpan w:val="4"/>
          </w:tcPr>
          <w:p>
            <w:pPr>
              <w:ind w:left="398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440" w:type="dxa"/>
            <w:vAlign w:val="bottom"/>
          </w:tcPr>
          <w:p>
            <w:pPr>
              <w:spacing w:after="0"/>
              <w:rPr>
                <w:sz w:val="24"/>
                <w:szCs w:val="24"/>
                <w:color w:val="auto"/>
              </w:rPr>
            </w:pPr>
          </w:p>
        </w:tc>
        <w:tc>
          <w:tcPr>
            <w:tcW w:w="368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4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4.4</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1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0.2</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1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2.2 %</w:t>
            </w: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0"/>
        </w:trPr>
        <w:tc>
          <w:tcPr>
            <w:tcW w:w="4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2.2 and 0.8 percent increases in net sales in the second quarter and first half, respectively, of 2025 from 2024 were primarily driven by:</w:t>
      </w:r>
    </w:p>
    <w:p>
      <w:pPr>
        <w:spacing w:after="0" w:line="173" w:lineRule="exact"/>
        <w:rPr>
          <w:sz w:val="20"/>
          <w:szCs w:val="20"/>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across all of our segments to mitigate inflationary cost increases;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acquisition of G &amp; F Manufacturing completed in the fourth quarter of 2024;</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second quarter of the prior year;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within our Pool segment due to higher demand compared to the same periods of the prior year.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within our Flow and Water Solutions segments compared to the same periods of the prior year; and</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exits during the fourth quarter of 2024 and second quarter of 2025 in our residential and commercial businesses of our Water Solutions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The 0.9 and 1.2 percentage point increases in gross profit as a percentage of net sales in the second quarter and first half, respectively, of 2025 from 2024 were primarily driven by:</w:t>
      </w:r>
    </w:p>
    <w:p>
      <w:pPr>
        <w:spacing w:after="0" w:line="127" w:lineRule="exact"/>
        <w:rPr>
          <w:sz w:val="20"/>
          <w:szCs w:val="20"/>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across all our segments to mitigate inflationary cost increases;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mainly driven by transformation initiatives across all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including higher tariffs, related to certain raw materials and labor costs; and</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impairment and write-offs of $10.3 million in the second quarter of 2025, compared to none in the second quarter of 2024, and $15.5 million in the first half of 2025, compared to $0.8 million in the first half of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The 4.0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1.7 percentage point increases in SG&amp;A as a percentage of net sales in the second quarter and first half, respectively, of 2025 from 2024 were primarily driven by:</w:t>
      </w:r>
    </w:p>
    <w:p>
      <w:pPr>
        <w:spacing w:after="0" w:line="127" w:lineRule="exact"/>
        <w:rPr>
          <w:sz w:val="20"/>
          <w:szCs w:val="20"/>
          <w:color w:val="auto"/>
        </w:rPr>
      </w:pPr>
    </w:p>
    <w:p>
      <w:pPr>
        <w:ind w:left="500" w:hanging="330"/>
        <w:spacing w:after="0" w:line="282"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charge of $30.9 million related to the write-off of a definite-lived customer relationship intangible asset as a result of a business exit within our Water Solutions segment during the second quarter of 2025;</w:t>
      </w:r>
    </w:p>
    <w:p>
      <w:pPr>
        <w:spacing w:after="0" w:line="10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costs of $12.7 million in the second quarter of 2025, compared to $11.8 million in the second quarter of 2024; and</w:t>
      </w:r>
    </w:p>
    <w:p>
      <w:pPr>
        <w:spacing w:after="0" w:line="17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of $14.3 million in the second quarter of 2025, compared to $5.3 million in the second quarter of 2024, and $23.9 million in the first half of 2025, compared to $9.5 million in the first half of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costs of $21.9 million in the first half of 2025, compared to $28.8 million in the first half of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31.9 and 29.9 percent decreases in net interest expense in the second quarter and first half, respectively, of 2025 from 2024 were primarily driven by:</w:t>
      </w:r>
    </w:p>
    <w:p>
      <w:pPr>
        <w:spacing w:after="0" w:line="153" w:lineRule="exact"/>
        <w:rPr>
          <w:sz w:val="20"/>
          <w:szCs w:val="20"/>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debt levels compared to the same periods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1.9 percentage point decrease in the effective tax rate in the second quarter of 2025 from 2024 was primarily driven by:</w:t>
      </w:r>
    </w:p>
    <w:p>
      <w:pPr>
        <w:spacing w:after="0" w:line="153" w:lineRule="exact"/>
        <w:rPr>
          <w:sz w:val="20"/>
          <w:szCs w:val="20"/>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mix of global earnings;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the amount of favorable discrete items in 2025 compared to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There was no change in the effective tax rate in the first half of 2025 from 2024 primarily driven by:</w:t>
      </w:r>
    </w:p>
    <w:p>
      <w:pPr>
        <w:spacing w:after="0" w:line="173" w:lineRule="exact"/>
        <w:rPr>
          <w:sz w:val="20"/>
          <w:szCs w:val="20"/>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mix of global earnings; offset by</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the amount of favorable discrete items in 2025 compared to 2024.</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summary that follows provides a discussion of the results of operations of our three reportable segments (Flow, Water Solutions and Pool). Each of these segments comprises various product offerings that serve multiple end users.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performance based on net sales and reportable segment income (“segment income”) and use certain ratios, particularly return on sales, to measure performance of our reportable segments. Segment income represents operating income of each reportable segment inclusive of equity income of unconsolidated subsidiaries and exclusive of intangible amortization, costs of restructuring and transformation activities, impairments, legal accrual adjustments and settlements and other unusual non-operating items.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Flow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8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60" w:type="dxa"/>
            <w:vAlign w:val="bottom"/>
          </w:tcPr>
          <w:p>
            <w:pPr>
              <w:ind w:left="380"/>
              <w:spacing w:after="0" w:line="174" w:lineRule="exact"/>
              <w:rPr>
                <w:sz w:val="20"/>
                <w:szCs w:val="20"/>
                <w:color w:val="auto"/>
              </w:rPr>
            </w:pPr>
            <w:r>
              <w:rPr>
                <w:rFonts w:ascii="Times New Roman" w:cs="Times New Roman" w:eastAsia="Times New Roman" w:hAnsi="Times New Roman"/>
                <w:sz w:val="18"/>
                <w:szCs w:val="18"/>
                <w:b w:val="1"/>
                <w:bCs w:val="1"/>
                <w:color w:val="auto"/>
              </w:rPr>
              <w:t>% / Point</w:t>
            </w:r>
          </w:p>
        </w:tc>
        <w:tc>
          <w:tcPr>
            <w:tcW w:w="4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60" w:type="dxa"/>
            <w:vAlign w:val="bottom"/>
          </w:tcPr>
          <w:p>
            <w:pPr>
              <w:spacing w:after="0"/>
              <w:rPr>
                <w:sz w:val="15"/>
                <w:szCs w:val="15"/>
                <w:color w:val="auto"/>
              </w:rPr>
            </w:pPr>
          </w:p>
        </w:tc>
        <w:tc>
          <w:tcPr>
            <w:tcW w:w="1000" w:type="dxa"/>
            <w:vAlign w:val="bottom"/>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w w:val="98"/>
              </w:rPr>
              <w:t>% / Point</w:t>
            </w:r>
          </w:p>
        </w:tc>
        <w:tc>
          <w:tcPr>
            <w:tcW w:w="0" w:type="dxa"/>
            <w:vAlign w:val="bottom"/>
          </w:tcPr>
          <w:p>
            <w:pPr>
              <w:spacing w:after="0"/>
              <w:rPr>
                <w:sz w:val="1"/>
                <w:szCs w:val="1"/>
                <w:color w:val="auto"/>
              </w:rPr>
            </w:pPr>
          </w:p>
        </w:tc>
      </w:tr>
      <w:tr>
        <w:trPr>
          <w:trHeight w:val="238"/>
        </w:trPr>
        <w:tc>
          <w:tcPr>
            <w:tcW w:w="24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397.3</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396.8</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781.1</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93.1</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84.4</w:t>
            </w:r>
          </w:p>
        </w:tc>
        <w:tc>
          <w:tcPr>
            <w:tcW w:w="1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4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161.7</w:t>
            </w:r>
          </w:p>
        </w:tc>
        <w:tc>
          <w:tcPr>
            <w:tcW w:w="36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23.4 %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21.3 %</w:t>
            </w:r>
          </w:p>
        </w:tc>
        <w:tc>
          <w:tcPr>
            <w:tcW w:w="18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i w:val="1"/>
                <w:iCs w:val="1"/>
                <w:color w:val="auto"/>
              </w:rPr>
              <w:t>2.1 pts</w:t>
            </w:r>
          </w:p>
        </w:tc>
        <w:tc>
          <w:tcPr>
            <w:tcW w:w="1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23.1 %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20.7 %</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 pts</w:t>
            </w:r>
          </w:p>
        </w:tc>
        <w:tc>
          <w:tcPr>
            <w:tcW w:w="0" w:type="dxa"/>
            <w:vAlign w:val="bottom"/>
          </w:tcPr>
          <w:p>
            <w:pPr>
              <w:spacing w:after="0"/>
              <w:rPr>
                <w:sz w:val="1"/>
                <w:szCs w:val="1"/>
                <w:color w:val="auto"/>
              </w:rPr>
            </w:pPr>
          </w:p>
        </w:tc>
      </w:tr>
      <w:tr>
        <w:trPr>
          <w:trHeight w:val="454"/>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components of the change in Flow net sales from the prior period were as follows:</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39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0" w:type="dxa"/>
            <w:vAlign w:val="bottom"/>
          </w:tcPr>
          <w:p>
            <w:pPr>
              <w:spacing w:after="0"/>
              <w:rPr>
                <w:sz w:val="1"/>
                <w:szCs w:val="1"/>
                <w:color w:val="auto"/>
              </w:rPr>
            </w:pPr>
          </w:p>
        </w:tc>
      </w:tr>
      <w:tr>
        <w:trPr>
          <w:trHeight w:val="238"/>
        </w:trPr>
        <w:tc>
          <w:tcPr>
            <w:tcW w:w="2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9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18"/>
                <w:szCs w:val="18"/>
                <w:color w:val="auto"/>
              </w:rPr>
              <w:t>3.4</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7"/>
              </w:rPr>
              <w:t>2.7</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(2.1)</w:t>
            </w:r>
          </w:p>
        </w:tc>
        <w:tc>
          <w:tcPr>
            <w:tcW w:w="0" w:type="dxa"/>
            <w:vAlign w:val="bottom"/>
          </w:tcPr>
          <w:p>
            <w:pPr>
              <w:spacing w:after="0"/>
              <w:rPr>
                <w:sz w:val="1"/>
                <w:szCs w:val="1"/>
                <w:color w:val="auto"/>
              </w:rPr>
            </w:pPr>
          </w:p>
        </w:tc>
      </w:tr>
      <w:tr>
        <w:trPr>
          <w:trHeight w:val="230"/>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ind w:left="140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7"/>
              </w:rPr>
              <w:t>0.1</w:t>
            </w:r>
          </w:p>
        </w:tc>
        <w:tc>
          <w:tcPr>
            <w:tcW w:w="0" w:type="dxa"/>
            <w:vAlign w:val="bottom"/>
          </w:tcPr>
          <w:p>
            <w:pPr>
              <w:spacing w:after="0"/>
              <w:rPr>
                <w:sz w:val="1"/>
                <w:szCs w:val="1"/>
                <w:color w:val="auto"/>
              </w:rPr>
            </w:pPr>
          </w:p>
        </w:tc>
      </w:tr>
      <w:tr>
        <w:trPr>
          <w:trHeight w:val="248"/>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0.1 %</w:t>
            </w:r>
          </w:p>
        </w:tc>
        <w:tc>
          <w:tcPr>
            <w:tcW w:w="9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0.1 percent increase in net sales for Flow in the second quarter of 2025 from 2024 was primarily driven by:</w:t>
      </w:r>
    </w:p>
    <w:p>
      <w:pPr>
        <w:spacing w:after="0" w:line="173" w:lineRule="exact"/>
        <w:rPr>
          <w:sz w:val="20"/>
          <w:szCs w:val="20"/>
          <w:color w:val="auto"/>
        </w:rPr>
      </w:pPr>
    </w:p>
    <w:p>
      <w:pPr>
        <w:ind w:left="480" w:hanging="310"/>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second quarter of the prior year.</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compared to the same period of the prior year.</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compared to the same period of the prior year.</w:t>
      </w:r>
    </w:p>
    <w:p>
      <w:pPr>
        <w:spacing w:after="0" w:line="200" w:lineRule="exact"/>
        <w:rPr>
          <w:sz w:val="20"/>
          <w:szCs w:val="20"/>
          <w:color w:val="auto"/>
        </w:rPr>
      </w:pPr>
    </w:p>
    <w:p>
      <w:pPr>
        <w:spacing w:after="0" w:line="349" w:lineRule="exact"/>
        <w:rPr>
          <w:sz w:val="20"/>
          <w:szCs w:val="20"/>
          <w:color w:val="auto"/>
        </w:rPr>
      </w:pPr>
    </w:p>
    <w:p>
      <w:pPr>
        <w:ind w:left="480" w:hanging="310"/>
        <w:spacing w:after="0"/>
        <w:tabs>
          <w:tab w:leader="none" w:pos="4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Flow segment income as a percentage of net sales from the prior period were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440" w:type="dxa"/>
            <w:vAlign w:val="bottom"/>
          </w:tcPr>
          <w:p>
            <w:pPr>
              <w:spacing w:after="0"/>
              <w:rPr>
                <w:sz w:val="19"/>
                <w:szCs w:val="19"/>
                <w:color w:val="auto"/>
              </w:rPr>
            </w:pPr>
          </w:p>
        </w:tc>
        <w:tc>
          <w:tcPr>
            <w:tcW w:w="37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c>
          <w:tcPr>
            <w:tcW w:w="580" w:type="dxa"/>
            <w:vAlign w:val="bottom"/>
          </w:tcPr>
          <w:p>
            <w:pPr>
              <w:spacing w:after="0"/>
              <w:rPr>
                <w:sz w:val="19"/>
                <w:szCs w:val="19"/>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240" w:type="dxa"/>
            <w:vAlign w:val="bottom"/>
          </w:tcPr>
          <w:p>
            <w:pPr>
              <w:spacing w:after="0"/>
              <w:rPr>
                <w:sz w:val="19"/>
                <w:szCs w:val="19"/>
                <w:color w:val="auto"/>
              </w:rPr>
            </w:pPr>
          </w:p>
        </w:tc>
      </w:tr>
      <w:tr>
        <w:trPr>
          <w:trHeight w:val="238"/>
        </w:trPr>
        <w:tc>
          <w:tcPr>
            <w:tcW w:w="34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5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40" w:type="dxa"/>
            <w:vAlign w:val="bottom"/>
            <w:tcBorders>
              <w:bottom w:val="single" w:sz="8" w:color="auto"/>
            </w:tcBorders>
          </w:tcPr>
          <w:p>
            <w:pPr>
              <w:spacing w:after="0"/>
              <w:rPr>
                <w:sz w:val="20"/>
                <w:szCs w:val="20"/>
                <w:color w:val="auto"/>
              </w:rPr>
            </w:pPr>
          </w:p>
        </w:tc>
      </w:tr>
      <w:tr>
        <w:trPr>
          <w:trHeight w:val="22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3700" w:type="dxa"/>
            <w:vAlign w:val="bottom"/>
            <w:shd w:val="clear" w:color="auto" w:fill="CCEEFF"/>
          </w:tcPr>
          <w:p>
            <w:pPr>
              <w:jc w:val="center"/>
              <w:ind w:left="325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240" w:type="dxa"/>
            <w:vAlign w:val="bottom"/>
            <w:shd w:val="clear" w:color="auto" w:fill="CCEEFF"/>
          </w:tcPr>
          <w:p>
            <w:pPr>
              <w:jc w:val="center"/>
              <w:ind w:left="2770"/>
              <w:spacing w:after="0"/>
              <w:rPr>
                <w:sz w:val="20"/>
                <w:szCs w:val="20"/>
                <w:color w:val="auto"/>
              </w:rPr>
            </w:pPr>
            <w:r>
              <w:rPr>
                <w:rFonts w:ascii="Times New Roman" w:cs="Times New Roman" w:eastAsia="Times New Roman" w:hAnsi="Times New Roman"/>
                <w:sz w:val="18"/>
                <w:szCs w:val="18"/>
                <w:color w:val="auto"/>
                <w:w w:val="97"/>
              </w:rPr>
              <w:t>2.7</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700" w:type="dxa"/>
            <w:vAlign w:val="bottom"/>
          </w:tcPr>
          <w:p>
            <w:pPr>
              <w:jc w:val="center"/>
              <w:ind w:left="3250"/>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Pr>
          <w:p>
            <w:pPr>
              <w:spacing w:after="0"/>
              <w:rPr>
                <w:sz w:val="19"/>
                <w:szCs w:val="19"/>
                <w:color w:val="auto"/>
              </w:rPr>
            </w:pPr>
          </w:p>
        </w:tc>
        <w:tc>
          <w:tcPr>
            <w:tcW w:w="3240" w:type="dxa"/>
            <w:vAlign w:val="bottom"/>
          </w:tcPr>
          <w:p>
            <w:pPr>
              <w:jc w:val="center"/>
              <w:ind w:left="2770"/>
              <w:spacing w:after="0"/>
              <w:rPr>
                <w:sz w:val="20"/>
                <w:szCs w:val="20"/>
                <w:color w:val="auto"/>
              </w:rPr>
            </w:pPr>
            <w:r>
              <w:rPr>
                <w:rFonts w:ascii="Times New Roman" w:cs="Times New Roman" w:eastAsia="Times New Roman" w:hAnsi="Times New Roman"/>
                <w:sz w:val="18"/>
                <w:szCs w:val="18"/>
                <w:color w:val="auto"/>
                <w:w w:val="97"/>
              </w:rPr>
              <w:t>0.1</w:t>
            </w:r>
          </w:p>
        </w:tc>
        <w:tc>
          <w:tcPr>
            <w:tcW w:w="240" w:type="dxa"/>
            <w:vAlign w:val="bottom"/>
          </w:tcPr>
          <w:p>
            <w:pPr>
              <w:spacing w:after="0"/>
              <w:rPr>
                <w:sz w:val="19"/>
                <w:szCs w:val="19"/>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3700" w:type="dxa"/>
            <w:vAlign w:val="bottom"/>
            <w:shd w:val="clear" w:color="auto" w:fill="CCEEFF"/>
          </w:tcPr>
          <w:p>
            <w:pPr>
              <w:jc w:val="center"/>
              <w:ind w:left="3230"/>
              <w:spacing w:after="0"/>
              <w:rPr>
                <w:sz w:val="20"/>
                <w:szCs w:val="20"/>
                <w:color w:val="auto"/>
              </w:rPr>
            </w:pPr>
            <w:r>
              <w:rPr>
                <w:rFonts w:ascii="Times New Roman" w:cs="Times New Roman" w:eastAsia="Times New Roman" w:hAnsi="Times New Roman"/>
                <w:sz w:val="18"/>
                <w:szCs w:val="18"/>
                <w:color w:val="auto"/>
                <w:w w:val="98"/>
              </w:rPr>
              <w:t>(3.2)</w:t>
            </w:r>
          </w:p>
        </w:tc>
        <w:tc>
          <w:tcPr>
            <w:tcW w:w="580" w:type="dxa"/>
            <w:vAlign w:val="bottom"/>
            <w:shd w:val="clear" w:color="auto" w:fill="CCEEFF"/>
          </w:tcPr>
          <w:p>
            <w:pPr>
              <w:spacing w:after="0"/>
              <w:rPr>
                <w:sz w:val="19"/>
                <w:szCs w:val="19"/>
                <w:color w:val="auto"/>
              </w:rPr>
            </w:pPr>
          </w:p>
        </w:tc>
        <w:tc>
          <w:tcPr>
            <w:tcW w:w="3240" w:type="dxa"/>
            <w:vAlign w:val="bottom"/>
            <w:shd w:val="clear" w:color="auto" w:fill="CCEEFF"/>
          </w:tcPr>
          <w:p>
            <w:pPr>
              <w:jc w:val="center"/>
              <w:ind w:left="2730"/>
              <w:spacing w:after="0"/>
              <w:rPr>
                <w:sz w:val="20"/>
                <w:szCs w:val="20"/>
                <w:color w:val="auto"/>
              </w:rPr>
            </w:pPr>
            <w:r>
              <w:rPr>
                <w:rFonts w:ascii="Times New Roman" w:cs="Times New Roman" w:eastAsia="Times New Roman" w:hAnsi="Times New Roman"/>
                <w:sz w:val="18"/>
                <w:szCs w:val="18"/>
                <w:color w:val="auto"/>
                <w:w w:val="98"/>
              </w:rPr>
              <w:t>(2.7)</w:t>
            </w:r>
          </w:p>
        </w:tc>
        <w:tc>
          <w:tcPr>
            <w:tcW w:w="240" w:type="dxa"/>
            <w:vAlign w:val="bottom"/>
            <w:shd w:val="clear" w:color="auto" w:fill="CCEEFF"/>
          </w:tcPr>
          <w:p>
            <w:pPr>
              <w:spacing w:after="0"/>
              <w:rPr>
                <w:sz w:val="19"/>
                <w:szCs w:val="19"/>
                <w:color w:val="auto"/>
              </w:rPr>
            </w:pPr>
          </w:p>
        </w:tc>
      </w:tr>
      <w:tr>
        <w:trPr>
          <w:trHeight w:val="229"/>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3700" w:type="dxa"/>
            <w:vAlign w:val="bottom"/>
            <w:tcBorders>
              <w:bottom w:val="single" w:sz="8" w:color="auto"/>
            </w:tcBorders>
          </w:tcPr>
          <w:p>
            <w:pPr>
              <w:jc w:val="center"/>
              <w:ind w:left="325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tcPr>
          <w:p>
            <w:pPr>
              <w:jc w:val="center"/>
              <w:ind w:left="2770"/>
              <w:spacing w:after="0"/>
              <w:rPr>
                <w:sz w:val="20"/>
                <w:szCs w:val="20"/>
                <w:color w:val="auto"/>
              </w:rPr>
            </w:pPr>
            <w:r>
              <w:rPr>
                <w:rFonts w:ascii="Times New Roman" w:cs="Times New Roman" w:eastAsia="Times New Roman" w:hAnsi="Times New Roman"/>
                <w:sz w:val="18"/>
                <w:szCs w:val="18"/>
                <w:color w:val="auto"/>
                <w:w w:val="97"/>
              </w:rPr>
              <w:t>2.3</w:t>
            </w:r>
          </w:p>
        </w:tc>
        <w:tc>
          <w:tcPr>
            <w:tcW w:w="240" w:type="dxa"/>
            <w:vAlign w:val="bottom"/>
            <w:tcBorders>
              <w:bottom w:val="single" w:sz="8" w:color="auto"/>
            </w:tcBorders>
          </w:tcPr>
          <w:p>
            <w:pPr>
              <w:spacing w:after="0"/>
              <w:rPr>
                <w:sz w:val="19"/>
                <w:szCs w:val="19"/>
                <w:color w:val="auto"/>
              </w:rPr>
            </w:pPr>
          </w:p>
        </w:tc>
      </w:tr>
      <w:tr>
        <w:trPr>
          <w:trHeight w:val="248"/>
        </w:trPr>
        <w:tc>
          <w:tcPr>
            <w:tcW w:w="3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tcBorders>
              <w:bottom w:val="single" w:sz="8" w:color="auto"/>
            </w:tcBorders>
            <w:shd w:val="clear" w:color="auto" w:fill="CCEEFF"/>
          </w:tcPr>
          <w:p>
            <w:pPr>
              <w:jc w:val="center"/>
              <w:ind w:left="325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pts</w:t>
            </w:r>
          </w:p>
        </w:tc>
        <w:tc>
          <w:tcPr>
            <w:tcW w:w="3240" w:type="dxa"/>
            <w:vAlign w:val="bottom"/>
            <w:tcBorders>
              <w:bottom w:val="single" w:sz="8" w:color="auto"/>
            </w:tcBorders>
            <w:shd w:val="clear" w:color="auto" w:fill="CCEEFF"/>
          </w:tcPr>
          <w:p>
            <w:pPr>
              <w:jc w:val="center"/>
              <w:ind w:left="2770"/>
              <w:spacing w:after="0"/>
              <w:rPr>
                <w:sz w:val="20"/>
                <w:szCs w:val="20"/>
                <w:color w:val="auto"/>
              </w:rPr>
            </w:pPr>
            <w:r>
              <w:rPr>
                <w:rFonts w:ascii="Times New Roman" w:cs="Times New Roman" w:eastAsia="Times New Roman" w:hAnsi="Times New Roman"/>
                <w:sz w:val="18"/>
                <w:szCs w:val="18"/>
                <w:color w:val="auto"/>
                <w:w w:val="97"/>
              </w:rPr>
              <w:t>2.4</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3440" w:type="dxa"/>
            <w:vAlign w:val="bottom"/>
            <w:tcBorders>
              <w:top w:val="single" w:sz="8" w:color="CCEEFF"/>
              <w:bottom w:val="single" w:sz="8" w:color="auto"/>
            </w:tcBorders>
          </w:tcPr>
          <w:p>
            <w:pPr>
              <w:spacing w:after="0" w:line="20" w:lineRule="exact"/>
              <w:rPr>
                <w:sz w:val="1"/>
                <w:szCs w:val="1"/>
                <w:color w:val="auto"/>
              </w:rPr>
            </w:pPr>
          </w:p>
        </w:tc>
        <w:tc>
          <w:tcPr>
            <w:tcW w:w="37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2.1 and 2.4 percentage point increases in segment income for Flow as a percentage of net sales in the second quarter and first half, respectively, of 2025 from 2024 were primarily driven by:</w:t>
      </w:r>
    </w:p>
    <w:p>
      <w:pPr>
        <w:spacing w:after="0" w:line="106" w:lineRule="exact"/>
        <w:rPr>
          <w:sz w:val="20"/>
          <w:szCs w:val="20"/>
          <w:color w:val="auto"/>
        </w:rPr>
      </w:pPr>
    </w:p>
    <w:p>
      <w:pPr>
        <w:ind w:left="480" w:hanging="310"/>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mainly driven by transformation initiatives.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including higher tariffs, related to certain raw materials.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 Solutions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Water Solutions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8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ind w:left="18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80" w:type="dxa"/>
            <w:vAlign w:val="bottom"/>
          </w:tcPr>
          <w:p>
            <w:pPr>
              <w:ind w:left="400"/>
              <w:spacing w:after="0" w:line="174" w:lineRule="exact"/>
              <w:rPr>
                <w:sz w:val="20"/>
                <w:szCs w:val="20"/>
                <w:color w:val="auto"/>
              </w:rPr>
            </w:pPr>
            <w:r>
              <w:rPr>
                <w:rFonts w:ascii="Times New Roman" w:cs="Times New Roman" w:eastAsia="Times New Roman" w:hAnsi="Times New Roman"/>
                <w:sz w:val="18"/>
                <w:szCs w:val="18"/>
                <w:b w:val="1"/>
                <w:bCs w:val="1"/>
                <w:color w:val="auto"/>
              </w:rPr>
              <w:t>% / Point</w:t>
            </w:r>
          </w:p>
        </w:tc>
        <w:tc>
          <w:tcPr>
            <w:tcW w:w="4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4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330"/>
              <w:spacing w:after="0" w:line="17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5"/>
                <w:szCs w:val="15"/>
                <w:color w:val="auto"/>
              </w:rPr>
            </w:pPr>
          </w:p>
        </w:tc>
        <w:tc>
          <w:tcPr>
            <w:tcW w:w="980" w:type="dxa"/>
            <w:vAlign w:val="bottom"/>
          </w:tcPr>
          <w:p>
            <w:pPr>
              <w:jc w:val="center"/>
              <w:ind w:right="170"/>
              <w:spacing w:after="0" w:line="174" w:lineRule="exact"/>
              <w:rPr>
                <w:sz w:val="20"/>
                <w:szCs w:val="20"/>
                <w:color w:val="auto"/>
              </w:rPr>
            </w:pPr>
            <w:r>
              <w:rPr>
                <w:rFonts w:ascii="Times New Roman" w:cs="Times New Roman" w:eastAsia="Times New Roman" w:hAnsi="Times New Roman"/>
                <w:sz w:val="18"/>
                <w:szCs w:val="18"/>
                <w:b w:val="1"/>
                <w:bCs w:val="1"/>
                <w:color w:val="auto"/>
                <w:w w:val="98"/>
              </w:rPr>
              <w:t>% / Point</w:t>
            </w: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90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298.3</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310.5</w:t>
            </w:r>
          </w:p>
        </w:tc>
        <w:tc>
          <w:tcPr>
            <w:tcW w:w="1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583.6</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70.2</w:t>
            </w:r>
          </w:p>
        </w:tc>
        <w:tc>
          <w:tcPr>
            <w:tcW w:w="2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72.9</w:t>
            </w:r>
          </w:p>
        </w:tc>
        <w:tc>
          <w:tcPr>
            <w:tcW w:w="14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4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128.5</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23.5 %</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23.5 %</w:t>
            </w:r>
          </w:p>
        </w:tc>
        <w:tc>
          <w:tcPr>
            <w:tcW w:w="19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i w:val="1"/>
                <w:iCs w:val="1"/>
                <w:color w:val="auto"/>
              </w:rPr>
              <w:t>— pts</w:t>
            </w:r>
          </w:p>
        </w:tc>
        <w:tc>
          <w:tcPr>
            <w:tcW w:w="13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23.5 %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22.0 %</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1.5 pts</w:t>
            </w:r>
          </w:p>
        </w:tc>
        <w:tc>
          <w:tcPr>
            <w:tcW w:w="0" w:type="dxa"/>
            <w:vAlign w:val="bottom"/>
          </w:tcPr>
          <w:p>
            <w:pPr>
              <w:spacing w:after="0"/>
              <w:rPr>
                <w:sz w:val="1"/>
                <w:szCs w:val="1"/>
                <w:color w:val="auto"/>
              </w:rPr>
            </w:pPr>
          </w:p>
        </w:tc>
      </w:tr>
      <w:tr>
        <w:trPr>
          <w:trHeight w:val="45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net sales from the prior period were as follows:</w:t>
            </w: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39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9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144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(3.0)</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(1.5)</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0.6</w:t>
            </w: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1380"/>
              <w:spacing w:after="0"/>
              <w:rPr>
                <w:sz w:val="20"/>
                <w:szCs w:val="20"/>
                <w:color w:val="auto"/>
              </w:rPr>
            </w:pPr>
            <w:r>
              <w:rPr>
                <w:rFonts w:ascii="Times New Roman" w:cs="Times New Roman" w:eastAsia="Times New Roman" w:hAnsi="Times New Roman"/>
                <w:sz w:val="18"/>
                <w:szCs w:val="18"/>
                <w:color w:val="auto"/>
              </w:rPr>
              <w:t>(3.9)%</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3.9 and 4.6 percent decreases in net sales for Water Solutions in the second quarter and first half, respectively, of 2025 from 2024 were primarily driven by:</w:t>
      </w:r>
    </w:p>
    <w:p>
      <w:pPr>
        <w:spacing w:after="0" w:line="106" w:lineRule="exact"/>
        <w:rPr>
          <w:sz w:val="20"/>
          <w:szCs w:val="20"/>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compared to the same periods of the prior year;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exits during the fourth quarter of 2024 and second quarter of 2025 in our residential and commercial businesses.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173" w:lineRule="exact"/>
        <w:rPr>
          <w:sz w:val="20"/>
          <w:szCs w:val="20"/>
          <w:color w:val="auto"/>
        </w:rPr>
      </w:pPr>
    </w:p>
    <w:p>
      <w:pPr>
        <w:ind w:left="480" w:hanging="310"/>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0" w:hanging="310"/>
        <w:spacing w:after="0"/>
        <w:tabs>
          <w:tab w:leader="none" w:pos="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foreign currency effects compared to the same periods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Water Solutions segment income as a percentage of net sales from the prior period were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60" w:type="dxa"/>
            <w:vAlign w:val="bottom"/>
          </w:tcPr>
          <w:p>
            <w:pPr>
              <w:spacing w:after="0"/>
              <w:rPr>
                <w:sz w:val="19"/>
                <w:szCs w:val="19"/>
                <w:color w:val="auto"/>
              </w:rPr>
            </w:pPr>
          </w:p>
        </w:tc>
        <w:tc>
          <w:tcPr>
            <w:tcW w:w="36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640" w:type="dxa"/>
            <w:vAlign w:val="bottom"/>
          </w:tcPr>
          <w:p>
            <w:pPr>
              <w:spacing w:after="0"/>
              <w:rPr>
                <w:sz w:val="19"/>
                <w:szCs w:val="19"/>
                <w:color w:val="auto"/>
              </w:rPr>
            </w:pPr>
          </w:p>
        </w:tc>
        <w:tc>
          <w:tcPr>
            <w:tcW w:w="33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80" w:type="dxa"/>
            <w:vAlign w:val="bottom"/>
          </w:tcPr>
          <w:p>
            <w:pPr>
              <w:spacing w:after="0"/>
              <w:rPr>
                <w:sz w:val="19"/>
                <w:szCs w:val="19"/>
                <w:color w:val="auto"/>
              </w:rPr>
            </w:pPr>
          </w:p>
        </w:tc>
      </w:tr>
      <w:tr>
        <w:trPr>
          <w:trHeight w:val="238"/>
        </w:trPr>
        <w:tc>
          <w:tcPr>
            <w:tcW w:w="33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64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3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pts</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Currency</w:t>
            </w: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40" w:type="dxa"/>
            <w:vAlign w:val="bottom"/>
          </w:tcPr>
          <w:p>
            <w:pPr>
              <w:spacing w:after="0"/>
              <w:rPr>
                <w:sz w:val="19"/>
                <w:szCs w:val="19"/>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r>
      <w:tr>
        <w:trPr>
          <w:trHeight w:val="22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Inflation</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shd w:val="clear" w:color="auto" w:fill="CCEEFF"/>
          </w:tcPr>
          <w:p>
            <w:pPr>
              <w:spacing w:after="0"/>
              <w:rPr>
                <w:sz w:val="19"/>
                <w:szCs w:val="19"/>
                <w:color w:val="auto"/>
              </w:rPr>
            </w:pP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9"/>
                <w:szCs w:val="19"/>
                <w:color w:val="auto"/>
              </w:rPr>
            </w:pPr>
          </w:p>
        </w:tc>
      </w:tr>
      <w:tr>
        <w:trPr>
          <w:trHeight w:val="230"/>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Productivity</w:t>
            </w:r>
          </w:p>
        </w:tc>
        <w:tc>
          <w:tcPr>
            <w:tcW w:w="3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Borders>
              <w:bottom w:val="single" w:sz="8" w:color="auto"/>
            </w:tcBorders>
          </w:tcPr>
          <w:p>
            <w:pPr>
              <w:spacing w:after="0"/>
              <w:rPr>
                <w:sz w:val="19"/>
                <w:szCs w:val="19"/>
                <w:color w:val="auto"/>
              </w:rPr>
            </w:pPr>
          </w:p>
        </w:tc>
      </w:tr>
      <w:tr>
        <w:trPr>
          <w:trHeight w:val="248"/>
        </w:trPr>
        <w:tc>
          <w:tcPr>
            <w:tcW w:w="3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pts</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336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income was flat for Water Solutions in the second quarter of 2025 from 2024, primarily driven by:</w:t>
      </w:r>
    </w:p>
    <w:p>
      <w:pPr>
        <w:spacing w:after="0" w:line="173" w:lineRule="exact"/>
        <w:rPr>
          <w:sz w:val="20"/>
          <w:szCs w:val="20"/>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mainly driven by transformation initiatives; offset by</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including higher tariffs, related to certain raw materials;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foreign currency effects compared to the second quarter of the prior year.</w:t>
      </w:r>
    </w:p>
    <w:p>
      <w:pPr>
        <w:spacing w:after="0" w:line="10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1.5 percentage point increase in segment income for Water Solutions as a percentage of net sales in the first half of 2025 from 2024 was primarily driven by:</w:t>
      </w:r>
    </w:p>
    <w:p>
      <w:pPr>
        <w:spacing w:after="0" w:line="106" w:lineRule="exact"/>
        <w:rPr>
          <w:sz w:val="20"/>
          <w:szCs w:val="20"/>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mainly driven by transformation initiatives;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73" w:lineRule="exact"/>
        <w:rPr>
          <w:sz w:val="20"/>
          <w:szCs w:val="20"/>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including higher tariffs, related to certain raw materials.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Pool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sales and segment income for Pool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8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 / Point</w:t>
            </w: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4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14"/>
                <w:szCs w:val="14"/>
                <w:color w:val="auto"/>
              </w:rPr>
            </w:pPr>
          </w:p>
        </w:tc>
        <w:tc>
          <w:tcPr>
            <w:tcW w:w="98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 / Point</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427.2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391.5</w:t>
            </w:r>
          </w:p>
        </w:tc>
        <w:tc>
          <w:tcPr>
            <w:tcW w:w="1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4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751.0</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2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152.7</w:t>
            </w:r>
          </w:p>
        </w:tc>
        <w:tc>
          <w:tcPr>
            <w:tcW w:w="26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133.6</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4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244.4</w:t>
            </w:r>
          </w:p>
        </w:tc>
        <w:tc>
          <w:tcPr>
            <w:tcW w:w="3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i w:val="1"/>
                <w:iCs w:val="1"/>
                <w:color w:val="auto"/>
              </w:rPr>
              <w:t>% of net sales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35.7 %</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34.1 %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 pts</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i w:val="1"/>
                <w:iCs w:val="1"/>
                <w:color w:val="auto"/>
              </w:rPr>
              <w:t>34.4 %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32.5 %</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i w:val="1"/>
                <w:iCs w:val="1"/>
                <w:color w:val="auto"/>
              </w:rPr>
              <w:t>1.9 pts</w:t>
            </w:r>
          </w:p>
        </w:tc>
        <w:tc>
          <w:tcPr>
            <w:tcW w:w="0" w:type="dxa"/>
            <w:vAlign w:val="bottom"/>
          </w:tcPr>
          <w:p>
            <w:pPr>
              <w:spacing w:after="0"/>
              <w:rPr>
                <w:sz w:val="1"/>
                <w:szCs w:val="1"/>
                <w:color w:val="auto"/>
              </w:rPr>
            </w:pPr>
          </w:p>
        </w:tc>
      </w:tr>
      <w:tr>
        <w:trPr>
          <w:trHeight w:val="441"/>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components of the change in Pool net sales from the prior period were as follows: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9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over the prior year period</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1.4 %</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1.4 %</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5.9</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Core growth</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7.3</w:t>
            </w: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Acquisition/Divestiture</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1.8</w:t>
            </w:r>
          </w:p>
        </w:tc>
        <w:tc>
          <w:tcPr>
            <w:tcW w:w="9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2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9.1 %</w:t>
            </w:r>
          </w:p>
        </w:tc>
        <w:tc>
          <w:tcPr>
            <w:tcW w:w="9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8.0 %</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9.1 and 8.0 percent increases in net sales for Pool in the second quarter and first half, respectively, of 2025 from 2024 were primarily driven by:</w:t>
      </w:r>
    </w:p>
    <w:p>
      <w:pPr>
        <w:spacing w:after="0" w:line="173" w:lineRule="exact"/>
        <w:rPr>
          <w:sz w:val="20"/>
          <w:szCs w:val="20"/>
          <w:color w:val="auto"/>
        </w:rPr>
      </w:pPr>
    </w:p>
    <w:p>
      <w:pPr>
        <w:ind w:left="480" w:hanging="310"/>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inflationary cost increases;</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due to the acquisition of G &amp; F Manufacturing completed in the fourth quarter of 2024;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due to higher demand compared to the same periods of the prior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change in Pool segment income as a percentage of net sales from the prior period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19"/>
                <w:szCs w:val="19"/>
                <w:color w:val="auto"/>
              </w:rPr>
            </w:pPr>
          </w:p>
        </w:tc>
        <w:tc>
          <w:tcPr>
            <w:tcW w:w="36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2025</w:t>
            </w:r>
          </w:p>
        </w:tc>
        <w:tc>
          <w:tcPr>
            <w:tcW w:w="64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80" w:type="dxa"/>
            <w:vAlign w:val="bottom"/>
          </w:tcPr>
          <w:p>
            <w:pPr>
              <w:spacing w:after="0"/>
              <w:rPr>
                <w:sz w:val="19"/>
                <w:szCs w:val="19"/>
                <w:color w:val="auto"/>
              </w:rPr>
            </w:pPr>
          </w:p>
        </w:tc>
      </w:tr>
      <w:tr>
        <w:trPr>
          <w:trHeight w:val="238"/>
        </w:trPr>
        <w:tc>
          <w:tcPr>
            <w:tcW w:w="34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6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over the prior year period</w:t>
            </w:r>
          </w:p>
        </w:tc>
        <w:tc>
          <w:tcPr>
            <w:tcW w:w="280" w:type="dxa"/>
            <w:vAlign w:val="bottom"/>
            <w:tcBorders>
              <w:bottom w:val="single" w:sz="8" w:color="auto"/>
            </w:tcBorders>
          </w:tcPr>
          <w:p>
            <w:pPr>
              <w:spacing w:after="0"/>
              <w:rPr>
                <w:sz w:val="20"/>
                <w:szCs w:val="20"/>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Volume/Price/Acquisition/Divestiture</w:t>
            </w:r>
          </w:p>
        </w:tc>
        <w:tc>
          <w:tcPr>
            <w:tcW w:w="3660" w:type="dxa"/>
            <w:vAlign w:val="bottom"/>
            <w:shd w:val="clear" w:color="auto" w:fill="CCEEFF"/>
          </w:tcPr>
          <w:p>
            <w:pPr>
              <w:jc w:val="center"/>
              <w:ind w:left="3150"/>
              <w:spacing w:after="0"/>
              <w:rPr>
                <w:sz w:val="20"/>
                <w:szCs w:val="20"/>
                <w:color w:val="auto"/>
              </w:rPr>
            </w:pPr>
            <w:r>
              <w:rPr>
                <w:rFonts w:ascii="Times New Roman" w:cs="Times New Roman" w:eastAsia="Times New Roman" w:hAnsi="Times New Roman"/>
                <w:sz w:val="18"/>
                <w:szCs w:val="18"/>
                <w:color w:val="auto"/>
                <w:w w:val="97"/>
              </w:rPr>
              <w:t>4.1</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pts</w:t>
            </w:r>
          </w:p>
        </w:tc>
        <w:tc>
          <w:tcPr>
            <w:tcW w:w="3260" w:type="dxa"/>
            <w:vAlign w:val="bottom"/>
            <w:shd w:val="clear" w:color="auto" w:fill="CCEEFF"/>
          </w:tcPr>
          <w:p>
            <w:pPr>
              <w:jc w:val="center"/>
              <w:ind w:left="277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366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7"/>
              </w:rPr>
              <w:t>0.2</w:t>
            </w:r>
          </w:p>
        </w:tc>
        <w:tc>
          <w:tcPr>
            <w:tcW w:w="640" w:type="dxa"/>
            <w:vAlign w:val="bottom"/>
          </w:tcPr>
          <w:p>
            <w:pPr>
              <w:spacing w:after="0"/>
              <w:rPr>
                <w:sz w:val="19"/>
                <w:szCs w:val="19"/>
                <w:color w:val="auto"/>
              </w:rPr>
            </w:pPr>
          </w:p>
        </w:tc>
        <w:tc>
          <w:tcPr>
            <w:tcW w:w="3260" w:type="dxa"/>
            <w:vAlign w:val="bottom"/>
          </w:tcPr>
          <w:p>
            <w:pPr>
              <w:jc w:val="center"/>
              <w:ind w:left="2770"/>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19"/>
                <w:szCs w:val="19"/>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3660" w:type="dxa"/>
            <w:vAlign w:val="bottom"/>
            <w:shd w:val="clear" w:color="auto" w:fill="CCEEFF"/>
          </w:tcPr>
          <w:p>
            <w:pPr>
              <w:jc w:val="center"/>
              <w:ind w:left="313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shd w:val="clear" w:color="auto" w:fill="CCEEFF"/>
          </w:tcPr>
          <w:p>
            <w:pPr>
              <w:spacing w:after="0"/>
              <w:rPr>
                <w:sz w:val="19"/>
                <w:szCs w:val="19"/>
                <w:color w:val="auto"/>
              </w:rPr>
            </w:pPr>
          </w:p>
        </w:tc>
        <w:tc>
          <w:tcPr>
            <w:tcW w:w="3260" w:type="dxa"/>
            <w:vAlign w:val="bottom"/>
            <w:shd w:val="clear" w:color="auto" w:fill="CCEEFF"/>
          </w:tcPr>
          <w:p>
            <w:pPr>
              <w:jc w:val="center"/>
              <w:ind w:left="2750"/>
              <w:spacing w:after="0"/>
              <w:rPr>
                <w:sz w:val="20"/>
                <w:szCs w:val="20"/>
                <w:color w:val="auto"/>
              </w:rPr>
            </w:pPr>
            <w:r>
              <w:rPr>
                <w:rFonts w:ascii="Times New Roman" w:cs="Times New Roman" w:eastAsia="Times New Roman" w:hAnsi="Times New Roman"/>
                <w:sz w:val="18"/>
                <w:szCs w:val="18"/>
                <w:color w:val="auto"/>
                <w:w w:val="98"/>
              </w:rPr>
              <w:t>(2.4)</w:t>
            </w:r>
          </w:p>
        </w:tc>
        <w:tc>
          <w:tcPr>
            <w:tcW w:w="280" w:type="dxa"/>
            <w:vAlign w:val="bottom"/>
            <w:shd w:val="clear" w:color="auto" w:fill="CCEEFF"/>
          </w:tcPr>
          <w:p>
            <w:pPr>
              <w:spacing w:after="0"/>
              <w:rPr>
                <w:sz w:val="19"/>
                <w:szCs w:val="19"/>
                <w:color w:val="auto"/>
              </w:rPr>
            </w:pPr>
          </w:p>
        </w:tc>
      </w:tr>
      <w:tr>
        <w:trPr>
          <w:trHeight w:val="230"/>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Productivity</w:t>
            </w:r>
          </w:p>
        </w:tc>
        <w:tc>
          <w:tcPr>
            <w:tcW w:w="3660" w:type="dxa"/>
            <w:vAlign w:val="bottom"/>
            <w:tcBorders>
              <w:bottom w:val="single" w:sz="8" w:color="auto"/>
            </w:tcBorders>
          </w:tcPr>
          <w:p>
            <w:pPr>
              <w:jc w:val="center"/>
              <w:ind w:left="3150"/>
              <w:spacing w:after="0"/>
              <w:rPr>
                <w:sz w:val="20"/>
                <w:szCs w:val="20"/>
                <w:color w:val="auto"/>
              </w:rPr>
            </w:pPr>
            <w:r>
              <w:rPr>
                <w:rFonts w:ascii="Times New Roman" w:cs="Times New Roman" w:eastAsia="Times New Roman" w:hAnsi="Times New Roman"/>
                <w:sz w:val="18"/>
                <w:szCs w:val="18"/>
                <w:color w:val="auto"/>
                <w:w w:val="97"/>
              </w:rPr>
              <w:t>0.4</w:t>
            </w:r>
          </w:p>
        </w:tc>
        <w:tc>
          <w:tcPr>
            <w:tcW w:w="64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center"/>
              <w:ind w:left="277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tcPr>
          <w:p>
            <w:pPr>
              <w:spacing w:after="0"/>
              <w:rPr>
                <w:sz w:val="19"/>
                <w:szCs w:val="19"/>
                <w:color w:val="auto"/>
              </w:rPr>
            </w:pPr>
          </w:p>
        </w:tc>
      </w:tr>
      <w:tr>
        <w:trPr>
          <w:trHeight w:val="248"/>
        </w:trPr>
        <w:tc>
          <w:tcPr>
            <w:tcW w:w="3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tcBorders>
              <w:bottom w:val="single" w:sz="8" w:color="auto"/>
            </w:tcBorders>
            <w:shd w:val="clear" w:color="auto" w:fill="CCEEFF"/>
          </w:tcPr>
          <w:p>
            <w:pPr>
              <w:jc w:val="center"/>
              <w:ind w:left="3150"/>
              <w:spacing w:after="0"/>
              <w:rPr>
                <w:sz w:val="20"/>
                <w:szCs w:val="20"/>
                <w:color w:val="auto"/>
              </w:rPr>
            </w:pPr>
            <w:r>
              <w:rPr>
                <w:rFonts w:ascii="Times New Roman" w:cs="Times New Roman" w:eastAsia="Times New Roman" w:hAnsi="Times New Roman"/>
                <w:sz w:val="18"/>
                <w:szCs w:val="18"/>
                <w:color w:val="auto"/>
                <w:w w:val="97"/>
              </w:rPr>
              <w:t>1.6</w:t>
            </w:r>
          </w:p>
        </w:tc>
        <w:tc>
          <w:tcPr>
            <w:tcW w:w="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pts</w:t>
            </w:r>
          </w:p>
        </w:tc>
        <w:tc>
          <w:tcPr>
            <w:tcW w:w="3260" w:type="dxa"/>
            <w:vAlign w:val="bottom"/>
            <w:tcBorders>
              <w:bottom w:val="single" w:sz="8" w:color="auto"/>
            </w:tcBorders>
            <w:shd w:val="clear" w:color="auto" w:fill="CCEEFF"/>
          </w:tcPr>
          <w:p>
            <w:pPr>
              <w:jc w:val="center"/>
              <w:ind w:left="2770"/>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pts</w:t>
            </w:r>
          </w:p>
        </w:tc>
      </w:tr>
      <w:tr>
        <w:trPr>
          <w:trHeight w:val="20"/>
        </w:trPr>
        <w:tc>
          <w:tcPr>
            <w:tcW w:w="3400" w:type="dxa"/>
            <w:vAlign w:val="bottom"/>
            <w:tcBorders>
              <w:top w:val="single" w:sz="8" w:color="CCEEFF"/>
              <w:bottom w:val="single" w:sz="8" w:color="auto"/>
            </w:tcBorders>
          </w:tcPr>
          <w:p>
            <w:pPr>
              <w:spacing w:after="0" w:line="20" w:lineRule="exact"/>
              <w:rPr>
                <w:sz w:val="1"/>
                <w:szCs w:val="1"/>
                <w:color w:val="auto"/>
              </w:rPr>
            </w:pPr>
          </w:p>
        </w:tc>
        <w:tc>
          <w:tcPr>
            <w:tcW w:w="3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1.6 and 1.9 percentage point increases in segment income for Pool as a percentage of net sales in the second quarter and first half, respectively, of 2025 from 2024 were primarily driven by:</w:t>
      </w:r>
    </w:p>
    <w:p>
      <w:pPr>
        <w:spacing w:after="0" w:line="106" w:lineRule="exact"/>
        <w:rPr>
          <w:sz w:val="20"/>
          <w:szCs w:val="20"/>
          <w:color w:val="auto"/>
        </w:rPr>
      </w:pPr>
    </w:p>
    <w:p>
      <w:pPr>
        <w:ind w:left="480" w:hanging="310"/>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selling prices to mitigate impacts of inflation; and</w:t>
      </w:r>
    </w:p>
    <w:p>
      <w:pPr>
        <w:spacing w:after="0" w:line="17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driven by transformation initiatives.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increases were partially offset by:</w:t>
      </w:r>
    </w:p>
    <w:p>
      <w:pPr>
        <w:spacing w:after="0" w:line="173" w:lineRule="exact"/>
        <w:rPr>
          <w:sz w:val="20"/>
          <w:szCs w:val="20"/>
          <w:color w:val="auto"/>
        </w:rPr>
      </w:pPr>
    </w:p>
    <w:p>
      <w:pPr>
        <w:ind w:left="480" w:hanging="31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cost increases, including higher tariffs, related to certain raw materials and labor costs.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 seasonal cash flows primarily due to seasonal demand in a number of markets. Consistent with historical trends, we experienced seasonal cash usage in the first quarter of 2025 and drew on our revolving credit facility to fund our operations. This cash usage reversed in the second quarter as the seasonality of our businesses peaked and generated significant cash to fund our operations.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End-user demand for pool equipment in the Pool segment, water solution products in the Water Solutions segment, and residential water supply and agricultural products within the Flow segment follows warm weather trends, with seasonal highs ranging from April to September. The magnitude of the sales spike has historically been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20" w:type="dxa"/>
            <w:vAlign w:val="bottom"/>
          </w:tcPr>
          <w:p>
            <w:pPr>
              <w:spacing w:after="0"/>
              <w:rPr>
                <w:sz w:val="24"/>
                <w:szCs w:val="24"/>
                <w:color w:val="auto"/>
              </w:rPr>
            </w:pPr>
          </w:p>
        </w:tc>
        <w:tc>
          <w:tcPr>
            <w:tcW w:w="29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0" w:type="dxa"/>
            <w:vAlign w:val="bottom"/>
          </w:tcPr>
          <w:p>
            <w:pPr>
              <w:jc w:val="center"/>
              <w:ind w:left="4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540" w:type="dxa"/>
            <w:vAlign w:val="bottom"/>
          </w:tcPr>
          <w:p>
            <w:pPr>
              <w:spacing w:after="0"/>
              <w:rPr>
                <w:sz w:val="14"/>
                <w:szCs w:val="14"/>
                <w:color w:val="auto"/>
              </w:rPr>
            </w:pPr>
          </w:p>
        </w:tc>
        <w:tc>
          <w:tcPr>
            <w:tcW w:w="1200" w:type="dxa"/>
            <w:vAlign w:val="bottom"/>
          </w:tcPr>
          <w:p>
            <w:pPr>
              <w:jc w:val="center"/>
              <w:ind w:left="4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activities of continuing operations</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Investing activities</w:t>
            </w: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Financing activities</w:t>
            </w:r>
          </w:p>
        </w:tc>
        <w:tc>
          <w:tcPr>
            <w:tcW w:w="1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(469.4)</w:t>
            </w: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(351.1)</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of continuing operations in the first six months of 2025 primarily reflects net income from continuing operations, net of non-cash depreciation, definite-lived intangible amortization, share-based compensation, loss on sale of business and asset impairment, of $455.8 million. Additionally, we had a cash inflow of $83.3 million as a result of changes in net working capital, primarily due to decreased accounts receivable and increased accounts payable balances. The decrease in accounts receivable was attributed to an increase in cash collections during the period. The increased accounts payable balance was primarily due to an increase in purchases for our peak sales season in the second quarter of 2025.</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of continuing operations in the first six months of 2024 primarily reflects net income from continuing operations, net of non-cash depreciation, definite-lived intangible amortization, share-based compensation and asset impairment, of $394.0 million. Additionally, we had a cash inflow of $15.4 million as a result of changes in net working capital, primarily due to lower inventory and increased accounts payable balances. The decrease in inventory was primarily related to supply chain efficiencies and improved lead times. The higher accounts payable balance was attributed to inventory purchases for our peak sales season in the second quarter of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Net cash used for investing activities in the first six months of 2025 primarily reflects capital expenditures of $27.7 million and the purchase of investments of $18.0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investing activities in the first six months of 2024 primarily reflects capital expenditures of $36.3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used for financing activities in the first six months of 2025 primarily relates to the repayment of $250.0 million of the remaining principal under the Term Loan Facility, share repurchases of $125.0 million and dividend payments of $82.4 million.</w:t>
      </w:r>
    </w:p>
    <w:p>
      <w:pPr>
        <w:spacing w:after="0" w:line="1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in the first six months of 2024 primarily relates to the repayment of $200.0 million term loans under the Senior Credit Facility, $37.5 million Term Loan Facility principal payments, dividend payments of $76.2 million and share repurchases of $50.0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free cash flow:</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8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4"/>
                <w:szCs w:val="14"/>
                <w:color w:val="auto"/>
              </w:rPr>
            </w:pPr>
          </w:p>
        </w:tc>
        <w:tc>
          <w:tcPr>
            <w:tcW w:w="120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14"/>
                <w:szCs w:val="14"/>
                <w:color w:val="auto"/>
              </w:rPr>
            </w:pPr>
          </w:p>
        </w:tc>
        <w:tc>
          <w:tcPr>
            <w:tcW w:w="120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83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of continuing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of continuing operations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 of continuing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from continuing operations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 of 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1"/>
        </w:trPr>
        <w:tc>
          <w:tcPr>
            <w:tcW w:w="8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capital</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Pentair, Pentair Finance S.à r.l (“PFSA”) and Pentair, Inc. are parties to a credit agreement (the “Senior Credit Facility”), with Pentair as guarantor and PFSA and Pentair, Inc. as borrowers, which was amended and restated in May 2025, providing for a $900.0 million senior unsecured revolving credit facility. The Senior Credit Facility has a maturity date of May 5, 2030.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total availability under the Senior Credit Facility was $880.6 million. In addition, PFSA has the option to request to increase the revolving credit facility and/or to enter into one or more tranches of term loans in an aggregate amount of up to $450.0 million, subject to customary conditions, including the commitment of the participating lenders.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June 30, 2025, the remaining obligation of $575.0 million matures on July 28, 2027.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Facility provide for the calculation of EBITDA giving pro forma effect to certain acquisitions, divestitures and liquidations during the period to which such calculation relates.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Senior Credit Facility and the Term Loan Facility, we have various other credit facilities with an aggregate availability of $20.9 million, of which there were no outstanding borrowings at June 30, 2025. Borrowings under these credit facilities bear interest at variable rates.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$19.3 million of senior notes maturing in the next twelve months. We classified this debt as long-term as of June 30, 2025 as we have the intent and ability to refinance such obligation on a long-term basis under the Senior Credit Facility.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had $99.9 million of cash held in certain countries in which the ability to repatriate is limited due to local regulations or significant potential tax consequences.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2020, the Board of Directors authorized the repurchase of our ordinary shares up to a maximum dollar limit of $750.0 million. This authorization expires on December 31, 2025. During the six months ended June 30, 2025, we repurchased 1.3 million of our ordinary shares for $125.0 million. As of June 30, 2025, we had $325.0 million available for share repurchases under this authorization.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payable</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May 5, 2025, the Board of Directors declared a quarterly cash dividend of $0.25 per share, payable on August 1, 2025 to shareholders of record at the close of business on July 18, 2025. As a result, the balance of dividends payable included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xml:space="preserve"> on our Condensed Consolidated Balance Sheets was $41.0 million at June 30, 2025, compared to $41.2 million at December 31, 2024.</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dividends in the first six months of 2025 of $82.4 million, or $0.50 per ordinary share compared with $76.2 million, or $0.46 per ordinary share, in the prior year period.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$6.8 billion as of December 31,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guarantor information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summarized financial information as of June 30, 2025 and December 31, 2024 for the Parent Company Guarantor and Subsidiary Issuer on a combined basis after elimination of (i) intercompany transactions and balances among the Parent Company Guarantor and the Subsidiary Issuer and (ii) equity in earnings from and investments in any subsidiary that is a non-guarantor or issuer.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0" w:type="dxa"/>
            <w:vAlign w:val="bottom"/>
          </w:tcPr>
          <w:p>
            <w:pPr>
              <w:spacing w:after="0"/>
              <w:rPr>
                <w:sz w:val="17"/>
                <w:szCs w:val="17"/>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4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4860" w:type="dxa"/>
            <w:vAlign w:val="bottom"/>
            <w:tcBorders>
              <w:bottom w:val="single" w:sz="8" w:color="auto"/>
            </w:tcBorders>
            <w:vMerge w:val="continue"/>
          </w:tcPr>
          <w:p>
            <w:pPr>
              <w:spacing w:after="0"/>
              <w:rPr>
                <w:sz w:val="21"/>
                <w:szCs w:val="21"/>
                <w:color w:val="auto"/>
              </w:rPr>
            </w:pPr>
          </w:p>
        </w:tc>
        <w:tc>
          <w:tcPr>
            <w:tcW w:w="3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(1)</w:t>
            </w:r>
          </w:p>
        </w:tc>
        <w:tc>
          <w:tcPr>
            <w:tcW w:w="3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(2)</w:t>
            </w:r>
          </w:p>
        </w:tc>
        <w:tc>
          <w:tcPr>
            <w:tcW w:w="3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3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0" w:type="dxa"/>
            <w:vAlign w:val="bottom"/>
          </w:tcPr>
          <w:p>
            <w:pPr>
              <w:spacing w:after="0"/>
              <w:rPr>
                <w:sz w:val="1"/>
                <w:szCs w:val="1"/>
                <w:color w:val="auto"/>
              </w:rPr>
            </w:pPr>
          </w:p>
        </w:tc>
      </w:tr>
      <w:tr>
        <w:trPr>
          <w:trHeight w:val="206"/>
        </w:trPr>
        <w:tc>
          <w:tcPr>
            <w:tcW w:w="486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Noncurrent liabilities </w:t>
            </w:r>
            <w:r>
              <w:rPr>
                <w:rFonts w:ascii="Times New Roman" w:cs="Times New Roman" w:eastAsia="Times New Roman" w:hAnsi="Times New Roman"/>
                <w:sz w:val="23"/>
                <w:szCs w:val="23"/>
                <w:color w:val="auto"/>
                <w:vertAlign w:val="superscript"/>
              </w:rPr>
              <w:t>(4)</w:t>
            </w:r>
          </w:p>
        </w:tc>
        <w:tc>
          <w:tcPr>
            <w:tcW w:w="3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0" w:type="dxa"/>
            <w:vAlign w:val="bottom"/>
          </w:tcPr>
          <w:p>
            <w:pPr>
              <w:spacing w:after="0"/>
              <w:rPr>
                <w:sz w:val="1"/>
                <w:szCs w:val="1"/>
                <w:color w:val="auto"/>
              </w:rPr>
            </w:pPr>
          </w:p>
        </w:tc>
      </w:tr>
    </w:tbl>
    <w:p>
      <w:pPr>
        <w:ind w:left="200" w:hanging="174"/>
        <w:spacing w:after="0" w:line="206" w:lineRule="auto"/>
        <w:tabs>
          <w:tab w:leader="none" w:pos="20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No assets due from non-guarantor subsidiaries were included as of June 30, 2025 and December 31, 2024, respectively.</w:t>
      </w:r>
    </w:p>
    <w:p>
      <w:pPr>
        <w:spacing w:after="0" w:line="66"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assets due from non-guarantor subsidiaries of $2,550.8 million and $2,547.3 million as of June 30, 2025 and December 31, 2024, respectively.</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liabilities due to non-guarantor subsidiaries of $2,291.0 million and $1,843.0 million as of June 30, 2025 and December 31, 2024, respectively.</w:t>
      </w:r>
    </w:p>
    <w:p>
      <w:pPr>
        <w:spacing w:after="0" w:line="64" w:lineRule="exact"/>
        <w:rPr>
          <w:rFonts w:ascii="Times New Roman" w:cs="Times New Roman" w:eastAsia="Times New Roman" w:hAnsi="Times New Roman"/>
          <w:sz w:val="22"/>
          <w:szCs w:val="22"/>
          <w:color w:val="auto"/>
          <w:vertAlign w:val="superscript"/>
        </w:rPr>
      </w:pPr>
    </w:p>
    <w:p>
      <w:pPr>
        <w:ind w:left="200" w:hanging="174"/>
        <w:spacing w:after="0" w:line="182" w:lineRule="auto"/>
        <w:tabs>
          <w:tab w:leader="none" w:pos="20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Includes liabilities due to non-guarantor subsidiaries of $170.4 million and $151.5 million as of June 30, 2025 and December 31, 2024, respectively.</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Guarantor and Subsidiary Issuer do not have material results of operations on a combined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2024,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2024.</w:t>
      </w:r>
    </w:p>
    <w:p>
      <w:pPr>
        <w:spacing w:after="0" w:line="1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during the quarter ended June 30, 2025. For additional information refer to Item 7A of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71" w:lineRule="exact"/>
        <w:rPr>
          <w:sz w:val="20"/>
          <w:szCs w:val="20"/>
          <w:color w:val="auto"/>
        </w:rPr>
      </w:pPr>
    </w:p>
    <w:p>
      <w:pPr>
        <w:ind w:left="400" w:hanging="392"/>
        <w:spacing w:after="0"/>
        <w:tabs>
          <w:tab w:leader="none" w:pos="4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31" w:lineRule="exact"/>
        <w:rPr>
          <w:rFonts w:ascii="Times New Roman" w:cs="Times New Roman" w:eastAsia="Times New Roman" w:hAnsi="Times New Roman"/>
          <w:sz w:val="18"/>
          <w:szCs w:val="18"/>
          <w:b w:val="1"/>
          <w:bCs w:val="1"/>
          <w:color w:val="auto"/>
        </w:rPr>
      </w:pPr>
    </w:p>
    <w:p>
      <w:pPr>
        <w:jc w:val="both"/>
        <w:ind w:left="4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2025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June 30, 2025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34"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rFonts w:ascii="Times New Roman" w:cs="Times New Roman" w:eastAsia="Times New Roman" w:hAnsi="Times New Roman"/>
          <w:sz w:val="18"/>
          <w:szCs w:val="18"/>
          <w:b w:val="1"/>
          <w:bCs w:val="1"/>
          <w:color w:val="auto"/>
        </w:rPr>
      </w:pPr>
    </w:p>
    <w:p>
      <w:pPr>
        <w:ind w:left="42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was no change in our internal control over financial reporting that occurred during the quarter ended June 30, 2025 that has materially affected, or is reasonably likely to materially affect, our internal control over financial reporting.</w:t>
      </w:r>
    </w:p>
    <w:p>
      <w:pPr>
        <w:spacing w:after="0" w:line="107" w:lineRule="exact"/>
        <w:rPr>
          <w:rFonts w:ascii="Times New Roman" w:cs="Times New Roman" w:eastAsia="Times New Roman" w:hAnsi="Times New Roman"/>
          <w:sz w:val="18"/>
          <w:szCs w:val="18"/>
          <w:b w:val="1"/>
          <w:bCs w:val="1"/>
          <w:color w:val="auto"/>
        </w:rPr>
      </w:pPr>
    </w:p>
    <w:p>
      <w:pPr>
        <w:jc w:val="both"/>
        <w:ind w:left="4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2024, we began a multi-year implementation of our new global enterprise resource planning (“ERP”) system. Ultimately, this ERP system will modernize several of our existing operating and transactional financial systems. We believe this implementation will enhance our internal control over financial reporting due to improved operational functionality and further integration of related processes. As a result of this ERP implementation process, we have automated, modified or implemented certain internal controls as appropriate. We will continue to monitor our internal control over financial reporting for effectiveness throughout the remainder of this implementation.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customers, authorities or parties to acquisitions and divestitures; intellectual property matters; environmental, asbestos, safety and health matters; product liability; the use or installation of our products; consumer matters; and employment and labor matters.</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Annual Report on Form 10-K for the year ended December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ordinary shares during the second quarter of 2025:</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20" w:type="dxa"/>
            <w:vAlign w:val="bottom"/>
          </w:tcPr>
          <w:p>
            <w:pPr>
              <w:spacing w:after="0"/>
              <w:rPr>
                <w:sz w:val="19"/>
                <w:szCs w:val="19"/>
                <w:color w:val="auto"/>
              </w:rPr>
            </w:pPr>
          </w:p>
        </w:tc>
        <w:tc>
          <w:tcPr>
            <w:tcW w:w="172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(a)</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3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60" w:type="dxa"/>
            <w:vAlign w:val="bottom"/>
          </w:tcPr>
          <w:p>
            <w:pPr>
              <w:jc w:val="center"/>
              <w:ind w:right="2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96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Dollar value of</w:t>
            </w:r>
          </w:p>
        </w:tc>
        <w:tc>
          <w:tcPr>
            <w:tcW w:w="0" w:type="dxa"/>
            <w:vAlign w:val="bottom"/>
          </w:tcPr>
          <w:p>
            <w:pPr>
              <w:spacing w:after="0"/>
              <w:rPr>
                <w:sz w:val="1"/>
                <w:szCs w:val="1"/>
                <w:color w:val="auto"/>
              </w:rPr>
            </w:pPr>
          </w:p>
        </w:tc>
      </w:tr>
      <w:tr>
        <w:trPr>
          <w:trHeight w:val="175"/>
        </w:trPr>
        <w:tc>
          <w:tcPr>
            <w:tcW w:w="2320" w:type="dxa"/>
            <w:vAlign w:val="bottom"/>
          </w:tcPr>
          <w:p>
            <w:pPr>
              <w:spacing w:after="0"/>
              <w:rPr>
                <w:sz w:val="15"/>
                <w:szCs w:val="15"/>
                <w:color w:val="auto"/>
              </w:rPr>
            </w:pPr>
          </w:p>
        </w:tc>
        <w:tc>
          <w:tcPr>
            <w:tcW w:w="2380" w:type="dxa"/>
            <w:vAlign w:val="bottom"/>
            <w:gridSpan w:val="2"/>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 as</w:t>
            </w: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shares that may yet</w:t>
            </w:r>
          </w:p>
        </w:tc>
        <w:tc>
          <w:tcPr>
            <w:tcW w:w="0" w:type="dxa"/>
            <w:vAlign w:val="bottom"/>
          </w:tcPr>
          <w:p>
            <w:pPr>
              <w:spacing w:after="0"/>
              <w:rPr>
                <w:sz w:val="1"/>
                <w:szCs w:val="1"/>
                <w:color w:val="auto"/>
              </w:rPr>
            </w:pPr>
          </w:p>
        </w:tc>
      </w:tr>
      <w:tr>
        <w:trPr>
          <w:trHeight w:val="189"/>
        </w:trPr>
        <w:tc>
          <w:tcPr>
            <w:tcW w:w="2320" w:type="dxa"/>
            <w:vAlign w:val="bottom"/>
          </w:tcPr>
          <w:p>
            <w:pPr>
              <w:spacing w:after="0"/>
              <w:rPr>
                <w:sz w:val="16"/>
                <w:szCs w:val="16"/>
                <w:color w:val="auto"/>
              </w:rPr>
            </w:pPr>
          </w:p>
        </w:tc>
        <w:tc>
          <w:tcPr>
            <w:tcW w:w="238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226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9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76"/>
        </w:trPr>
        <w:tc>
          <w:tcPr>
            <w:tcW w:w="232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20" w:type="dxa"/>
            <w:vAlign w:val="bottom"/>
          </w:tcPr>
          <w:p>
            <w:pPr>
              <w:jc w:val="center"/>
              <w:ind w:left="8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shares</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2260" w:type="dxa"/>
            <w:vAlign w:val="bottom"/>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 or</w:t>
            </w:r>
          </w:p>
        </w:tc>
        <w:tc>
          <w:tcPr>
            <w:tcW w:w="19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the plans or</w:t>
            </w:r>
          </w:p>
        </w:tc>
        <w:tc>
          <w:tcPr>
            <w:tcW w:w="0" w:type="dxa"/>
            <w:vAlign w:val="bottom"/>
          </w:tcPr>
          <w:p>
            <w:pPr>
              <w:spacing w:after="0"/>
              <w:rPr>
                <w:sz w:val="1"/>
                <w:szCs w:val="1"/>
                <w:color w:val="auto"/>
              </w:rPr>
            </w:pPr>
          </w:p>
        </w:tc>
      </w:tr>
      <w:tr>
        <w:trPr>
          <w:trHeight w:val="243"/>
        </w:trPr>
        <w:tc>
          <w:tcPr>
            <w:tcW w:w="2320" w:type="dxa"/>
            <w:vAlign w:val="bottom"/>
            <w:tcBorders>
              <w:bottom w:val="single" w:sz="8" w:color="auto"/>
            </w:tcBorders>
            <w:vMerge w:val="continue"/>
          </w:tcPr>
          <w:p>
            <w:pPr>
              <w:spacing w:after="0"/>
              <w:rPr>
                <w:sz w:val="21"/>
                <w:szCs w:val="21"/>
                <w:color w:val="auto"/>
              </w:rPr>
            </w:pPr>
          </w:p>
        </w:tc>
        <w:tc>
          <w:tcPr>
            <w:tcW w:w="172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6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2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1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programs</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 April 26</w:t>
            </w:r>
          </w:p>
        </w:tc>
        <w:tc>
          <w:tcPr>
            <w:tcW w:w="1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90.21</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400,002,380</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27 - May 24</w:t>
            </w:r>
          </w:p>
        </w:tc>
        <w:tc>
          <w:tcPr>
            <w:tcW w:w="1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40" w:type="dxa"/>
            <w:vAlign w:val="bottom"/>
          </w:tcPr>
          <w:p>
            <w:pPr>
              <w:spacing w:after="0"/>
              <w:rPr>
                <w:sz w:val="19"/>
                <w:szCs w:val="19"/>
                <w:color w:val="auto"/>
              </w:rPr>
            </w:pPr>
          </w:p>
        </w:tc>
        <w:tc>
          <w:tcPr>
            <w:tcW w:w="19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95.99</w:t>
            </w:r>
          </w:p>
        </w:tc>
        <w:tc>
          <w:tcPr>
            <w:tcW w:w="2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400,002,380</w:t>
            </w:r>
          </w:p>
        </w:tc>
        <w:tc>
          <w:tcPr>
            <w:tcW w:w="0" w:type="dxa"/>
            <w:vAlign w:val="bottom"/>
          </w:tcPr>
          <w:p>
            <w:pPr>
              <w:spacing w:after="0"/>
              <w:rPr>
                <w:sz w:val="1"/>
                <w:szCs w:val="1"/>
                <w:color w:val="auto"/>
              </w:rPr>
            </w:pPr>
          </w:p>
        </w:tc>
      </w:tr>
      <w:tr>
        <w:trPr>
          <w:trHeight w:val="230"/>
        </w:trPr>
        <w:tc>
          <w:tcPr>
            <w:tcW w:w="2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25 - June 30</w:t>
            </w:r>
          </w:p>
        </w:tc>
        <w:tc>
          <w:tcPr>
            <w:tcW w:w="17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758,428</w:t>
            </w:r>
          </w:p>
        </w:tc>
        <w:tc>
          <w:tcPr>
            <w:tcW w:w="3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99.01</w:t>
            </w:r>
          </w:p>
        </w:tc>
        <w:tc>
          <w:tcPr>
            <w:tcW w:w="22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757,512</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325,002,438</w:t>
            </w:r>
          </w:p>
        </w:tc>
        <w:tc>
          <w:tcPr>
            <w:tcW w:w="0" w:type="dxa"/>
            <w:vAlign w:val="bottom"/>
          </w:tcPr>
          <w:p>
            <w:pPr>
              <w:spacing w:after="0"/>
              <w:rPr>
                <w:sz w:val="1"/>
                <w:szCs w:val="1"/>
                <w:color w:val="auto"/>
              </w:rPr>
            </w:pPr>
          </w:p>
        </w:tc>
      </w:tr>
      <w:tr>
        <w:trPr>
          <w:trHeight w:val="223"/>
        </w:trPr>
        <w:tc>
          <w:tcPr>
            <w:tcW w:w="2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820,361</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757,512</w:t>
            </w:r>
          </w:p>
        </w:tc>
        <w:tc>
          <w:tcPr>
            <w:tcW w:w="1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3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purchases in this column include 60,801 shares for the period April 1 - April 26, 1,132 shares for the period April 27 - May 24 and 916 shares for the period May 25 - June 30 deemed surrendered to us by participants in our equity incentive plans to satisfy the exercise price or withholding of tax obligations related to the exercise of stock options and vesting of restricted and performance shares.</w:t>
      </w:r>
    </w:p>
    <w:p>
      <w:pPr>
        <w:spacing w:after="0" w:line="137" w:lineRule="exact"/>
        <w:rPr>
          <w:rFonts w:ascii="Times New Roman" w:cs="Times New Roman" w:eastAsia="Times New Roman" w:hAnsi="Times New Roman"/>
          <w:sz w:val="16"/>
          <w:szCs w:val="16"/>
          <w:color w:val="auto"/>
        </w:rPr>
      </w:pPr>
    </w:p>
    <w:p>
      <w:pPr>
        <w:ind w:left="340" w:hanging="332"/>
        <w:spacing w:after="0" w:line="280"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24" w:lineRule="exact"/>
        <w:rPr>
          <w:rFonts w:ascii="Times New Roman" w:cs="Times New Roman" w:eastAsia="Times New Roman" w:hAnsi="Times New Roman"/>
          <w:sz w:val="16"/>
          <w:szCs w:val="16"/>
          <w:color w:val="auto"/>
        </w:rPr>
      </w:pPr>
    </w:p>
    <w:p>
      <w:pPr>
        <w:ind w:left="340" w:hanging="332"/>
        <w:spacing w:after="0" w:line="280" w:lineRule="auto"/>
        <w:tabs>
          <w:tab w:leader="none" w:pos="331"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0"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2020, the Board of Directors authorized the repurchase of our ordinary shares up to a maximum dollar limit of $750.0 million. This authorization expires on December 31, 2025. As of June 30, 2025, we had $325.0 million remaining availability for repurchases under this authorization. From time to time, we may enter into a Rule 10b5-1 trading plan for the purpose of repurchasing shares under this authorization.</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ind w:left="340" w:hanging="332"/>
        <w:spacing w:after="0" w:line="282" w:lineRule="auto"/>
        <w:tabs>
          <w:tab w:leader="none" w:pos="33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2025, none of our directors or Section 16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following Exhibit Index are filed as part of this Quarterly Report on Form 10-Q.</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 to Form 10-Q for the Period Ended June 30, 2025</w:t>
      </w:r>
    </w:p>
    <w:p>
      <w:pPr>
        <w:spacing w:after="0" w:line="333" w:lineRule="exact"/>
        <w:rPr>
          <w:sz w:val="20"/>
          <w:szCs w:val="20"/>
          <w:color w:val="auto"/>
        </w:rPr>
      </w:pPr>
    </w:p>
    <w:p>
      <w:pPr>
        <w:jc w:val="right"/>
        <w:ind w:left="140"/>
        <w:spacing w:after="0" w:line="225" w:lineRule="auto"/>
        <w:rPr>
          <w:rFonts w:ascii="Times New Roman" w:cs="Times New Roman" w:eastAsia="Times New Roman" w:hAnsi="Times New Roman"/>
          <w:sz w:val="18"/>
          <w:szCs w:val="18"/>
          <w:b w:val="1"/>
          <w:bCs w:val="1"/>
          <w:color w:val="0000FF"/>
        </w:rPr>
      </w:pPr>
      <w:hyperlink r:id="rId53">
        <w:r>
          <w:rPr>
            <w:rFonts w:ascii="Times New Roman" w:cs="Times New Roman" w:eastAsia="Times New Roman" w:hAnsi="Times New Roman"/>
            <w:sz w:val="18"/>
            <w:szCs w:val="18"/>
            <w:b w:val="1"/>
            <w:bCs w:val="1"/>
            <w:u w:val="single" w:color="auto"/>
            <w:color w:val="0000FF"/>
          </w:rPr>
          <w:t>4.1</w:t>
        </w:r>
        <w:r>
          <w:rPr>
            <w:rFonts w:ascii="Times New Roman" w:cs="Times New Roman" w:eastAsia="Times New Roman" w:hAnsi="Times New Roman"/>
            <w:sz w:val="18"/>
            <w:szCs w:val="18"/>
            <w:b w:val="1"/>
            <w:bCs w:val="1"/>
            <w:color w:val="0000FF"/>
          </w:rPr>
          <w:t xml:space="preserve">      </w:t>
        </w:r>
      </w:hyperlink>
      <w:r>
        <w:rPr>
          <w:rFonts w:ascii="Times New Roman" w:cs="Times New Roman" w:eastAsia="Times New Roman" w:hAnsi="Times New Roman"/>
          <w:sz w:val="18"/>
          <w:szCs w:val="18"/>
          <w:color w:val="000000"/>
        </w:rPr>
        <w:t>Second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Amended and Restated Credit Agreement, dated as of May 5, 2025, among Pentair plc, Pentair Finance S.à r.l., Pentair, Inc. and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lenders and agents party thereto. (Incorporated by reference to Exhibit 4.1 to the Current Report on Form 8-K of Pentair plc dated May 5,</w:t>
      </w:r>
    </w:p>
    <w:p>
      <w:pPr>
        <w:ind w:left="940"/>
        <w:spacing w:after="0"/>
        <w:rPr>
          <w:sz w:val="20"/>
          <w:szCs w:val="20"/>
          <w:color w:val="auto"/>
        </w:rPr>
      </w:pPr>
      <w:r>
        <w:rPr>
          <w:rFonts w:ascii="Times New Roman" w:cs="Times New Roman" w:eastAsia="Times New Roman" w:hAnsi="Times New Roman"/>
          <w:sz w:val="18"/>
          <w:szCs w:val="18"/>
          <w:color w:val="auto"/>
        </w:rPr>
        <w:t>2025 (File No. 001-11625)).</w:t>
      </w:r>
    </w:p>
    <w:p>
      <w:pPr>
        <w:spacing w:after="0" w:line="7" w:lineRule="exact"/>
        <w:rPr>
          <w:sz w:val="20"/>
          <w:szCs w:val="20"/>
          <w:color w:val="auto"/>
        </w:rPr>
      </w:pPr>
    </w:p>
    <w:p>
      <w:pPr>
        <w:ind w:left="940" w:right="120" w:hanging="806"/>
        <w:spacing w:after="0" w:line="234" w:lineRule="auto"/>
        <w:tabs>
          <w:tab w:leader="none" w:pos="940" w:val="left"/>
        </w:tabs>
        <w:numPr>
          <w:ilvl w:val="0"/>
          <w:numId w:val="49"/>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List of Guarantors and Subsidiary Issuers of Guaranteed Securities. (Incorporated by reference to Exhibit 22 to the Quarterly Report on Form 10-Q of Pentair plc for the quarter ended September 30, 2022 (File No. 001-11625)).</w:t>
      </w:r>
    </w:p>
    <w:p>
      <w:pPr>
        <w:spacing w:after="0" w:line="6"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31.1</w:t>
      </w:r>
      <w:r>
        <w:rPr>
          <w:sz w:val="20"/>
          <w:szCs w:val="20"/>
          <w:color w:val="auto"/>
        </w:rPr>
        <w:tab/>
      </w:r>
      <w:r>
        <w:rPr>
          <w:rFonts w:ascii="Times New Roman" w:cs="Times New Roman" w:eastAsia="Times New Roman" w:hAnsi="Times New Roman"/>
          <w:sz w:val="17"/>
          <w:szCs w:val="17"/>
          <w:color w:val="auto"/>
        </w:rPr>
        <w:t>Certification of Chief Executive Officer.</w:t>
      </w:r>
    </w:p>
    <w:p>
      <w:pPr>
        <w:spacing w:after="0" w:line="31" w:lineRule="exact"/>
        <w:rPr>
          <w:sz w:val="20"/>
          <w:szCs w:val="20"/>
          <w:color w:val="auto"/>
        </w:rPr>
      </w:pP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31.2</w:t>
      </w:r>
      <w:r>
        <w:rPr>
          <w:sz w:val="20"/>
          <w:szCs w:val="20"/>
          <w:color w:val="auto"/>
        </w:rPr>
        <w:tab/>
      </w:r>
      <w:r>
        <w:rPr>
          <w:rFonts w:ascii="Times New Roman" w:cs="Times New Roman" w:eastAsia="Times New Roman" w:hAnsi="Times New Roman"/>
          <w:sz w:val="17"/>
          <w:szCs w:val="17"/>
          <w:color w:val="auto"/>
        </w:rPr>
        <w:t>Certification of Chief Financial Officer.</w:t>
      </w:r>
    </w:p>
    <w:p>
      <w:pPr>
        <w:spacing w:after="0" w:line="23" w:lineRule="exact"/>
        <w:rPr>
          <w:sz w:val="20"/>
          <w:szCs w:val="20"/>
          <w:color w:val="auto"/>
        </w:rPr>
      </w:pPr>
    </w:p>
    <w:p>
      <w:pPr>
        <w:ind w:left="940" w:hanging="782"/>
        <w:spacing w:after="0" w:line="234" w:lineRule="auto"/>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ind w:left="140"/>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0000FF"/>
        </w:rPr>
        <w:t>32.2</w:t>
      </w:r>
      <w:r>
        <w:rPr>
          <w:sz w:val="20"/>
          <w:szCs w:val="20"/>
          <w:color w:val="auto"/>
        </w:rPr>
        <w:tab/>
      </w:r>
      <w:r>
        <w:rPr>
          <w:rFonts w:ascii="Times New Roman" w:cs="Times New Roman" w:eastAsia="Times New Roman" w:hAnsi="Times New Roman"/>
          <w:sz w:val="17"/>
          <w:szCs w:val="17"/>
          <w:color w:val="auto"/>
        </w:rPr>
        <w:t>Certification of Chief Financial Officer, Pursuant to 18 U.S.C. Section 1350, as Adopted Pursuant to Section 906 of the Sarbanes-Oxley Act of</w:t>
      </w:r>
    </w:p>
    <w:p>
      <w:pPr>
        <w:ind w:left="940"/>
        <w:spacing w:after="0"/>
        <w:rPr>
          <w:sz w:val="20"/>
          <w:szCs w:val="20"/>
          <w:color w:val="auto"/>
        </w:rPr>
      </w:pPr>
      <w:r>
        <w:rPr>
          <w:rFonts w:ascii="Times New Roman" w:cs="Times New Roman" w:eastAsia="Times New Roman" w:hAnsi="Times New Roman"/>
          <w:sz w:val="18"/>
          <w:szCs w:val="18"/>
          <w:color w:val="auto"/>
        </w:rPr>
        <w:t>2002.</w:t>
      </w:r>
    </w:p>
    <w:p>
      <w:pPr>
        <w:spacing w:after="0" w:line="16" w:lineRule="exact"/>
        <w:rPr>
          <w:sz w:val="20"/>
          <w:szCs w:val="20"/>
          <w:color w:val="auto"/>
        </w:rPr>
      </w:pPr>
    </w:p>
    <w:p>
      <w:pPr>
        <w:jc w:val="both"/>
        <w:ind w:left="940" w:hanging="793"/>
        <w:spacing w:after="0" w:line="217" w:lineRule="auto"/>
        <w:tabs>
          <w:tab w:leader="none" w:pos="9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materials from Pentair plc’s Quarterly Report on Form 10-Q for the quarter ended June 30, 2025 are filed herewith, formatted in iXBRL (Inline Extensible Business Reporting Language): (i) the Condensed Consolidated Statements of Operations and Comprehensive Income for the three and six months ended June 30, 2025 and 2024, (ii) the Condensed Consolidated Balance Sheets as of June 30, 2025 and December 31, 2024, (iii) the Condensed Consolidated Statements of Cash Flows for the six months ended June 30, 2025 and 2024, (iv) the Condensed Consolidated Statements of Changes in Equity for the three and six months ended June 30, 2025 and 2024, (v) Notes to Condensed Consolidated Financial Statements, and (vi) the information included in Part II, Item 5(c). The instance document does not appear in the interactive data file because its XBRL tags are embedded within the Inline XBRL document.</w:t>
      </w:r>
    </w:p>
    <w:p>
      <w:pPr>
        <w:spacing w:after="0" w:line="4" w:lineRule="exact"/>
        <w:rPr>
          <w:sz w:val="20"/>
          <w:szCs w:val="20"/>
          <w:color w:val="auto"/>
        </w:rPr>
      </w:pPr>
    </w:p>
    <w:p>
      <w:pPr>
        <w:ind w:left="940" w:hanging="793"/>
        <w:spacing w:after="0"/>
        <w:tabs>
          <w:tab w:leader="none" w:pos="9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302" w:lineRule="exact"/>
        <w:rPr>
          <w:rFonts w:ascii="Times New Roman" w:cs="Times New Roman" w:eastAsia="Times New Roman" w:hAnsi="Times New Roman"/>
          <w:sz w:val="18"/>
          <w:szCs w:val="18"/>
          <w:b w:val="1"/>
          <w:bCs w:val="1"/>
          <w:color w:val="auto"/>
        </w:rPr>
      </w:pPr>
    </w:p>
    <w:p>
      <w:pPr>
        <w:ind w:left="5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-1070610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July 22, 2025.</w:t>
      </w:r>
    </w:p>
    <w:p>
      <w:pPr>
        <w:spacing w:after="0" w:line="200" w:lineRule="exact"/>
        <w:rPr>
          <w:sz w:val="20"/>
          <w:szCs w:val="20"/>
          <w:color w:val="auto"/>
        </w:rPr>
      </w:pPr>
    </w:p>
    <w:p>
      <w:pPr>
        <w:spacing w:after="0" w:line="34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Pentair plc</w:t>
      </w:r>
    </w:p>
    <w:p>
      <w:pPr>
        <w:spacing w:after="0" w:line="2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721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872105"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Robert P. Fishman</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88"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By /s/ Jennifer M. Hensley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17145</wp:posOffset>
            </wp:positionV>
            <wp:extent cx="28721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72105" cy="8890"/>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Jennifer M. Hensley</w:t>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ind w:left="6700"/>
        <w:spacing w:after="0"/>
        <w:rPr>
          <w:sz w:val="20"/>
          <w:szCs w:val="20"/>
          <w:color w:val="auto"/>
        </w:rPr>
      </w:pPr>
      <w:r>
        <w:rPr>
          <w:rFonts w:ascii="Times New Roman" w:cs="Times New Roman" w:eastAsia="Times New Roman" w:hAnsi="Times New Roman"/>
          <w:sz w:val="18"/>
          <w:szCs w:val="18"/>
          <w:color w:val="auto"/>
        </w:rPr>
        <w:t>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8"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L. Stauch, certify that:</w:t>
      </w:r>
    </w:p>
    <w:p>
      <w:pPr>
        <w:spacing w:after="0" w:line="252"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2025</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20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2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Fishman, certify that:</w:t>
      </w:r>
    </w:p>
    <w:p>
      <w:pPr>
        <w:spacing w:after="0" w:line="252"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Pentair plc;</w:t>
      </w:r>
    </w:p>
    <w:p>
      <w:pPr>
        <w:spacing w:after="0" w:line="252" w:lineRule="exact"/>
        <w:rPr>
          <w:rFonts w:ascii="Times New Roman" w:cs="Times New Roman" w:eastAsia="Times New Roman" w:hAnsi="Times New Roman"/>
          <w:sz w:val="18"/>
          <w:szCs w:val="18"/>
          <w:color w:val="auto"/>
        </w:rPr>
      </w:pPr>
    </w:p>
    <w:p>
      <w:pPr>
        <w:jc w:val="both"/>
        <w:ind w:left="260" w:hanging="252"/>
        <w:spacing w:after="0" w:line="282" w:lineRule="auto"/>
        <w:tabs>
          <w:tab w:leader="none" w:pos="3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left="260" w:hanging="252"/>
        <w:spacing w:after="0" w:line="282" w:lineRule="auto"/>
        <w:tabs>
          <w:tab w:leader="none" w:pos="3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4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65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732"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500" w:hanging="249"/>
        <w:spacing w:after="0" w:line="282" w:lineRule="auto"/>
        <w:tabs>
          <w:tab w:leader="none" w:pos="57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500" w:hanging="249"/>
        <w:spacing w:after="0" w:line="266" w:lineRule="auto"/>
        <w:tabs>
          <w:tab w:leader="none" w:pos="59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260" w:hanging="252"/>
        <w:spacing w:after="0" w:line="282" w:lineRule="auto"/>
        <w:tabs>
          <w:tab w:leader="none" w:pos="3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500" w:hanging="249"/>
        <w:spacing w:after="0" w:line="282" w:lineRule="auto"/>
        <w:tabs>
          <w:tab w:leader="none" w:pos="63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500" w:hanging="249"/>
        <w:spacing w:after="0" w:line="273" w:lineRule="auto"/>
        <w:tabs>
          <w:tab w:leader="none" w:pos="63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2025</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June 30, 2025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2025</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L. Stauch</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L. Stauch</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Pentair plc (the “Company”) on Form 10-Q for the period ended June 30, 2025 as filed with the Securities and Exchange Commission on the date hereof (the “Report”), I, Robert P. Fishman, Executive Vice President and Chief Financial Officer of the Company, certify, pursuant to 18 U.S.C. § 1350, as adopted pursuant to Section 906 of the Sarbanes-Oxley Act of 2002, that based on my knowledge:</w:t>
      </w:r>
    </w:p>
    <w:p>
      <w:pPr>
        <w:spacing w:after="0" w:line="203" w:lineRule="exact"/>
        <w:rPr>
          <w:sz w:val="20"/>
          <w:szCs w:val="20"/>
          <w:color w:val="auto"/>
        </w:rPr>
      </w:pPr>
    </w:p>
    <w:p>
      <w:pPr>
        <w:ind w:left="720" w:hanging="388"/>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Date:  July 22, 2025</w:t>
            </w:r>
          </w:p>
        </w:tc>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Fishman</w:t>
            </w:r>
          </w:p>
        </w:tc>
      </w:tr>
      <w:tr>
        <w:trPr>
          <w:trHeight w:val="218"/>
        </w:trPr>
        <w:tc>
          <w:tcPr>
            <w:tcW w:w="542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Fishman</w:t>
            </w:r>
          </w:p>
        </w:tc>
      </w:tr>
      <w:tr>
        <w:trPr>
          <w:trHeight w:val="234"/>
        </w:trPr>
        <w:tc>
          <w:tcPr>
            <w:tcW w:w="5420" w:type="dxa"/>
            <w:vAlign w:val="bottom"/>
          </w:tcPr>
          <w:p>
            <w:pPr>
              <w:spacing w:after="0"/>
              <w:rPr>
                <w:sz w:val="20"/>
                <w:szCs w:val="20"/>
                <w:color w:val="auto"/>
              </w:rPr>
            </w:pPr>
          </w:p>
        </w:tc>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2"/>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3"/>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0"/>
    </w:lvl>
  </w:abstractNum>
  <w:abstractNum w:abstractNumId="9">
    <w:nsid w:val="22221A70"/>
    <w:multiLevelType w:val="hybridMultilevel"/>
    <w:lvl w:ilvl="0">
      <w:lvlJc w:val="left"/>
      <w:lvlText w:val="•"/>
      <w:numFmt w:val="bullet"/>
      <w:start w:val="1"/>
    </w:lvl>
    <w:lvl w:ilvl="1">
      <w:lvlJc w:val="left"/>
      <w:lvlText w:val="•"/>
      <w:numFmt w:val="bullet"/>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1"/>
    </w:lvl>
  </w:abstractNum>
  <w:abstractNum w:abstractNumId="12">
    <w:nsid w:val="614FD4A1"/>
    <w:multiLevelType w:val="hybridMultilevel"/>
    <w:lvl w:ilvl="0">
      <w:lvlJc w:val="left"/>
      <w:lvlText w:val="%1."/>
      <w:numFmt w:val="decimal"/>
      <w:start w:val="13"/>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5"/>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lvl w:ilvl="1">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lowerLetter"/>
      <w:start w:val="1"/>
    </w:lvl>
  </w:abstractNum>
  <w:abstractNum w:abstractNumId="47">
    <w:nsid w:val="79A1DEAA"/>
    <w:multiLevelType w:val="hybridMultilevel"/>
    <w:lvl w:ilvl="0">
      <w:lvlJc w:val="left"/>
      <w:lvlText w:val="(%1)"/>
      <w:numFmt w:val="lowerLetter"/>
      <w:start w:val="3"/>
    </w:lvl>
  </w:abstractNum>
  <w:abstractNum w:abstractNumId="48">
    <w:nsid w:val="75C6C33A"/>
    <w:multiLevelType w:val="hybridMultilevel"/>
    <w:lvl w:ilvl="0">
      <w:lvlJc w:val="left"/>
      <w:lvlText w:val="%1"/>
      <w:numFmt w:val="decimal"/>
      <w:start w:val="22"/>
    </w:lvl>
  </w:abstractNum>
  <w:abstractNum w:abstractNumId="49">
    <w:nsid w:val="12E685FB"/>
    <w:multiLevelType w:val="hybridMultilevel"/>
    <w:lvl w:ilvl="0">
      <w:lvlJc w:val="left"/>
      <w:lvlText w:val="%1"/>
      <w:numFmt w:val="decimal"/>
      <w:start w:val="101"/>
    </w:lvl>
  </w:abstractNum>
  <w:abstractNum w:abstractNumId="50">
    <w:nsid w:val="70C6A529"/>
    <w:multiLevelType w:val="hybridMultilevel"/>
    <w:lvl w:ilvl="0">
      <w:lvlJc w:val="left"/>
      <w:lvlText w:val="%1"/>
      <w:numFmt w:val="decimal"/>
      <w:start w:val="104"/>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3" Type="http://schemas.openxmlformats.org/officeDocument/2006/relationships/hyperlink" Target="https://www.sec.gov/Archives/edgar/data/77360/000110465925044512/tm2512937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2025-07-22T15:41:02Z</dcterms:created>
  <dcterms:modified xsi:type="dcterms:W3CDTF">2025-07-22T15:41:02Z</dcterms:modified>
</cp:coreProperties>
</file>