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ind w:left="500" w:right="1900" w:hanging="474"/>
        <w:spacing w:after="0" w:line="360" w:lineRule="auto"/>
        <w:tabs>
          <w:tab w:leader="none" w:pos="5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280" w:right="1540" w:hanging="4254"/>
        <w:spacing w:after="0" w:line="391" w:lineRule="auto"/>
        <w:tabs>
          <w:tab w:leader="none" w:pos="53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-21590</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98-1141328</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0" w:type="dxa"/>
            <w:vAlign w:val="bottom"/>
          </w:tcPr>
          <w:p>
            <w:pPr>
              <w:jc w:val="center"/>
              <w:spacing w:after="0" w:line="169" w:lineRule="exact"/>
              <w:rPr>
                <w:sz w:val="20"/>
                <w:szCs w:val="20"/>
                <w:color w:val="auto"/>
              </w:rPr>
            </w:pPr>
            <w:r>
              <w:rPr>
                <w:rFonts w:ascii="Arial" w:cs="Arial" w:eastAsia="Arial" w:hAnsi="Arial"/>
                <w:sz w:val="18"/>
                <w:szCs w:val="18"/>
                <w:b w:val="1"/>
                <w:bCs w:val="1"/>
                <w:i w:val="1"/>
                <w:iCs w:val="1"/>
                <w:color w:val="auto"/>
                <w:w w:val="87"/>
              </w:rPr>
              <w:t>(State or other jurisdiction of</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20" w:type="dxa"/>
            <w:vAlign w:val="bottom"/>
            <w:gridSpan w:val="2"/>
          </w:tcPr>
          <w:p>
            <w:pPr>
              <w:jc w:val="center"/>
              <w:ind w:right="1820"/>
              <w:spacing w:after="0" w:line="169" w:lineRule="exact"/>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20" w:type="dxa"/>
            <w:vAlign w:val="bottom"/>
            <w:gridSpan w:val="2"/>
          </w:tcPr>
          <w:p>
            <w:pPr>
              <w:jc w:val="center"/>
              <w:ind w:right="1820"/>
              <w:spacing w:after="0"/>
              <w:rPr>
                <w:sz w:val="20"/>
                <w:szCs w:val="20"/>
                <w:color w:val="auto"/>
              </w:rPr>
            </w:pPr>
            <w:r>
              <w:rPr>
                <w:rFonts w:ascii="Arial" w:cs="Arial" w:eastAsia="Arial" w:hAnsi="Arial"/>
                <w:sz w:val="18"/>
                <w:szCs w:val="18"/>
                <w:b w:val="1"/>
                <w:bCs w:val="1"/>
                <w:i w:val="1"/>
                <w:iCs w:val="1"/>
                <w:color w:val="auto"/>
                <w:w w:val="89"/>
              </w:rPr>
              <w:t>Identification number)</w:t>
            </w:r>
          </w:p>
        </w:tc>
      </w:tr>
      <w:tr>
        <w:trPr>
          <w:trHeight w:val="350"/>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Regal House, 70 London Road,</w:t>
            </w: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Twickenham,</w:t>
            </w:r>
          </w:p>
        </w:tc>
        <w:tc>
          <w:tcPr>
            <w:tcW w:w="18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9"/>
              </w:rPr>
              <w:t>London,  TW13QS</w:t>
            </w:r>
          </w:p>
        </w:tc>
        <w:tc>
          <w:tcPr>
            <w:tcW w:w="35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520" w:type="dxa"/>
            <w:vAlign w:val="bottom"/>
            <w:gridSpan w:val="6"/>
          </w:tcPr>
          <w:p>
            <w:pPr>
              <w:jc w:val="center"/>
              <w:ind w:right="530"/>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4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w w:val="89"/>
              </w:rPr>
              <w:t>Registrant’s telephone number, including area code: 44-74-9421-6154</w:t>
            </w:r>
          </w:p>
        </w:tc>
      </w:tr>
      <w:tr>
        <w:trPr>
          <w:trHeight w:val="310"/>
        </w:trPr>
        <w:tc>
          <w:tcPr>
            <w:tcW w:w="590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8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Ordinary Shares, nominal value $0.01 per share</w:t>
            </w:r>
          </w:p>
        </w:tc>
        <w:tc>
          <w:tcPr>
            <w:tcW w:w="680" w:type="dxa"/>
            <w:vAlign w:val="bottom"/>
          </w:tcPr>
          <w:p>
            <w:pPr>
              <w:spacing w:after="0"/>
              <w:rPr>
                <w:sz w:val="21"/>
                <w:szCs w:val="21"/>
                <w:color w:val="auto"/>
              </w:rPr>
            </w:pPr>
          </w:p>
        </w:tc>
        <w:tc>
          <w:tcPr>
            <w:tcW w:w="104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PNR</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New York Stock Exchange</w:t>
            </w:r>
          </w:p>
        </w:tc>
      </w:tr>
    </w:tbl>
    <w:p>
      <w:pPr>
        <w:spacing w:after="0" w:line="1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61" w:lineRule="exact"/>
        <w:rPr>
          <w:sz w:val="24"/>
          <w:szCs w:val="24"/>
          <w:color w:val="auto"/>
        </w:rPr>
      </w:pPr>
    </w:p>
    <w:p>
      <w:pPr>
        <w:ind w:left="180" w:right="2120" w:hanging="179"/>
        <w:spacing w:after="0" w:line="297"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1" w:lineRule="exact"/>
        <w:rPr>
          <w:sz w:val="24"/>
          <w:szCs w:val="24"/>
          <w:color w:val="auto"/>
        </w:rPr>
      </w:pPr>
    </w:p>
    <w:p>
      <w:pPr>
        <w:spacing w:after="0" w:line="207" w:lineRule="exact"/>
        <w:tabs>
          <w:tab w:leader="none" w:pos="8780" w:val="left"/>
          <w:tab w:leader="none" w:pos="942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vMerge w:val="restart"/>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420" w:type="dxa"/>
            <w:vAlign w:val="bottom"/>
            <w:vMerge w:val="restart"/>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1860" w:type="dxa"/>
            <w:vAlign w:val="bottom"/>
            <w:vMerge w:val="continue"/>
          </w:tcPr>
          <w:p>
            <w:pPr>
              <w:spacing w:after="0"/>
              <w:rPr>
                <w:sz w:val="21"/>
                <w:szCs w:val="21"/>
                <w:color w:val="auto"/>
              </w:rPr>
            </w:pPr>
          </w:p>
        </w:tc>
        <w:tc>
          <w:tcPr>
            <w:tcW w:w="206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60" w:type="dxa"/>
            <w:vAlign w:val="bottom"/>
          </w:tcPr>
          <w:p>
            <w:pPr>
              <w:jc w:val="center"/>
              <w:ind w:left="30"/>
              <w:spacing w:after="0"/>
              <w:rPr>
                <w:sz w:val="20"/>
                <w:szCs w:val="20"/>
                <w:color w:val="auto"/>
              </w:rPr>
            </w:pPr>
            <w:r>
              <w:rPr>
                <w:rFonts w:ascii="Arial" w:cs="Arial" w:eastAsia="Arial" w:hAnsi="Arial"/>
                <w:sz w:val="18"/>
                <w:szCs w:val="18"/>
                <w:color w:val="auto"/>
                <w:w w:val="90"/>
              </w:rPr>
              <w:t>company</w:t>
            </w:r>
          </w:p>
        </w:tc>
        <w:tc>
          <w:tcPr>
            <w:tcW w:w="520" w:type="dxa"/>
            <w:vAlign w:val="bottom"/>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6"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right="20"/>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based on the closing price of $37.99 per share as reported on the New York Stock Exchange on June 30, 2020 (the last business day of Registrant’s most recently completed second quarter): $6,245,419,948.</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only class of common stock on December 31, 2020 was 166,063,551.</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Parts of the Registrant’s definitive proxy statement for its annual general meeting to be held on May 4, 2021, are incorporated by reference in this Form 10-K in response to Part III, ITEM 10, 11, 12, 13 and 14.</w:t>
      </w:r>
    </w:p>
    <w:p>
      <w:pPr>
        <w:sectPr>
          <w:pgSz w:w="11900" w:h="16838" w:orient="portrait"/>
          <w:cols w:equalWidth="0" w:num="1">
            <w:col w:w="11220"/>
          </w:cols>
          <w:pgMar w:left="320" w:top="1372" w:right="359" w:bottom="361" w:gutter="0" w:footer="0" w:header="0"/>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4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1"/>
              </w:rPr>
              <w:t>Pentair plc</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4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3"/>
              </w:rPr>
              <w:t>Annual Report on Form 10-K</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4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40" w:type="dxa"/>
            <w:vAlign w:val="bottom"/>
            <w:gridSpan w:val="2"/>
            <w:vMerge w:val="restart"/>
          </w:tcPr>
          <w:p>
            <w:pPr>
              <w:jc w:val="center"/>
              <w:ind w:right="1620"/>
              <w:spacing w:after="0"/>
              <w:rPr>
                <w:sz w:val="20"/>
                <w:szCs w:val="20"/>
                <w:color w:val="auto"/>
              </w:rPr>
            </w:pPr>
            <w:r>
              <w:rPr>
                <w:rFonts w:ascii="Arial" w:cs="Arial" w:eastAsia="Arial" w:hAnsi="Arial"/>
                <w:sz w:val="18"/>
                <w:szCs w:val="18"/>
                <w:b w:val="1"/>
                <w:bCs w:val="1"/>
                <w:color w:val="auto"/>
                <w:w w:val="98"/>
              </w:rPr>
              <w:t>PART I</w:t>
            </w: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40" w:type="dxa"/>
            <w:vAlign w:val="bottom"/>
            <w:gridSpan w:val="2"/>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1720" w:type="dxa"/>
            <w:vAlign w:val="bottom"/>
          </w:tcPr>
          <w:p>
            <w:pPr>
              <w:ind w:left="20"/>
              <w:spacing w:after="0"/>
              <w:rPr>
                <w:sz w:val="20"/>
                <w:szCs w:val="20"/>
                <w:color w:val="auto"/>
              </w:rPr>
            </w:pPr>
            <w:r>
              <w:rPr>
                <w:rFonts w:ascii="Arial" w:cs="Arial" w:eastAsia="Arial" w:hAnsi="Arial"/>
                <w:sz w:val="18"/>
                <w:szCs w:val="18"/>
                <w:color w:val="auto"/>
              </w:rPr>
              <w:t>ITEM 1.</w:t>
            </w:r>
          </w:p>
        </w:tc>
        <w:tc>
          <w:tcPr>
            <w:tcW w:w="852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1A.</w:t>
            </w:r>
          </w:p>
        </w:tc>
        <w:tc>
          <w:tcPr>
            <w:tcW w:w="852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1B.</w:t>
            </w:r>
          </w:p>
        </w:tc>
        <w:tc>
          <w:tcPr>
            <w:tcW w:w="8520" w:type="dxa"/>
            <w:vAlign w:val="bottom"/>
            <w:gridSpan w:val="4"/>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Unresolved Staff Comments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2.</w:t>
            </w:r>
          </w:p>
        </w:tc>
        <w:tc>
          <w:tcPr>
            <w:tcW w:w="8520" w:type="dxa"/>
            <w:vAlign w:val="bottom"/>
            <w:gridSpan w:val="4"/>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Properties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3.</w:t>
            </w:r>
          </w:p>
        </w:tc>
        <w:tc>
          <w:tcPr>
            <w:tcW w:w="8520" w:type="dxa"/>
            <w:vAlign w:val="bottom"/>
            <w:gridSpan w:val="4"/>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4.</w:t>
            </w:r>
          </w:p>
        </w:tc>
        <w:tc>
          <w:tcPr>
            <w:tcW w:w="8520" w:type="dxa"/>
            <w:vAlign w:val="bottom"/>
            <w:gridSpan w:val="4"/>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4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Arial" w:cs="Arial" w:eastAsia="Arial" w:hAnsi="Arial"/>
                <w:sz w:val="18"/>
                <w:szCs w:val="18"/>
                <w:color w:val="auto"/>
              </w:rPr>
              <w:t>ITEM 5.</w:t>
            </w:r>
          </w:p>
        </w:tc>
        <w:tc>
          <w:tcPr>
            <w:tcW w:w="852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Market for Registrant’s Common Equity, Related Stockholder Matters and Issuer Purchases of Equity</w:t>
              </w:r>
            </w:hyperlink>
          </w:p>
        </w:tc>
        <w:tc>
          <w:tcPr>
            <w:tcW w:w="980" w:type="dxa"/>
            <w:vAlign w:val="bottom"/>
            <w:vMerge w:val="restart"/>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23">
              <w:r>
                <w:rPr>
                  <w:rFonts w:ascii="Arial" w:cs="Arial" w:eastAsia="Arial" w:hAnsi="Arial"/>
                  <w:sz w:val="18"/>
                  <w:szCs w:val="18"/>
                  <w:color w:val="0000FF"/>
                  <w:w w:val="88"/>
                </w:rPr>
                <w:t>Securities</w:t>
              </w:r>
            </w:hyperlink>
          </w:p>
        </w:tc>
        <w:tc>
          <w:tcPr>
            <w:tcW w:w="6440" w:type="dxa"/>
            <w:vAlign w:val="bottom"/>
            <w:tcBorders>
              <w:top w:val="single" w:sz="8" w:color="0000FF"/>
            </w:tcBorders>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720" w:type="dxa"/>
            <w:vAlign w:val="bottom"/>
          </w:tcPr>
          <w:p>
            <w:pPr>
              <w:ind w:left="20"/>
              <w:spacing w:after="0"/>
              <w:rPr>
                <w:sz w:val="20"/>
                <w:szCs w:val="20"/>
                <w:color w:val="auto"/>
              </w:rPr>
            </w:pPr>
            <w:r>
              <w:rPr>
                <w:rFonts w:ascii="Arial" w:cs="Arial" w:eastAsia="Arial" w:hAnsi="Arial"/>
                <w:sz w:val="18"/>
                <w:szCs w:val="18"/>
                <w:color w:val="auto"/>
              </w:rPr>
              <w:t>ITEM 7.</w:t>
            </w:r>
          </w:p>
        </w:tc>
        <w:tc>
          <w:tcPr>
            <w:tcW w:w="8520" w:type="dxa"/>
            <w:vAlign w:val="bottom"/>
            <w:gridSpan w:val="4"/>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7A.</w:t>
            </w:r>
          </w:p>
        </w:tc>
        <w:tc>
          <w:tcPr>
            <w:tcW w:w="8520" w:type="dxa"/>
            <w:vAlign w:val="bottom"/>
            <w:gridSpan w:val="4"/>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8.</w:t>
            </w:r>
          </w:p>
        </w:tc>
        <w:tc>
          <w:tcPr>
            <w:tcW w:w="8520" w:type="dxa"/>
            <w:vAlign w:val="bottom"/>
            <w:gridSpan w:val="4"/>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Financial Statements and Supplementary Data</w:t>
              </w:r>
            </w:hyperlink>
          </w:p>
        </w:tc>
        <w:tc>
          <w:tcPr>
            <w:tcW w:w="9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20" w:type="dxa"/>
            <w:vAlign w:val="bottom"/>
          </w:tcPr>
          <w:p>
            <w:pPr>
              <w:ind w:left="20"/>
              <w:spacing w:after="0"/>
              <w:rPr>
                <w:sz w:val="20"/>
                <w:szCs w:val="20"/>
                <w:color w:val="auto"/>
              </w:rPr>
            </w:pPr>
            <w:r>
              <w:rPr>
                <w:rFonts w:ascii="Arial" w:cs="Arial" w:eastAsia="Arial" w:hAnsi="Arial"/>
                <w:sz w:val="18"/>
                <w:szCs w:val="18"/>
                <w:color w:val="auto"/>
              </w:rPr>
              <w:t>ITEM 9.</w:t>
            </w:r>
          </w:p>
        </w:tc>
        <w:tc>
          <w:tcPr>
            <w:tcW w:w="8520" w:type="dxa"/>
            <w:vAlign w:val="bottom"/>
            <w:gridSpan w:val="4"/>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Changes in and Disagreements with Accountants on Accounting and Financial Disclosure</w:t>
              </w:r>
            </w:hyperlink>
          </w:p>
        </w:tc>
        <w:tc>
          <w:tcPr>
            <w:tcW w:w="98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9A.</w:t>
            </w:r>
          </w:p>
        </w:tc>
        <w:tc>
          <w:tcPr>
            <w:tcW w:w="8520" w:type="dxa"/>
            <w:vAlign w:val="bottom"/>
            <w:gridSpan w:val="4"/>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20" w:type="dxa"/>
            <w:vAlign w:val="bottom"/>
          </w:tcPr>
          <w:p>
            <w:pPr>
              <w:ind w:left="20"/>
              <w:spacing w:after="0"/>
              <w:rPr>
                <w:sz w:val="20"/>
                <w:szCs w:val="20"/>
                <w:color w:val="auto"/>
              </w:rPr>
            </w:pPr>
            <w:r>
              <w:rPr>
                <w:rFonts w:ascii="Arial" w:cs="Arial" w:eastAsia="Arial" w:hAnsi="Arial"/>
                <w:sz w:val="18"/>
                <w:szCs w:val="18"/>
                <w:color w:val="auto"/>
              </w:rPr>
              <w:t>ITEM 9B.</w:t>
            </w:r>
          </w:p>
        </w:tc>
        <w:tc>
          <w:tcPr>
            <w:tcW w:w="8520" w:type="dxa"/>
            <w:vAlign w:val="bottom"/>
            <w:gridSpan w:val="4"/>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4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720" w:type="dxa"/>
            <w:vAlign w:val="bottom"/>
          </w:tcPr>
          <w:p>
            <w:pPr>
              <w:ind w:left="20"/>
              <w:spacing w:after="0"/>
              <w:rPr>
                <w:sz w:val="20"/>
                <w:szCs w:val="20"/>
                <w:color w:val="auto"/>
              </w:rPr>
            </w:pPr>
            <w:r>
              <w:rPr>
                <w:rFonts w:ascii="Arial" w:cs="Arial" w:eastAsia="Arial" w:hAnsi="Arial"/>
                <w:sz w:val="18"/>
                <w:szCs w:val="18"/>
                <w:color w:val="auto"/>
              </w:rPr>
              <w:t>ITEM 10.</w:t>
            </w:r>
          </w:p>
        </w:tc>
        <w:tc>
          <w:tcPr>
            <w:tcW w:w="85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Directors, Executive Officers and Corporate Governance</w:t>
              </w:r>
            </w:hyperlink>
          </w:p>
        </w:tc>
        <w:tc>
          <w:tcPr>
            <w:tcW w:w="98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11.</w:t>
            </w:r>
          </w:p>
        </w:tc>
        <w:tc>
          <w:tcPr>
            <w:tcW w:w="85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Executive Compensation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720" w:type="dxa"/>
            <w:vAlign w:val="bottom"/>
          </w:tcPr>
          <w:p>
            <w:pPr>
              <w:ind w:left="20"/>
              <w:spacing w:after="0"/>
              <w:rPr>
                <w:sz w:val="20"/>
                <w:szCs w:val="20"/>
                <w:color w:val="auto"/>
              </w:rPr>
            </w:pPr>
            <w:r>
              <w:rPr>
                <w:rFonts w:ascii="Arial" w:cs="Arial" w:eastAsia="Arial" w:hAnsi="Arial"/>
                <w:sz w:val="18"/>
                <w:szCs w:val="18"/>
                <w:color w:val="auto"/>
              </w:rPr>
              <w:t>ITEM 12.</w:t>
            </w:r>
          </w:p>
        </w:tc>
        <w:tc>
          <w:tcPr>
            <w:tcW w:w="85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Security Ownership of Certain Beneficial Owners and Management and Related Stockholder Matters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13.</w:t>
            </w:r>
          </w:p>
        </w:tc>
        <w:tc>
          <w:tcPr>
            <w:tcW w:w="8520" w:type="dxa"/>
            <w:vAlign w:val="bottom"/>
            <w:gridSpan w:val="4"/>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Certain Relationships and Related Transactions and Director Independence</w:t>
              </w:r>
            </w:hyperlink>
          </w:p>
        </w:tc>
        <w:tc>
          <w:tcPr>
            <w:tcW w:w="98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14.</w:t>
            </w:r>
          </w:p>
        </w:tc>
        <w:tc>
          <w:tcPr>
            <w:tcW w:w="8520" w:type="dxa"/>
            <w:vAlign w:val="bottom"/>
            <w:gridSpan w:val="4"/>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Principal Accounting Fees and Services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4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720" w:type="dxa"/>
            <w:vAlign w:val="bottom"/>
          </w:tcPr>
          <w:p>
            <w:pPr>
              <w:ind w:left="20"/>
              <w:spacing w:after="0"/>
              <w:rPr>
                <w:sz w:val="20"/>
                <w:szCs w:val="20"/>
                <w:color w:val="auto"/>
              </w:rPr>
            </w:pPr>
            <w:r>
              <w:rPr>
                <w:rFonts w:ascii="Arial" w:cs="Arial" w:eastAsia="Arial" w:hAnsi="Arial"/>
                <w:sz w:val="18"/>
                <w:szCs w:val="18"/>
                <w:color w:val="auto"/>
              </w:rPr>
              <w:t>ITEM 15.</w:t>
            </w:r>
          </w:p>
        </w:tc>
        <w:tc>
          <w:tcPr>
            <w:tcW w:w="8520" w:type="dxa"/>
            <w:vAlign w:val="bottom"/>
            <w:gridSpan w:val="4"/>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Exhibits and Financial Statement Schedules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ind w:left="20"/>
              <w:spacing w:after="0"/>
              <w:rPr>
                <w:sz w:val="20"/>
                <w:szCs w:val="20"/>
                <w:color w:val="auto"/>
              </w:rPr>
            </w:pPr>
            <w:r>
              <w:rPr>
                <w:rFonts w:ascii="Arial" w:cs="Arial" w:eastAsia="Arial" w:hAnsi="Arial"/>
                <w:sz w:val="18"/>
                <w:szCs w:val="18"/>
                <w:color w:val="auto"/>
              </w:rPr>
              <w:t>ITEM 16.</w:t>
            </w:r>
          </w:p>
        </w:tc>
        <w:tc>
          <w:tcPr>
            <w:tcW w:w="8520" w:type="dxa"/>
            <w:vAlign w:val="bottom"/>
            <w:gridSpan w:val="4"/>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Form 10-K Summary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4"/>
                <w:szCs w:val="24"/>
                <w:color w:val="auto"/>
              </w:rPr>
            </w:pPr>
          </w:p>
        </w:tc>
        <w:tc>
          <w:tcPr>
            <w:tcW w:w="8520" w:type="dxa"/>
            <w:vAlign w:val="bottom"/>
            <w:gridSpan w:val="4"/>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5"/>
        </w:trPr>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the context otherwise indicates, references herein to “Pentair,” the “Company,” and such words as “we,” “us,” and “our” include Pentair plc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Pentair makes the most of life’s essential resources. From our residential and business solutions that help people move, improve and enjoy their water, to our sustainable innovations and applications, we deliver smart, sustainable solutions for life.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strategy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be the leading residential and commercial water treatment company. As a pure play water company, we are:</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Focused on strategies to advance pool growth and accelerate residential and commercial water treatment;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by innovation and digital transformation; and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Grounded in Win Right values and utilizing the Pentair Integrated Management System (“PIMS”) consisting of lean enterprise, growth and talent management to drive sustained and consistent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7"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 The Company did not retain any equity interest in nVent. nVent’s historical financial results are reflected in the Company’s consolidated financial statements as a discontinued operation. Refer to Note 2 for further discussion.</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registered principal office is located at Regal House, 70 London Road, Twickenham, London, TW13QS United Kingdom. Our management office in the United States (“U.S.”) is located at 5500 Wayzata Boulevard, Suite 900, Golden Valley, Minnesota.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PRODUCTS</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Pentair is comprised of two reportable business segments: Consumer Solutions and Industrial &amp; Flow Technologies. The following is a brief description of each of the Company’s reportable segments and business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Consumer Solutions segment designs, manufactures and sells energy-efficient residential and commercial pool equipment and 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 service operations. The primary focus of this segment is business-to-consumer.</w:t>
      </w:r>
    </w:p>
    <w:p>
      <w:pPr>
        <w:spacing w:after="0" w:line="2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For the fiscal year ended December 31, 2020, our pool business comprised 60% of the Consumer Solutions sales. The pool business is a leader in North American pool equipment, serving a market that is primarily replacement. The other 40% of sales were from the water treatment businesses, which sell residential and commercial components, residential systems and commercial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Consumer Solutions brand names include Everpure, Kreepy Krauly, Pelican, Pentair Water Solutions, RainSoft and Sta-Rite.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Consumer Solutions customers include businesses engaged in wholesale and retail distribution in the residential &amp; commercial verticals. Customers also include end-users, consumers and original equipment manufacturers.</w:t>
      </w:r>
    </w:p>
    <w:p>
      <w:pPr>
        <w:spacing w:after="0" w:line="131" w:lineRule="exact"/>
        <w:rPr>
          <w:sz w:val="20"/>
          <w:szCs w:val="20"/>
          <w:color w:val="auto"/>
        </w:rPr>
      </w:pPr>
    </w:p>
    <w:p>
      <w:pPr>
        <w:ind w:right="440"/>
        <w:spacing w:after="0" w:line="352" w:lineRule="auto"/>
        <w:rPr>
          <w:sz w:val="20"/>
          <w:szCs w:val="20"/>
          <w:color w:val="auto"/>
        </w:rPr>
      </w:pPr>
      <w:r>
        <w:rPr>
          <w:rFonts w:ascii="Arial" w:cs="Arial" w:eastAsia="Arial" w:hAnsi="Arial"/>
          <w:sz w:val="18"/>
          <w:szCs w:val="18"/>
          <w:color w:val="auto"/>
        </w:rPr>
        <w:t xml:space="preserve">One customer of the Consumer Solutions segment, Pool Corporation, represented approximately 15% of our consolidated net sales in 2020 and 2019. </w:t>
      </w:r>
      <w:r>
        <w:rPr>
          <w:rFonts w:ascii="Arial" w:cs="Arial" w:eastAsia="Arial" w:hAnsi="Arial"/>
          <w:sz w:val="18"/>
          <w:szCs w:val="18"/>
          <w:b w:val="1"/>
          <w:bCs w:val="1"/>
          <w:i w:val="1"/>
          <w:iCs w:val="1"/>
          <w:color w:val="auto"/>
        </w:rPr>
        <w:t>Seasonality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experience seasonal demand with several end customers and end-users within Consumer Solutions. End-user demand for pool equipment follows warm weather trends and is at seasonal highs from April to August. The magnitude of the sales increase is mitigated by employing some advance sale “early buy” programs (generally including extended payment terms and/or additional discounts).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Consumer Solutions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Industrial &amp; Flow Technologies segment manufactures and sells a variety of fluid treatment products (advanced membrane filtration, separation systems, membrane bioreactors), pumps (water supply pumps, water disposal pumps, solid handling pumps, fluid transfer pumps, turbine pumps), valves, and spray nozzles as well as systems combining these products (process filtration systems, gas recovery solutions). These products and systems serve the global residential, commercial, industrial, agricultural and infrastructure verticals. They are used in a range of applications, food and beverage, fluid separation technologies (oil and gas and other industries), water and wastewater treatment, water wells, pressure boosting, fire suppression, flood control, agricultural irrigation, crop spray and fluid circulation and transfer. The primary focus of this segment is business-to-business.</w:t>
      </w:r>
    </w:p>
    <w:p>
      <w:pPr>
        <w:spacing w:after="0" w:line="1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fiscal year ended December 31, 2020, our residential and irrigation flow businesses comprised 40% of the Industrial &amp; Flow Technologies sales. The residential and irrigation flow businesses sell pumps focused on residential and agriculture. Another 30% of sales were from the commercial &amp; infrastructure flow businesses, which sell larger pumps focused on fire suppression, waste water and flood control. The remaining 30% of sales were from the industrial filtration business, comprised of applications focused on industrial process filtration and sustainable gas.</w:t>
      </w:r>
    </w:p>
    <w:p>
      <w:pPr>
        <w:spacing w:after="0" w:line="11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Industrial &amp; Flow Technologies brand names include Pentair, Aurora, Berkeley, Codeline, Fairbanks-Nijhuis, Haffmans, Hydromatic, Hypro, Jung Pumpen, Myers, Sta-Rite, Shurflo, Südmo and X-Flow.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Industrial &amp; Flow Technologies customers include businesses engaged with end users, and wholesale and retail distribution in the residential, commercial, food &amp; beverage and industrial verticals.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jc w:val="both"/>
        <w:ind w:right="340"/>
        <w:spacing w:after="0" w:line="323" w:lineRule="auto"/>
        <w:rPr>
          <w:sz w:val="20"/>
          <w:szCs w:val="20"/>
          <w:color w:val="auto"/>
        </w:rPr>
      </w:pPr>
      <w:r>
        <w:rPr>
          <w:rFonts w:ascii="Arial" w:cs="Arial" w:eastAsia="Arial" w:hAnsi="Arial"/>
          <w:sz w:val="16"/>
          <w:szCs w:val="16"/>
          <w:color w:val="auto"/>
        </w:rPr>
        <w:t>We experience increased demand for residential water supply and irrigation pumps following weather trends, which are at seasonal highs from April to August. Seasonal effects may vary from year to year and are impacted by weather patterns, particularly by temperatures, heavy flooding and droughts.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Industrial &amp; Flow Technologies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ALL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We conduct research and development activities primarily in our own facilities. These efforts consist primarily of the development of new products, product applications and manufacturing processes.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principal materials we use in manufacturing our products are electric motors, mild steel, stainless steel, electronic components, plastics (resins, fiberglass, epoxies), copper and paint (powder and liquid). In addition to the purchase of raw materials, we purchase some finished goods for distribution through our sales channels.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purchase the materials we use in various manufacturing processes on the open market, and the majority are available through multiple sources which are in adequate supply. We have not experienced any significant work stoppages to date due to shortages of materials. We have certain long-term commitments, principally price commitments, for the purchase of various component parts and raw materials and believe that it is unlikely that any of these agreements would be terminated prematurely. Alternate sources of supply at competitive prices are available for most materials for which long-term commitments exist, and we believe that the termination of any of these commitments would not have a material adverse effect on our financial position, results of operations or cash flows.</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Certain commodities, such as metals and resin, are subject to market and duty-driven price fluctuations. We manage these fluctuations through several mechanisms, including long-term agreements with price adjustment clauses for significant commodity market movements in certain circumstances. Prices for raw materials, such as metals and resins, may trend higher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diversity foster innovation and curiosity, which, in turn, contribute to us being an industry leader.</w:t>
      </w:r>
    </w:p>
    <w:p>
      <w:pPr>
        <w:spacing w:after="0" w:line="13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2020, we had approximately 9,750 employees worldwide, of which approximately 52% are located in the U.S. A small portion of our U.S. employees are unionized, while outside the U.S., we have employees in certain countries, particularly in Europe, that are represented by an employee representative organization, such as a union, works council or employee association.</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Refer to "COVID-19 Pandemic" included in ITEM 7, "Management’s Discussion and Analysis of Financial Condition and Results of Operations" for information on human capital management actions we have taken in response to the COVID-19 pandemic.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 and development</w:t>
      </w:r>
    </w:p>
    <w:p>
      <w:pPr>
        <w:spacing w:after="0" w:line="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Engaging our employees and developing their careers is important to our long-term success and ties directly to our Win Right culture and values. We engage with our employees and gather feedback about our employee programs, practices and policies through various approaches that include: town hall meetings where Pentair leaders share strategies and perspectives; quarterly leadership webcasts to help ensure our results and expectations are clearly communicated; an annual global leadership meeting to help drive growth and productivity initiatives and share best practices; and a feedback feature on our employee intranet.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2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To support employees in their career journey, we have developed and shared through our employee intranet a number of new tools and resources. These resources include: live training sessions; on-demand eLearning and virtual classrooms; and downloadable materials.</w:t>
      </w:r>
    </w:p>
    <w:p>
      <w:pPr>
        <w:spacing w:after="0" w:line="13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talent development efforts span across all levels of our organization, including our Leadership Development Program, a 36-month program in which future leaders participate in cross-functional rotations intended to develop their capabilities throughout organization-wide exposure.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Inclusion and diversity</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commitment to inclusion and diversity is part of living our Win Right values. Our success also depends on our ability to attract, engage and retain a diverse group of employees. We believe an inclusive and diverse workforce contributes different perspectives and innovative ideas that enable us to improve every day. We believe that every employee should be provided the same opportunity to be heard, respected, have a sense of belonging and contribute to our mission. Race, gender, ethnicity, country of origin, age, personal style, sexual orientation, physical ability, religion, life experiences and many more factors contribute to this diversity.</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statistics are a measure of our performance, and we are committed to advancing a diverse workplace. The following sets forth information regarding the diversity of our workforce as of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left="1630"/>
              <w:spacing w:after="0"/>
              <w:rPr>
                <w:sz w:val="20"/>
                <w:szCs w:val="20"/>
                <w:color w:val="auto"/>
              </w:rPr>
            </w:pPr>
            <w:r>
              <w:rPr>
                <w:rFonts w:ascii="Arial" w:cs="Arial" w:eastAsia="Arial" w:hAnsi="Arial"/>
                <w:sz w:val="18"/>
                <w:szCs w:val="18"/>
                <w:b w:val="1"/>
                <w:bCs w:val="1"/>
                <w:color w:val="auto"/>
                <w:w w:val="89"/>
              </w:rPr>
              <w:t>Percent of workforce</w:t>
            </w:r>
          </w:p>
        </w:tc>
        <w:tc>
          <w:tcPr>
            <w:tcW w:w="34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Percent of leadership roles***</w:t>
            </w:r>
          </w:p>
        </w:tc>
      </w:tr>
      <w:tr>
        <w:trPr>
          <w:trHeight w:val="257"/>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Minorities*</w:t>
            </w:r>
          </w:p>
        </w:tc>
        <w:tc>
          <w:tcPr>
            <w:tcW w:w="46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41.5%</w:t>
            </w:r>
          </w:p>
        </w:tc>
        <w:tc>
          <w:tcPr>
            <w:tcW w:w="34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24.8%</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Women**</w:t>
            </w:r>
          </w:p>
        </w:tc>
        <w:tc>
          <w:tcPr>
            <w:tcW w:w="4600" w:type="dxa"/>
            <w:vAlign w:val="bottom"/>
          </w:tcPr>
          <w:p>
            <w:pPr>
              <w:jc w:val="center"/>
              <w:ind w:left="1630"/>
              <w:spacing w:after="0"/>
              <w:rPr>
                <w:sz w:val="20"/>
                <w:szCs w:val="20"/>
                <w:color w:val="auto"/>
              </w:rPr>
            </w:pPr>
            <w:r>
              <w:rPr>
                <w:rFonts w:ascii="Arial" w:cs="Arial" w:eastAsia="Arial" w:hAnsi="Arial"/>
                <w:sz w:val="18"/>
                <w:szCs w:val="18"/>
                <w:color w:val="auto"/>
                <w:w w:val="93"/>
              </w:rPr>
              <w:t>31.4%</w:t>
            </w:r>
          </w:p>
        </w:tc>
        <w:tc>
          <w:tcPr>
            <w:tcW w:w="3420" w:type="dxa"/>
            <w:vAlign w:val="bottom"/>
          </w:tcPr>
          <w:p>
            <w:pPr>
              <w:jc w:val="center"/>
              <w:ind w:left="90"/>
              <w:spacing w:after="0"/>
              <w:rPr>
                <w:sz w:val="20"/>
                <w:szCs w:val="20"/>
                <w:color w:val="auto"/>
              </w:rPr>
            </w:pPr>
            <w:r>
              <w:rPr>
                <w:rFonts w:ascii="Arial" w:cs="Arial" w:eastAsia="Arial" w:hAnsi="Arial"/>
                <w:sz w:val="18"/>
                <w:szCs w:val="18"/>
                <w:color w:val="auto"/>
                <w:w w:val="93"/>
              </w:rPr>
              <w:t>27.6%</w:t>
            </w:r>
          </w:p>
        </w:tc>
      </w:tr>
    </w:tbl>
    <w:p>
      <w:pPr>
        <w:spacing w:after="0" w:line="229" w:lineRule="exact"/>
        <w:rPr>
          <w:sz w:val="20"/>
          <w:szCs w:val="20"/>
          <w:color w:val="auto"/>
        </w:rPr>
      </w:pPr>
    </w:p>
    <w:p>
      <w:pPr>
        <w:ind w:right="920" w:firstLine="8"/>
        <w:spacing w:after="0" w:line="228"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the following racial minority groups: Black/African American, Hispanic/Latino, American Indian/Alaskan Native, Asian, Native Hawaiian/Other Pacific Islander. Data for U.S. employee population only.</w:t>
      </w:r>
    </w:p>
    <w:p>
      <w:pPr>
        <w:spacing w:after="0" w:line="219" w:lineRule="auto"/>
        <w:rPr>
          <w:rFonts w:ascii="Arial" w:cs="Arial" w:eastAsia="Arial" w:hAnsi="Arial"/>
          <w:sz w:val="18"/>
          <w:szCs w:val="18"/>
          <w:color w:val="auto"/>
        </w:rPr>
      </w:pPr>
      <w:r>
        <w:rPr>
          <w:rFonts w:ascii="Arial" w:cs="Arial" w:eastAsia="Arial" w:hAnsi="Arial"/>
          <w:sz w:val="18"/>
          <w:szCs w:val="18"/>
          <w:color w:val="auto"/>
        </w:rPr>
        <w:t>** Global data.</w:t>
      </w:r>
    </w:p>
    <w:p>
      <w:pPr>
        <w:spacing w:after="0"/>
        <w:rPr>
          <w:rFonts w:ascii="Arial" w:cs="Arial" w:eastAsia="Arial" w:hAnsi="Arial"/>
          <w:sz w:val="18"/>
          <w:szCs w:val="18"/>
          <w:color w:val="auto"/>
        </w:rPr>
      </w:pPr>
      <w:r>
        <w:rPr>
          <w:rFonts w:ascii="Arial" w:cs="Arial" w:eastAsia="Arial" w:hAnsi="Arial"/>
          <w:sz w:val="18"/>
          <w:szCs w:val="18"/>
          <w:color w:val="auto"/>
        </w:rPr>
        <w:t>*** Leadership roles are those of employees who are director level and above.</w:t>
      </w:r>
    </w:p>
    <w:p>
      <w:pPr>
        <w:spacing w:after="0" w:line="14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take an integrated approach to supporting and promoting workplace inclusion and diversity including: ensuring leadership involvement and ownership; attracting and retaining diverse talent at all levels; fostering a globally aware, inclusive culture; and ensuring our practices are fair and nondiscriminatory. In addition, we promote an inclusive and diverse workplace through: a training called the “The Power of Inclusion”; business resource groups led by employees; Pentair’s Code of Business Conduct and Ethics; and an Inclusion and Diversity Hub on our employee intranet.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wellness</w:t>
      </w:r>
    </w:p>
    <w:p>
      <w:pPr>
        <w:spacing w:after="0" w:line="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are committed to providing a safe workplace for all of our employees. We encourage employees to “Stop Work” anytime there is a potential concern regarding worker safety, and promote an open 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must meet and/or exceed regulatory agency standards as applicable to each plant’s location.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U.S., all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provision; stock ownership; tuition reimbursement; holidays; vacation and sick time. Union employee benefits vary by contract.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Activities</w:t>
      </w:r>
    </w:p>
    <w:p>
      <w:pPr>
        <w:spacing w:after="0" w:line="2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As a leading provider of water treatment and sustainable solutions and with a foundation of Win Right values, we recognize that the work we do and the products and services we provide improve lives and the environment around the world. Pentair strives to be a positive influence on the social and environmental issues of today. As we progress, we are committed to building on our Win Right values and culture by further contributing to the development of a sustainable and responsible society that we believe will also drive our future growth. We are focused on further integrating our environmental, social and governance (“ESG”) goals throughout our business by creating broad accountability for our social responsibility strategy and creating shared commitments and targets. In 2020, Pentair completed a formal ESG assessment to identify ESG topics of importance to our shareholders, customers, suppliers, employees and communities. Through engagement with these stakeholders, internal business leaders and subject matter experts, we identified ESG goals designed to culminate into targets to further our commitment to social responsibility.</w:t>
      </w:r>
    </w:p>
    <w:p>
      <w:pPr>
        <w:spacing w:after="0" w:line="1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published an annual corporate responsibility that has reported on our ESG activities and accomplishments, which can be found on our corporate website, and which is not incorporated by reference into this Annual Report on Form 10-K. In addition, we have established a formal social responsibility program to further advance our social responsibility goals.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 We are exposed to potential environmental laws, liabilities and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Captive insurance subsidiary</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Matters pertaining to Penwald are discussed in ITEM 8, Note 1 of the Notes to Consolidated Financial Statements – Insurance subsidiary, included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make available free of charge (other than an investor’s own Internet access charges) through our Internet website (</w:t>
      </w:r>
      <w:r>
        <w:rPr>
          <w:rFonts w:ascii="Arial" w:cs="Arial" w:eastAsia="Arial" w:hAnsi="Arial"/>
          <w:sz w:val="17"/>
          <w:szCs w:val="17"/>
          <w:u w:val="single" w:color="auto"/>
          <w:color w:val="auto"/>
        </w:rPr>
        <w:t>http://www.pentair.com</w:t>
      </w:r>
      <w:r>
        <w:rPr>
          <w:rFonts w:ascii="Arial" w:cs="Arial" w:eastAsia="Arial" w:hAnsi="Arial"/>
          <w:sz w:val="17"/>
          <w:szCs w:val="17"/>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The COVID-19 pandemic is expected to have a material negative impact on our business, financial condition, results of operations and cash flows. </w:t>
      </w:r>
      <w:r>
        <w:rPr>
          <w:rFonts w:ascii="Arial" w:cs="Arial" w:eastAsia="Arial" w:hAnsi="Arial"/>
          <w:sz w:val="18"/>
          <w:szCs w:val="18"/>
          <w:color w:val="auto"/>
        </w:rPr>
        <w:t>Our business and financial results have been and are expected to continue to be negatively impacted by the COVID-19 pandemic. The severity, magnitude and duration of the current COVID-19 pandemic is uncertain, rapidly changing and hard to predict. In 2020, the COVID-19 pandemic significantly impacted economic activity and markets around the world and our business, and it is expected to negatively impact our business in numerous ways, including but not limited to those outlined below:</w:t>
      </w:r>
    </w:p>
    <w:p>
      <w:pPr>
        <w:spacing w:after="0" w:line="134" w:lineRule="exact"/>
        <w:rPr>
          <w:sz w:val="20"/>
          <w:szCs w:val="20"/>
          <w:color w:val="auto"/>
        </w:rPr>
      </w:pPr>
    </w:p>
    <w:p>
      <w:pPr>
        <w:ind w:left="660" w:right="4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caused a global economic slowdown that may last for a potentially extended duration, and it is possible that it could cause a global recession. Deteriorating economic and political conditions caused by the COVID-19 pandemic, such as increased unemployment, decreases in capital spending, declines in consumer confidence, or economic slowdowns or recessions, could cause a decrease in demand for our products.</w:t>
      </w:r>
    </w:p>
    <w:p>
      <w:pPr>
        <w:spacing w:after="0" w:line="132"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impacts of the COVID-19 pandemic, we have experienced and expect to continue to experience reductions in customer demand for certain of our products and in several of our end-markets, including commercial filtration, commercial flow, industrial filtration and food and beverage.</w:t>
      </w:r>
    </w:p>
    <w:p>
      <w:pPr>
        <w:spacing w:after="0" w:line="129"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COVID-19 pandemic is adversely affecting, and is expected to continue to adversely affect, certain elements of our business (including certain elements of our operations, supply chains and distribution systems), including as a result of impacts associated with required, preventive and precautionary measures that we, other businesses, our communities and governments are taking. These impacts include requiring employees to work from home or not go into their offices or facilities, limiting the number of employees attending meetings, reducing the number of people in our sites at any one time, reducing employee travel and adopting other employee safety measures. These measures also may impact our ability to meet production demands or requests and may delay our new product introductions depending on employee attendance or ability to continue to work. In addition, we have experienced disruptions at some of our facilities with higher absenteeism due to the COVID-19 pandemic.</w:t>
      </w:r>
    </w:p>
    <w:p>
      <w:pPr>
        <w:spacing w:after="0" w:line="112" w:lineRule="exact"/>
        <w:rPr>
          <w:rFonts w:ascii="Arial" w:cs="Arial" w:eastAsia="Arial" w:hAnsi="Arial"/>
          <w:sz w:val="16"/>
          <w:szCs w:val="16"/>
          <w:color w:val="auto"/>
        </w:rPr>
      </w:pPr>
    </w:p>
    <w:p>
      <w:pPr>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COVID-19 pandemic continues and economic conditions worsen, we expect to experience additional adverse impacts on our operational and commercial activities, customer orders and our collections of accounts receivable, which may be material, and it remains uncertain the impact on future operational and commercial activities, customer orders, and collections even if economic conditions begin to improve.</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or regulatory responses to the COVID-19 pandemic have and are likely to continue to negatively impact our business. During the first and second quarters of 2020, mandatory lockdowns or other restrictions on operations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left="660" w:right="180"/>
        <w:spacing w:after="0" w:line="254" w:lineRule="auto"/>
        <w:rPr>
          <w:sz w:val="20"/>
          <w:szCs w:val="20"/>
          <w:color w:val="auto"/>
        </w:rPr>
      </w:pPr>
      <w:r>
        <w:rPr>
          <w:rFonts w:ascii="Arial" w:cs="Arial" w:eastAsia="Arial" w:hAnsi="Arial"/>
          <w:sz w:val="18"/>
          <w:szCs w:val="18"/>
          <w:color w:val="auto"/>
        </w:rPr>
        <w:t>some countries temporarily disrupted our ability to manufacture or distribute our products in some of these markets. A reoccurrence of these disruptions could materially adversely impact our operations and results. In addition, the current resurgence of the COVID-19 pandemic and government restrictions related thereto in the fourth quarter of 2020 and first quarter of 2021 may negatively impact demand in certain of our commercial and industrial businesses. In addition to existing travel restrictions, jurisdictions may continue to close borders, impose prolonged quarantines and further restrict travel and business activity, and other related supply chain delays may develop, which could significantly impact our ability to support our operations and customers, meet demand, develop new products, ship our backlog and also impact the ability of our employees to get to their workplaces to produce products and services, or significantly hamper our products from moving through the supply chain.</w:t>
      </w:r>
    </w:p>
    <w:p>
      <w:pPr>
        <w:spacing w:after="0" w:line="138" w:lineRule="exact"/>
        <w:rPr>
          <w:sz w:val="20"/>
          <w:szCs w:val="20"/>
          <w:color w:val="auto"/>
        </w:rPr>
      </w:pPr>
    </w:p>
    <w:p>
      <w:pPr>
        <w:ind w:left="660" w:right="8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of the COVID-19 pandemic may limit our ability to reduce our overall operating costs. We have experienced increased costs relating to our efforts to mitigate the impact of the COVID-19 pandemic through, among other things, enhanced sanitization procedures and social-distancing measures we have enacted and will likely continue to enact at our locations around the world in an effort to protect our employees’ health and well-being.</w:t>
      </w:r>
    </w:p>
    <w:p>
      <w:pPr>
        <w:spacing w:after="0" w:line="132"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disrupted and is expected to continue to disrupt our operations, global supply chain and routes to market or those of our suppliers or their suppliers. These disruptions or our failure to effectively respond to them have increased and may continue to increase product, distribution or labor costs or cause delays in delivering our backlog or may cause an inability to deliver products to our customers or meet customer demand.</w:t>
      </w:r>
    </w:p>
    <w:p>
      <w:pPr>
        <w:spacing w:after="0" w:line="132" w:lineRule="exact"/>
        <w:rPr>
          <w:rFonts w:ascii="Arial" w:cs="Arial" w:eastAsia="Arial" w:hAnsi="Arial"/>
          <w:sz w:val="18"/>
          <w:szCs w:val="18"/>
          <w:color w:val="auto"/>
        </w:rPr>
      </w:pPr>
    </w:p>
    <w:p>
      <w:pPr>
        <w:ind w:left="660" w:right="2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While we have experienced high demand in our pool business as consumers sheltered-in-place and have spent more time at home as a result of the COVID-19 pandemic that contributed to growth in our sales during 2020, such growth may not be sustainable and may not be repeated in future periods. Furthermore, even if growth in demand continues, we may not be able to meet that demand due to production and capacity challenges.</w:t>
      </w:r>
    </w:p>
    <w:p>
      <w:pPr>
        <w:spacing w:after="0" w:line="94"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pandemic for a sustained period of time could result in delays or modifications to some of our strategic plans and initiatives and hinder our ability to achieve our growth targets.</w:t>
      </w:r>
    </w:p>
    <w:p>
      <w:pPr>
        <w:spacing w:after="0" w:line="116"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increased volatility and pricing in and disrupted the capital markets and commercial paper markets, and volatility is likely to continue. We might not be able to continue to access preferred sources of liquidity when we would like, and our borrowing costs could increase.</w:t>
      </w:r>
    </w:p>
    <w:p>
      <w:pPr>
        <w:spacing w:after="0" w:line="129"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legal investigations or claims, regulatory actions, or litigation against us.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might not be able to predict or respond to all impacts of the COVID-19 pandemic on a timely basis to prevent near- or long-term adverse impacts to our results. Due to the speed with which the COVID-19 situation continues to develop, the global breadth of its spread and the range of governmental and community reactions thereto, there is uncertainty around its duration and ultimate impact and uncertainty regarding the availability and distribution of vaccines to address the COVID-19 virus;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below and any of these impacts could materially adversely affect our business, financial condition, results of operations and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Important factors for our businesses and the businesses of our customers include the overall strength of the global economy and various regional economies and our customers’ confidence in these economies, industrial and governmental capital spending, the strength of residential and commercial real estate markets, residential housing markets, the commercial business climate,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for our products and services, which could have a material adverse effect on our business, financial condition, results of operations and cash flows.</w:t>
      </w:r>
    </w:p>
    <w:p>
      <w:pPr>
        <w:spacing w:after="0" w:line="26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markets for our products and services are geographically diverse and highly competitive. We compete against large and well-established national and global companies, as well as regional and local companies and lower cost manufacturers. Competition may also result from new entrants into the markets we serve, offering products and/or services that compete with us. We compete based on technical expertise, intellectual property, reputation for quality and reliability, timeliness of delivery, previous installation history, contractual terms, service offerings, customer experience and service, and price. Competition may also result from new entrants into the markets we serve, offering products and/or services that compete with ours.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including e-commerce, which is a rapidly developing area. If we are unable to continue to differentiate our products, services and solutions or adapt to changes in customer purchasing behavior or shifts in distribution channels, or if we are forced to cut prices or to incur additional costs to remain competitive, it could have a material adverse effect on our business,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currency exchange rates could have a material adverse effect on our financial condition, results of operations and cash flows.</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Sales outside of the U.S. for the year ended December 31, 2020 accounted for 33%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21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spacing w:after="0" w:line="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regulatory, climate change and social responsibility matters. Accordingly, our future success depends upon a number of factors, including our ability to transform and adapt our products, services, solutions, organization, workforce and sales strategies to fit localities throughout the world, particularly in high growth emerging markets; identify emerging technological and other trends in our target end markets; and develop or acquire competitive technologies, products, services, and solutions and bring them to market quickly and cost-effectively. The failure to effectively adapt our products, services, or solutions could have a material adverse effect on our business, financial condition, results of operations and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ind w:right="280"/>
        <w:spacing w:after="0" w:line="258"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and investments, and any completed acquisitions and investments may be unsuccessful or consume significant resources.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acquisitions or investments may not be successful or realize the intended benefits and may ultimately result in impairment charges or have a material adverse effect on our business, financial condition,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2020, 2019 and 2018,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trade, and other risks that arise from operating a multinational business.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Sales outside of the U.S. for the year ended December 31, 2020 accounted for 33%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spacing w:after="0" w:line="1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tariffs, duties, exchange controls or other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 material adverse impact on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non-U.S. legal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difficulty of communicating and monitoring evolving standards and directives across our product lines, services, and global facilities;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of ensuring that products and services meet ever-changing regional regulations and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in staffing and managing widespread operations in non-U.S. labor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repatriation of earnings or other regionally-imposed capital requirements;</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11" w:name="page12"/>
    <w:bookmarkEnd w:id="11"/>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2016, the United Kingdom held a referendum in which voters approved an exit from the European Union (“Brexit”). The United Kingdom subsequently withdrew from the European Union effective on January 31, 2020, subject to a transition period that ended on December 31, 2020. Since January 1, 2021, the European Union - United Kingdom Trade and Cooperative Agreement has provisionally been in effect. Given the lack of comparable precedent, the implications of Brexit, or how such implications might affect our company, continue to remain unclear at this time. Brexit could, among other impacts, disrupt trade and the movement of goods, services and people between the United Kingdom and the European Union or other countries as well as create legal and global economic uncertainty.</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11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Changes in U.S. or foreign government administrative policy, including changes to existing trade agreements, could have a material adverse effect on us.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changes to U.S. or foreign government administrative policy, there may be changes to existing trade agreements, like the U.S.-Mexico-Canada Agreement (“USMCA”); greater restrictions on free trade generally; significant increases in tariffs on goods imported into the U.S., particularly tariffs on products manufactured in Mexico, China, or other countries where we purchase from, have operations or manufacture or sell products; prohibitions or restrictions on doing business with certain companies, including those with certain relationships with China; and adverse responses by foreign governments to U.S. trade policy, among other possible changes. It remains unclear what the U.S. administration or foreign governments, including China, will or will not do with respect to tariffs, USMCA or other international trade agreements and policies. A trade war; other governmental action related to tariffs or international trade agreements, including USMCA; changes in U.S.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U.S. as a result of such changes, could have a material adverse effect on our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cost and other inflation.</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including wages, pension, health care and insurance. We continue to implement operational initiatives in order to mitigate the impacts of this inflation and continuously reduce our costs. However, these actions may not be successful in managing our costs or increasing our productivity and we anticipate inflation to continue with respect to materials (especially resins, copper, steel and stainless steel) as well as labor. Continued cost inflation or failure of our initiatives to generate cost savings or improve productivity could have a material adverse effect on our business, financial condition, results of operations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products and Internet of Things offerings and there are many other companies that hold patents in this space. Over the past few years, we have noticed an increasing tendency for participants in our markets to use challenges to intellectual property as a means to compete. Patent and trademark challenges increase our costs to develop, engineer and market our products. We may need to spend significant resources monitoring, enforcing and defending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1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test goodwill and other indefinite-lived intangible assets for impairment on at least an annual basis, and more frequently if circumstances warrant. As of December 31, 2020 our goodwill and intangible assets were $2,718 million and represented 65% of our total assets. Declines in fair market value could result in future goodwill and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A loss of, or material cancellation, reduction, or delay in purchases by, one or more of our largest customers could harm our business.</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net sales to our largest customer represented approximately 15% of our consolidated net sales in 2020. While we do not have any other customers that accounted for 10% or more of our consolidated net sales in 2020,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our products.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these customers, or our inability to successfully develop relationships with additional customers could have a material adverse effect on our business, financial condition, results of operations and cash flows.</w:t>
      </w:r>
    </w:p>
    <w:p>
      <w:pPr>
        <w:spacing w:after="0" w:line="20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Catastrophic and other events beyond our control may disrupt operations at our manufacturing facilities and those of our suppliers, which could cause us to be unable to meet customer demands or increase our costs, or reduce customer spending.</w:t>
      </w:r>
    </w:p>
    <w:p>
      <w:pPr>
        <w:ind w:right="160"/>
        <w:spacing w:after="0" w:line="286" w:lineRule="auto"/>
        <w:rPr>
          <w:sz w:val="20"/>
          <w:szCs w:val="20"/>
          <w:color w:val="auto"/>
        </w:rPr>
      </w:pPr>
      <w:r>
        <w:rPr>
          <w:rFonts w:ascii="Arial" w:cs="Arial" w:eastAsia="Arial" w:hAnsi="Arial"/>
          <w:sz w:val="16"/>
          <w:szCs w:val="16"/>
          <w:color w:val="auto"/>
        </w:rPr>
        <w:t>If operations at any of our manufacturing facilities or those of our suppliers were to be disrupted as a result of significant equipment failures, natural disasters, earthquakes, power outages, fires, explosions, terrorism, adverse weather conditions, labor disputes, public health epidemics (including the COVID-19 pandemic) or other catastrophic events or disruptions outside of our control, we may be unable to fill customer orders and otherwise meet customer demand for our products. In particular, our pool business operations in North Carolina and California are in areas that are more susceptible to natural disasters such as hurricanes, wildfires, and earthquakes. In addition, these types of events may negatively impact residential, commercial and industrial spending in impacted regions or, depending on the severity, globally.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on our business, financial condition, results of operations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could have a material adverse effect on our financial results.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experience seasonal demand with end-customers and end-users within each of our business segments. Demand for pool equipment in the pool business; water treatment solutions in our water treatment and industrial filtration businesses; and residential water supply, infrastructure and agricultural products in the businesses within the Industrial &amp; Flow Technologies segment follows warm weather trends and is at seasonal highs from April to August. While we attempt to mitigate the magnitude of the sales spike in the pool business and in the businesses within the Industrial &amp; Flow Technologies segment by employing some advance sale “early buy” programs (generally including extended payment terms and/or additional discounts), we cannot provide any assurance that such programs will be successful. In addition, seasonal effects in the pool business and in the businesses within the Industrial &amp; Flow Technologies segment may vary from year to year and be impacted by weather patterns, particularly by temperature, heavy flooding and droughts. Moreover, adverse weather conditions, such as cold or wet weather, may negatively impact demand for, and sales of, pool equipment in the pool business and residential water supply, commercial, infrastructure and agricultural products in the businesses within the Industrial &amp; Flow Technologies segment.</w:t>
      </w:r>
    </w:p>
    <w:p>
      <w:pPr>
        <w:spacing w:after="0" w:line="19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Our focus on consumer solutions for residential and commercial water treatment as a strategic priority exposes us to certain risks that could have a material adverse impact on our revenue and profitability as well as our reputation.</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we introduce residential and commercial water treatment solutions, we may have limited experience in markets we choose to enter, and our customers may not like our value propositions. New initiatives we test through trials and pilots may not scale or grow effectively or as we expected, which could limit our growth and negatively affect our operating results. Designing, marketing and executing these solutions is subject to incremental risks. These risks include, for example:</w:t>
      </w:r>
    </w:p>
    <w:p>
      <w:pPr>
        <w:spacing w:after="0" w:line="13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labor expense to fulfill our customer promises, which may be higher than the related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recruit, train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risk of errors or omissions in the sales or fulfillment of solutions or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unpredictable extended warranty failure rates and related expenses;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in transit using company vehicles to visit customer locations and employees being present in customer homes, which may increase our scope of liability;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increased scope of liability relating to our consumer products, services and solutions and related business model;</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engagement of third parties to assist with sales, installation or servicing of our products and solutions, and the potential responsibility for the actions they take;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of non-compliance with new laws and regulations applicable to these solutions.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expanded risks increase the complexity of our business and place significant responsibility on our management, employees, operations, systems, technical expertise, financial resources, and internal controls and compliance functions.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Interruption of our supply chain could affect our ability to produce or deliver our products and could negatively impact our business and profitability. </w:t>
      </w:r>
      <w:r>
        <w:rPr>
          <w:rFonts w:ascii="Arial" w:cs="Arial" w:eastAsia="Arial" w:hAnsi="Arial"/>
          <w:sz w:val="17"/>
          <w:szCs w:val="17"/>
          <w:color w:val="auto"/>
        </w:rPr>
        <w:t>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trade restrictions, such as increased tariffs or quotas, embargoes or customs restrictions, or other unexpected or uncontrollable events that cause a material interruption in our supply chain such as pandemics, social or labor unrest, natural disasters or political disputes and military conflicts, could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These issues could have a material adverse effect on our business, financial condition,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 and Financial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4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We may increase our debt or raise additional capital, our credit ratings may be downgraded in the future, or our interest rates may increase, each of which could affect our financial condition, and may decrease our profitability.</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December 31, 2020, we had $839.6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2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In addition, borrowings under our revolving credit facility and term loans bear interest at a rate equal to an adjusted base rate or the London Interbank Offered Rate (“LIBOR”), plus, in each case, an applicable margin. The U.K. Financial Conduct Authority, which regulates LIBOR, has announced it intends to phase out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LIBOR by the end of 2021. The credit agreement governing our revolving credit facility and term loans provides procedures for determining a replacement or alternative base rate in the event that LIBOR is discontinued; however, any calculation of interest based upon such replacement or alternative base rate may result in higher interest rates. To the extent that our interest rates increase, our interest expense will increase, which could adversely affect our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2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For example, during 2020, the commercial paper market began to experience high levels of volatility due to uncertainty related to the COVID-19 pandemic that impacted both market access to and pricing of commercial paper and we withdrew our credit ratings to access the commercial paper market.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i w:val="1"/>
          <w:iCs w:val="1"/>
          <w:color w:val="auto"/>
        </w:rPr>
        <w:t>Violations of the U.S. Foreign Corrupt Practices Act, U.K. Bribery Act, and other anti-corruption laws outside the U.S. could have a material adverse effect on us.</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regulations and scrutiny by regulators. We cannot assure that our internal control policies and procedures will always protect us from negligent, reckless or criminal acts committed by our employees or third-party intermediaries. In the event that we believe or have reason to believe that our employees,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200"/>
        <w:spacing w:after="0" w:line="258" w:lineRule="auto"/>
        <w:rPr>
          <w:sz w:val="20"/>
          <w:szCs w:val="20"/>
          <w:color w:val="auto"/>
        </w:rPr>
      </w:pPr>
      <w:r>
        <w:rPr>
          <w:rFonts w:ascii="Arial" w:cs="Arial" w:eastAsia="Arial" w:hAnsi="Arial"/>
          <w:sz w:val="18"/>
          <w:szCs w:val="18"/>
          <w:b w:val="1"/>
          <w:bCs w:val="1"/>
          <w:i w:val="1"/>
          <w:iCs w:val="1"/>
          <w:color w:val="auto"/>
        </w:rPr>
        <w:t>Our failure to satisfy international trade compliance regulations, and changes in U.S. government sanctions, could have a material adverse effect on us.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sanctioned entities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environmental laws, liabilities and litigation.</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suffer if we are unable to renew existing permits or to obtain any additional permits that may be required.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208"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We have been named as a defendant, target or a potentially responsible party (“PRP”) in a number of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claims due to the presence of, or exposure to, hazardous substances.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In addition, environmental requirements change and tend to become more stringent over time. Our eventual environmental remediation costs and liabilities could exceed the amount of our current reserves.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subsidiaries are party to asbestos-related product litigation that could adversely affect our financial condition, results of operations and cash flows.</w:t>
      </w:r>
    </w:p>
    <w:p>
      <w:pPr>
        <w:spacing w:after="0" w:line="5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2020, there were approximately 630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 In addition, most of the asbestos claims against us are covered by liability insurance policies from many years ago. As our insurers resolve claims relating to past policy periods, the aggregate coverage provided by those policies erodes. If we exhaust our coverage under those policies, we will be exposed to potential uninsured losses.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6" w:name="page17"/>
    <w:bookmarkEnd w:id="16"/>
    <w:p>
      <w:pPr>
        <w:spacing w:after="0" w:line="258"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Both our products and the operation of our manufacturing facilities are subject to certain statutory and regulatory requirements. These laws and regulations impose on us increasingly complex, stringent and costly compliance activities, including but not limited to environmental, health, and safety protection standards and permitting, labeling and other requirements regarding (among other things) pump efficiency, air quality and emissions, and wastewater discharges; the use, handling, and disposal of hazardous or toxic materials; remediation of environmental contamination; and working conditions for and compensation of our employees. We may also be affected by future standards, laws or regulations, including those 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financial and other risks related to climate change and other sustainability matters.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and/or the Paris Accord, and these and other existing international initiatives and regulations or those under consideration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It is uncertain what laws will be enacted and therefore we cannot predict the potential impact of such laws on our future financial condition, results of operations and cash flows.</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as part of our strategy regarding environmental, climate change and sustainability matters, we may set targets aimed at reducing our impact on the environment and climate change or targets relating to other sustainability matters. It is possible that we may not be able to achieve such targets or our desired impact, which may cause us to suffer from reputational damage or our business or financial condition could be adversely affected. It is also possible that failure to achieve such targets or actions we take to achieve our strategy or targets would result in increased costs to our operations. In addition, investors and stakeholders are increasingly focused on ESG matters, and as stakeholder ESG expectations and standards are evolving, this may cause us to suffer from reputational damage and our business or financial condition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8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Internet of Things, business-to-consumer, and e-commerce subjects us to increased cyber and technology risks. The secure operation of our information technology systems and networks is critical to our business operations and strategy. Information technology security threats from user error to attacks designed to gain unauthorized access to our systems, networks and data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data breaches, and, although we have determined such data breaches to be immaterial and such data breaches have not had a material adverse effect on our financial condition, results of operations or cash flows, there can be no assurance of similar results in the future. Should future attacks succeed in the theft of assets, exporting sensitive data or financial information or controlling sensitive systems or networks, it could expose us and our employees, customers, dealers and suppliers to the theft of assets, misuse of information or systems, compromising of confidential information, manipulation and destruction of data, defective products, production downtimes and operations disruptions. The occurrence of any of these events could have a material adverse effect on our reputation, business, financial condition, results of operations and cash flows. In addition, such breaches in security could result in litigation, regulatory action and potential liability and the costs and operational consequences of implementing further data protection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data privacy laws and our ability to comply with them could have a material adverse effect on us.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collect and store data that is sensitive to us and our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General Data Protection Regulation (the “GDPR”) in the European Union, are more stringent than federal regulations in the United States. Within the United States, many states are considering adopting, or have already adopted privacy regulations, including, for example, the California Consumer Privacy Act. The applicability of these laws to our business has increased due to our focus on expanding business-to-consumer and e-commerce offerings. These laws and regulations are rapidly evolving and changing, and could have an adverse effect on our operations. Companies’ obligations and requirements under these laws and regulations are subject to uncertainty in how they may be interpreted by courts and governmental authorities.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regulations. The occurrence of any of these events could have a material adverse effect on our reputation, business, financial condition,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litigation and other claims.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currently, and may in the future, become subject to litigation and other claims. These legal proceedings are typically claims that relate to our products or services or to the conduct of our business and include, without limitation, claims relating to commercial or contractual disputes with suppliers, customers or parties to acquisitions and divestitures; intellectual property matters; environmental, safety and health matters; product liability; the use or installation of our products; consumer protection matters; and employment and labor matters. The outcome of such legal proceedings cannot be predicted with certainty and some may be disposed of unfavorably to us. We also may not have insurance that covers such claims.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and must satisfy deductibles on other insured claims. Further,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some of which are or may be class action complaints, arising from alleged violation of these laws and regulations. Successful claims or litigation against us for significant amounts could have a material adverse effect on our reputation, business, financial condition, results of operations and cash flows.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U.K.</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which could materially adversely affect our financial condition, results of operations, cash flows or our effective tax rate in future reporting periods.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change in our tax residency could have a negative effect on our future profitability, and may trigger taxes on dividends or exit charges.</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w:t>
      </w:r>
    </w:p>
    <w:p>
      <w:pPr>
        <w:spacing w:after="0" w:line="10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Organization for Economic Co-operation and Development proposed a number of measures relating to the tax treatment of multinationals, some of which are implemented by amending double tax treaties through the multilateral convention to implement tax treaty related measures to prevent base erosion and profit shifting (the “MLI”). The MLI has now entered into force for a number of countries, including Ireland and the U.K. Under the Double Tax Convention between Ireland and the U.K., as amended by the MLI, the residence tie-breaker provides that a company will remain dual resident unless there is a determination otherwise by the tax authorities of the two contracting states.</w:t>
      </w:r>
    </w:p>
    <w:p>
      <w:pPr>
        <w:spacing w:after="0" w:line="1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obtained a determination from the Competent Authorities of the Irish Revenue Commissioners and the U.K. HM Revenue &amp; Customs which states that we are resident for tax purposes only in the U.K.</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percent of the higher of the price paid or the market value of the shares acquired). Payment of Irish stamp duty is generally a legal obligation of the transferee.</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€335,000 per lifetime in respect of taxable gifts or inheritances received from their parents for periods on or after October 9,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13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securities analysts or our ability to meet those estimates or guidance;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of certain events or occurrences on our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governmental investigation or environmental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or other environmental disasters;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office is located in leased premises in London, U.K., and our management office in the U.S. is located in leased premises in Golden Valley, Minnesota.</w:t>
      </w:r>
    </w:p>
    <w:p>
      <w:pPr>
        <w:spacing w:after="0" w:line="11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operations are conducted in facilities throughout the world. These facilities house manufacturing and distribution operations, as well as sales and marketing, engineering and administrative offices. The following is a summary of our principal properties as of December 31, 2020, including manufacturing, distribution, sales offices and service centers: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b w:val="1"/>
                <w:bCs w:val="1"/>
                <w:color w:val="auto"/>
              </w:rPr>
              <w:t>No. of Facilities</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04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Location</w:t>
            </w:r>
          </w:p>
        </w:tc>
        <w:tc>
          <w:tcPr>
            <w:tcW w:w="16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Manufacturing</w:t>
            </w: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Distribution</w:t>
            </w:r>
          </w:p>
        </w:tc>
        <w:tc>
          <w:tcPr>
            <w:tcW w:w="19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Sales and Corporate</w:t>
            </w:r>
          </w:p>
        </w:tc>
        <w:tc>
          <w:tcPr>
            <w:tcW w:w="15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6"/>
              </w:rPr>
              <w:t>Service Centers</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Offices</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 and 6 foreign countries</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Industrial &amp; Flow</w:t>
            </w:r>
          </w:p>
        </w:tc>
        <w:tc>
          <w:tcPr>
            <w:tcW w:w="3040" w:type="dxa"/>
            <w:vAlign w:val="bottom"/>
            <w:vMerge w:val="restart"/>
          </w:tcPr>
          <w:p>
            <w:pPr>
              <w:ind w:left="300"/>
              <w:spacing w:after="0"/>
              <w:rPr>
                <w:sz w:val="20"/>
                <w:szCs w:val="20"/>
                <w:color w:val="auto"/>
              </w:rPr>
            </w:pPr>
            <w:r>
              <w:rPr>
                <w:rFonts w:ascii="Arial" w:cs="Arial" w:eastAsia="Arial" w:hAnsi="Arial"/>
                <w:sz w:val="18"/>
                <w:szCs w:val="18"/>
                <w:color w:val="auto"/>
              </w:rPr>
              <w:t>U.S. and 15 foreign countries</w:t>
            </w:r>
          </w:p>
        </w:tc>
        <w:tc>
          <w:tcPr>
            <w:tcW w:w="1640" w:type="dxa"/>
            <w:vAlign w:val="bottom"/>
            <w:vMerge w:val="restart"/>
          </w:tcPr>
          <w:p>
            <w:pPr>
              <w:jc w:val="right"/>
              <w:ind w:right="50"/>
              <w:spacing w:after="0"/>
              <w:rPr>
                <w:sz w:val="20"/>
                <w:szCs w:val="20"/>
                <w:color w:val="auto"/>
              </w:rPr>
            </w:pPr>
            <w:r>
              <w:rPr>
                <w:rFonts w:ascii="Arial" w:cs="Arial" w:eastAsia="Arial" w:hAnsi="Arial"/>
                <w:sz w:val="18"/>
                <w:szCs w:val="18"/>
                <w:color w:val="auto"/>
              </w:rPr>
              <w:t>20</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15</w:t>
            </w:r>
          </w:p>
        </w:tc>
        <w:tc>
          <w:tcPr>
            <w:tcW w:w="192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Technologies</w:t>
            </w:r>
          </w:p>
        </w:tc>
        <w:tc>
          <w:tcPr>
            <w:tcW w:w="30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U.S. and 3 foreign countries</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that our production facilities as well as the related machinery and equipment, are well maintained and suitable for their purpose and are adequate to support our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180"/>
        <w:spacing w:after="0" w:line="291" w:lineRule="auto"/>
        <w:rPr>
          <w:rFonts w:ascii="Arial" w:cs="Arial" w:eastAsia="Arial" w:hAnsi="Arial"/>
          <w:sz w:val="16"/>
          <w:szCs w:val="16"/>
          <w:color w:val="0000FF"/>
        </w:rPr>
      </w:pPr>
      <w:r>
        <w:rPr>
          <w:rFonts w:ascii="Arial" w:cs="Arial" w:eastAsia="Arial" w:hAnsi="Arial"/>
          <w:sz w:val="16"/>
          <w:szCs w:val="16"/>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 intellectual property matters; environmental, asbestos, safety and health matters; product liability; the use or installation of our products; consumer matters; and employment and labor matters. Refer to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Matters”</w:t>
      </w:r>
      <w:r>
        <w:rPr>
          <w:rFonts w:ascii="Arial" w:cs="Arial" w:eastAsia="Arial" w:hAnsi="Arial"/>
          <w:sz w:val="16"/>
          <w:szCs w:val="16"/>
          <w:color w:val="auto"/>
        </w:rPr>
        <w:t xml:space="preserve"> within </w:t>
      </w:r>
      <w:hyperlink w:anchor="page79">
        <w:r>
          <w:rPr>
            <w:rFonts w:ascii="Arial" w:cs="Arial" w:eastAsia="Arial" w:hAnsi="Arial"/>
            <w:sz w:val="16"/>
            <w:szCs w:val="16"/>
            <w:u w:val="single" w:color="auto"/>
            <w:color w:val="0000FF"/>
          </w:rPr>
          <w:t>Note 15 “Commitments and Contingencies”</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of the consolidated financial statements included in ITEM 8 of Part II of this Form 10-K for information</w:t>
      </w:r>
      <w:r>
        <w:rPr>
          <w:rFonts w:ascii="Arial" w:cs="Arial" w:eastAsia="Arial" w:hAnsi="Arial"/>
          <w:sz w:val="16"/>
          <w:szCs w:val="16"/>
          <w:color w:val="0000FF"/>
        </w:rPr>
        <w:t xml:space="preserve"> </w:t>
      </w:r>
      <w:hyperlink w:anchor="page8">
        <w:r>
          <w:rPr>
            <w:rFonts w:ascii="Arial" w:cs="Arial" w:eastAsia="Arial" w:hAnsi="Arial"/>
            <w:sz w:val="16"/>
            <w:szCs w:val="16"/>
            <w:color w:val="000000"/>
          </w:rPr>
          <w:t xml:space="preserve">regarding legal and regulatory proceedings we are involved in. In addition, see </w:t>
        </w:r>
        <w:r>
          <w:rPr>
            <w:rFonts w:ascii="Arial" w:cs="Arial" w:eastAsia="Arial" w:hAnsi="Arial"/>
            <w:sz w:val="16"/>
            <w:szCs w:val="16"/>
            <w:u w:val="single" w:color="auto"/>
            <w:color w:val="0000FF"/>
          </w:rPr>
          <w:t>Item 1A “Risk Factors - Our subsidiaries are party to asbestos-related</w:t>
        </w:r>
      </w:hyperlink>
      <w:r>
        <w:rPr>
          <w:rFonts w:ascii="Arial" w:cs="Arial" w:eastAsia="Arial" w:hAnsi="Arial"/>
          <w:sz w:val="16"/>
          <w:szCs w:val="16"/>
          <w:color w:val="000000"/>
        </w:rPr>
        <w:t xml:space="preserve"> </w:t>
      </w:r>
      <w:hyperlink w:anchor="page8">
        <w:r>
          <w:rPr>
            <w:rFonts w:ascii="Arial" w:cs="Arial" w:eastAsia="Arial" w:hAnsi="Arial"/>
            <w:sz w:val="16"/>
            <w:szCs w:val="16"/>
            <w:u w:val="single" w:color="auto"/>
            <w:color w:val="0000FF"/>
          </w:rPr>
          <w:t>product litigation that could adversely affect our financial condition, results of operations and cash flows”</w:t>
        </w:r>
        <w:r>
          <w:rPr>
            <w:rFonts w:ascii="Arial" w:cs="Arial" w:eastAsia="Arial" w:hAnsi="Arial"/>
            <w:sz w:val="16"/>
            <w:szCs w:val="16"/>
            <w:color w:val="0000FF"/>
          </w:rPr>
          <w:t xml:space="preserve"> </w:t>
        </w:r>
        <w:r>
          <w:rPr>
            <w:rFonts w:ascii="Arial" w:cs="Arial" w:eastAsia="Arial" w:hAnsi="Arial"/>
            <w:sz w:val="16"/>
            <w:szCs w:val="16"/>
            <w:color w:val="000000"/>
          </w:rPr>
          <w:t>related to asbestos matters.</w:t>
        </w:r>
      </w:hyperlink>
    </w:p>
    <w:p>
      <w:pPr>
        <w:spacing w:after="0" w:line="108"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25"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Current executive officers of Pentair plc, their ages, current position and their business experience during at least the past five years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260" w:type="dxa"/>
            <w:vAlign w:val="bottom"/>
          </w:tcPr>
          <w:p>
            <w:pPr>
              <w:spacing w:after="0"/>
              <w:rPr>
                <w:sz w:val="17"/>
                <w:szCs w:val="17"/>
                <w:color w:val="auto"/>
              </w:rPr>
            </w:pPr>
          </w:p>
        </w:tc>
        <w:tc>
          <w:tcPr>
            <w:tcW w:w="8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Age</w:t>
            </w: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Current Position and Business Experience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rPr>
              <w:t>John L. Stauch</w:t>
            </w:r>
          </w:p>
        </w:tc>
        <w:tc>
          <w:tcPr>
            <w:tcW w:w="64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9"/>
              </w:rPr>
              <w:t>56</w:t>
            </w:r>
          </w:p>
        </w:tc>
        <w:tc>
          <w:tcPr>
            <w:tcW w:w="240" w:type="dxa"/>
            <w:vAlign w:val="bottom"/>
          </w:tcPr>
          <w:p>
            <w:pPr>
              <w:spacing w:after="0"/>
              <w:rPr>
                <w:sz w:val="17"/>
                <w:szCs w:val="17"/>
                <w:color w:val="auto"/>
              </w:rPr>
            </w:pPr>
          </w:p>
        </w:tc>
        <w:tc>
          <w:tcPr>
            <w:tcW w:w="8580" w:type="dxa"/>
            <w:vAlign w:val="bottom"/>
            <w:gridSpan w:val="2"/>
          </w:tcPr>
          <w:p>
            <w:pPr>
              <w:spacing w:after="0" w:line="196" w:lineRule="exact"/>
              <w:rPr>
                <w:sz w:val="20"/>
                <w:szCs w:val="20"/>
                <w:color w:val="auto"/>
              </w:rPr>
            </w:pPr>
            <w:r>
              <w:rPr>
                <w:rFonts w:ascii="Arial" w:cs="Arial" w:eastAsia="Arial" w:hAnsi="Arial"/>
                <w:sz w:val="18"/>
                <w:szCs w:val="18"/>
                <w:color w:val="auto"/>
                <w:w w:val="92"/>
              </w:rPr>
              <w:t>President and Chief Executive Officer since 2018; Executive Vice President and Chief Financial Officer 2007 - 2018;</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Chief Financial Officer of the Automation and Control Systems unit of Honeywell International Inc. 2005 - 2007; Vice</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President, Finance and Chief Financial Officer of the Sensing and Controls unit of Honeywell International Inc. 2004 -</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2005; Vice President, Finance and Chief Financial Officer of the Automation &amp; Control Products unit of Honeywell</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8"/>
              </w:rPr>
              <w:t>International Inc. 2002 - 2004; Chief Financial Officer and IT Director of PerkinElmer Optoelectronics, a unit of</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PerkinElmer, Inc., 2000 - 2002.</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Kelly A. Baker</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Executive Vice President and Chief Human Resources Officer since 2018; Chief Human Resources Officer, Water</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5"/>
              </w:rPr>
              <w:t>segment, 2017 - 2018; Chief Human Resources Officer of Patterson Companies, Inc. (a dental and animal health</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industry product and technology distributor) 2016 - 2017; Vice President of Human Resources, North America Retail</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5"/>
              </w:rPr>
              <w:t>and Marketing Function of General Mills (a multinational manufacturer and marketer of branded consumer foods)</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2014 - 2016; Vice President of Human Resources, Corporate &amp; Global Business Solutions of General Mills 2009 -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2014; Vice President of Diversity &amp; Inclusion of General Mills 2005 - 2009.</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Mario R. D’Ovidio</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8"/>
              </w:rPr>
              <w:t>Executive Vice President and President, Consumer Solutions since 2020; Senior Vice President of Sales and</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5"/>
              </w:rPr>
              <w:t>Ownership Solutions - North America of Electrolux AB (a manufacturer of large and small household appliances)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2017 – 2020; Global Vice President Sales and Service – Husqvarna AB (a manufacturer of innovative outdoor power</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1"/>
              </w:rPr>
              <w:t>products) 2016 – 2017; Vice President Global Product Management and Development of Husqvarna AB 2014 – 2016.</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Robert P. Fishman</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 and Chief Accounting Officer since 2020; Executive Vice President</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7"/>
              </w:rPr>
              <w:t>and Chief Financial Officer of NCR Corporation (a global provider of omni-channel technology solutions) 2016 -</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8"/>
              </w:rPr>
              <w:t>2018; Senior Vice President and Chief Financial Officer of NCR Corporation 2010 - 2016; Vice President and</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Corporate Controller of NCR Corporation 2007 - 2009.</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John H. Jacko</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63</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Executive Vice President and Chief Growth Officer since 2018; Senior Vice President and Chief Marketing Officer</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2017 - 2018; Vice President and Chief Marketing Officer of Kennametal Inc. (a global supplier of tooling, engineered</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3"/>
              </w:rPr>
              <w:t>components and advanced materials) 2007 - 2016; Senior Vice President and Chief Marketing Officer of Flowserve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Corporation, 2002 - 2007; Vice President of Marketing and Customer Management of Flowserve Corporation 2001 -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2002.</w:t>
            </w: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Jerome O. Pedretti</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Executive Vice President and President, Industrial &amp; Flow Technologies since 2020. Senior Vice President of Pentair’s</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0"/>
              </w:rPr>
              <w:t>former Aquatic Systems reporting segment 2016 - 2019; Vice President of Pentair’s former Valves &amp; Controls business</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2014 - 2016; Vice President Growth Strategy 2010 - 2014; Various business leadership positions of Pentair 2005 -</w:t>
            </w:r>
          </w:p>
        </w:tc>
        <w:tc>
          <w:tcPr>
            <w:tcW w:w="0" w:type="dxa"/>
            <w:vAlign w:val="bottom"/>
          </w:tcPr>
          <w:p>
            <w:pPr>
              <w:spacing w:after="0"/>
              <w:rPr>
                <w:sz w:val="1"/>
                <w:szCs w:val="1"/>
                <w:color w:val="auto"/>
              </w:rPr>
            </w:pPr>
          </w:p>
        </w:tc>
      </w:tr>
      <w:tr>
        <w:trPr>
          <w:trHeight w:val="230"/>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Stephen J. Pilla</w:t>
            </w:r>
          </w:p>
        </w:tc>
        <w:tc>
          <w:tcPr>
            <w:tcW w:w="6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2014; Consultant at Bain &amp; Co 2002 - 2005.</w:t>
            </w:r>
          </w:p>
        </w:tc>
        <w:tc>
          <w:tcPr>
            <w:tcW w:w="0" w:type="dxa"/>
            <w:vAlign w:val="bottom"/>
          </w:tcPr>
          <w:p>
            <w:pPr>
              <w:spacing w:after="0"/>
              <w:rPr>
                <w:sz w:val="1"/>
                <w:szCs w:val="1"/>
                <w:color w:val="auto"/>
              </w:rPr>
            </w:pPr>
          </w:p>
        </w:tc>
      </w:tr>
      <w:tr>
        <w:trPr>
          <w:trHeight w:val="214"/>
        </w:trPr>
        <w:tc>
          <w:tcPr>
            <w:tcW w:w="17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2"/>
              </w:rPr>
              <w:t>Executive Vice President and Chief Supply Chain Officer since 2020; Vice President and Chief Supply Chain Officer</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2"/>
              </w:rPr>
              <w:t>of Red Wing Shoe Co. (a manufacturer of personal protection equipment and footwear) 2017 - 2020; Vice President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9"/>
              </w:rPr>
              <w:t>and General Manager of Pentair’s former Enclosure Division 2015 – 2017; Vice President of Pentair’s Global</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5"/>
              </w:rPr>
              <w:t>Operations and Supply Chain 2014 – 2016; Vice President, Global Supply of Pentair 2009 – 2012; Various other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business leadership positions of Pentair 2002 – 2009.</w:t>
            </w:r>
          </w:p>
        </w:tc>
        <w:tc>
          <w:tcPr>
            <w:tcW w:w="0" w:type="dxa"/>
            <w:vAlign w:val="bottom"/>
          </w:tcPr>
          <w:p>
            <w:pPr>
              <w:spacing w:after="0"/>
              <w:rPr>
                <w:sz w:val="1"/>
                <w:szCs w:val="1"/>
                <w:color w:val="auto"/>
              </w:rPr>
            </w:pPr>
          </w:p>
        </w:tc>
      </w:tr>
      <w:tr>
        <w:trPr>
          <w:trHeight w:val="189"/>
        </w:trPr>
        <w:tc>
          <w:tcPr>
            <w:tcW w:w="1720" w:type="dxa"/>
            <w:vAlign w:val="bottom"/>
            <w:gridSpan w:val="2"/>
          </w:tcPr>
          <w:p>
            <w:pPr>
              <w:spacing w:after="0" w:line="189" w:lineRule="exact"/>
              <w:rPr>
                <w:sz w:val="20"/>
                <w:szCs w:val="20"/>
                <w:color w:val="auto"/>
              </w:rPr>
            </w:pPr>
            <w:r>
              <w:rPr>
                <w:rFonts w:ascii="Arial" w:cs="Arial" w:eastAsia="Arial" w:hAnsi="Arial"/>
                <w:sz w:val="18"/>
                <w:szCs w:val="18"/>
                <w:color w:val="auto"/>
              </w:rPr>
              <w:t>Karla C. Robertson</w:t>
            </w:r>
          </w:p>
        </w:tc>
        <w:tc>
          <w:tcPr>
            <w:tcW w:w="640" w:type="dxa"/>
            <w:vAlign w:val="bottom"/>
            <w:gridSpan w:val="2"/>
          </w:tcPr>
          <w:p>
            <w:pPr>
              <w:jc w:val="center"/>
              <w:ind w:left="250"/>
              <w:spacing w:after="0" w:line="189" w:lineRule="exact"/>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2"/>
              </w:rPr>
              <w:t>Executive Vice President, General Counsel, Secretary and Chief Social Responsibility Officer since 2020; Executive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Vice President, General Counsel and Secretary 2018-2020; General Counsel, Water segment 2017 - 2018; Executive</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Vice President, General Counsel and Corporate Secretary of SUPERVALU Inc. (a wholesaler and retailer of grocery</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products) 2013 - 2017; Vice President, Employment, Compensation and Benefits Law of SUPERVALU Inc. 2012 -</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rPr>
              <w:t>2013; Director, Employment Law of SUPERVALU Inc. 2011 - 2012; Senior Counsel, Employment Law of</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3"/>
              </w:rPr>
              <w:t>SUPERVALU Inc. 2009 - 2011; Senior Employee Relations Counsel of Target Corporation 2006 - 2008; Associate,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Faegre &amp; Benson LLP 2000 - 2005; Judicial Clerk, United States District Court for the Southern District of Iowa 1998</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- 2000.</w:t>
            </w: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Philip M. Rolchigo</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6"/>
              </w:rPr>
              <w:t>Executive Vice President and Chief Technology Officer since 2018; Chief Technology Officer 2017 - 2018; Vice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91" w:lineRule="exact"/>
              <w:rPr>
                <w:sz w:val="20"/>
                <w:szCs w:val="20"/>
                <w:color w:val="auto"/>
              </w:rPr>
            </w:pPr>
            <w:r>
              <w:rPr>
                <w:rFonts w:ascii="Arial" w:cs="Arial" w:eastAsia="Arial" w:hAnsi="Arial"/>
                <w:sz w:val="18"/>
                <w:szCs w:val="18"/>
                <w:color w:val="auto"/>
                <w:w w:val="92"/>
              </w:rPr>
              <w:t>President of Technology 2015 - 2017; Vice President of Engineering 2007 - 2015; Business Development Director of</w:t>
            </w:r>
          </w:p>
        </w:tc>
        <w:tc>
          <w:tcPr>
            <w:tcW w:w="0" w:type="dxa"/>
            <w:vAlign w:val="bottom"/>
          </w:tcPr>
          <w:p>
            <w:pPr>
              <w:spacing w:after="0"/>
              <w:rPr>
                <w:sz w:val="1"/>
                <w:szCs w:val="1"/>
                <w:color w:val="auto"/>
              </w:rPr>
            </w:pPr>
          </w:p>
        </w:tc>
      </w:tr>
    </w:tbl>
    <w:p>
      <w:pPr>
        <w:ind w:left="2620" w:right="80"/>
        <w:spacing w:after="0" w:line="218" w:lineRule="auto"/>
        <w:rPr>
          <w:sz w:val="20"/>
          <w:szCs w:val="20"/>
          <w:color w:val="auto"/>
        </w:rPr>
      </w:pPr>
      <w:r>
        <w:rPr>
          <w:rFonts w:ascii="Arial" w:cs="Arial" w:eastAsia="Arial" w:hAnsi="Arial"/>
          <w:sz w:val="18"/>
          <w:szCs w:val="18"/>
          <w:color w:val="auto"/>
        </w:rPr>
        <w:t>Water Technologies business of GE Global Research Center 2006 - 2007; Director of Technology of GE Water &amp; Process Technologies 2003 - 2006; Chief Technology Officer of Osmonics 2000 - 2003; Vice President of Research &amp; Development of Osmonics 1998 - 2000.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ordinary shares are listed for trading on the New York Stock Exchange (“NYSE”) under the symbol “PNR.” As of December 31, 2020, there were 13,931 shareholders of record.</w:t>
      </w:r>
    </w:p>
    <w:p>
      <w:pPr>
        <w:spacing w:after="0" w:line="1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Pentair has paid 180 consecutive quarterly cash dividends, including most recently a dividend of $0.19 per share in the fourth quarter of 2020. On December 8, 2020, Pentair’s Board of Directors approved a 5 percent increase in the Company’s regular quarterly cash dividend rate (from $0.19 per share to $0.20 per share) that was paid on February 5, 2021 to shareholders of record at the close of business on January 22, 2021. 2021 marks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that Pentair has increased its dividend.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2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following graph sets forth the cumulative total shareholder return on our ordinary shares for the last five years, assuming the investment of $100 on December 31, 2015 and the reinvestment of all dividends since that date to December 31, 2020. The graph also contains for comparison purposes the S&amp;P 500 Index and the S&amp;P 500 Industrials Index, assuming the same investment level and reinvestment of dividends.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63590" cy="2897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Base Period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9"/>
              </w:rPr>
              <w:t>INDEXED RETURNS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8"/>
              </w:rPr>
              <w:t>Years ended December 31</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7"/>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Pentair plc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S&amp;P 500 Index</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130.42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203.04</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500 Industrials Index</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fourth quarter of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19"/>
                <w:szCs w:val="19"/>
                <w:color w:val="auto"/>
              </w:rPr>
            </w:pPr>
          </w:p>
        </w:tc>
        <w:tc>
          <w:tcPr>
            <w:tcW w:w="21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(a)</w:t>
            </w:r>
          </w:p>
        </w:tc>
        <w:tc>
          <w:tcPr>
            <w:tcW w:w="380" w:type="dxa"/>
            <w:vAlign w:val="bottom"/>
          </w:tcPr>
          <w:p>
            <w:pPr>
              <w:spacing w:after="0"/>
              <w:rPr>
                <w:sz w:val="19"/>
                <w:szCs w:val="19"/>
                <w:color w:val="auto"/>
              </w:rPr>
            </w:pPr>
          </w:p>
        </w:tc>
        <w:tc>
          <w:tcPr>
            <w:tcW w:w="1700" w:type="dxa"/>
            <w:vAlign w:val="bottom"/>
          </w:tcPr>
          <w:p>
            <w:pPr>
              <w:jc w:val="center"/>
              <w:ind w:right="31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(c)</w:t>
            </w:r>
          </w:p>
        </w:tc>
        <w:tc>
          <w:tcPr>
            <w:tcW w:w="19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380" w:type="dxa"/>
            <w:vAlign w:val="bottom"/>
          </w:tcPr>
          <w:p>
            <w:pPr>
              <w:jc w:val="center"/>
              <w:ind w:right="310"/>
              <w:spacing w:after="0" w:line="181" w:lineRule="exact"/>
              <w:rPr>
                <w:sz w:val="20"/>
                <w:szCs w:val="20"/>
                <w:color w:val="auto"/>
              </w:rPr>
            </w:pPr>
            <w:r>
              <w:rPr>
                <w:rFonts w:ascii="Arial" w:cs="Arial" w:eastAsia="Arial" w:hAnsi="Arial"/>
                <w:sz w:val="18"/>
                <w:szCs w:val="18"/>
                <w:b w:val="1"/>
                <w:bCs w:val="1"/>
                <w:color w:val="auto"/>
                <w:w w:val="92"/>
              </w:rPr>
              <w:t>Total number</w:t>
            </w:r>
          </w:p>
        </w:tc>
        <w:tc>
          <w:tcPr>
            <w:tcW w:w="190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1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2"/>
              </w:rPr>
              <w:t>Total number</w:t>
            </w:r>
          </w:p>
        </w:tc>
        <w:tc>
          <w:tcPr>
            <w:tcW w:w="380" w:type="dxa"/>
            <w:vAlign w:val="bottom"/>
          </w:tcPr>
          <w:p>
            <w:pPr>
              <w:spacing w:after="0"/>
              <w:rPr>
                <w:sz w:val="15"/>
                <w:szCs w:val="15"/>
                <w:color w:val="auto"/>
              </w:rPr>
            </w:pPr>
          </w:p>
        </w:tc>
        <w:tc>
          <w:tcPr>
            <w:tcW w:w="170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0"/>
              </w:rPr>
              <w:t>Average</w:t>
            </w:r>
          </w:p>
        </w:tc>
        <w:tc>
          <w:tcPr>
            <w:tcW w:w="238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6"/>
              </w:rPr>
              <w:t>of shares purchased as</w:t>
            </w:r>
          </w:p>
        </w:tc>
        <w:tc>
          <w:tcPr>
            <w:tcW w:w="19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shares that may</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238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19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10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87"/>
              </w:rPr>
              <w:t>of shares</w:t>
            </w:r>
          </w:p>
        </w:tc>
        <w:tc>
          <w:tcPr>
            <w:tcW w:w="380" w:type="dxa"/>
            <w:vAlign w:val="bottom"/>
          </w:tcPr>
          <w:p>
            <w:pPr>
              <w:spacing w:after="0"/>
              <w:rPr>
                <w:sz w:val="15"/>
                <w:szCs w:val="15"/>
                <w:color w:val="auto"/>
              </w:rPr>
            </w:pPr>
          </w:p>
        </w:tc>
        <w:tc>
          <w:tcPr>
            <w:tcW w:w="170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89"/>
              </w:rPr>
              <w:t>price paid</w:t>
            </w:r>
          </w:p>
        </w:tc>
        <w:tc>
          <w:tcPr>
            <w:tcW w:w="2380" w:type="dxa"/>
            <w:vAlign w:val="bottom"/>
          </w:tcPr>
          <w:p>
            <w:pPr>
              <w:jc w:val="center"/>
              <w:ind w:right="310"/>
              <w:spacing w:after="0" w:line="176" w:lineRule="exact"/>
              <w:rPr>
                <w:sz w:val="20"/>
                <w:szCs w:val="20"/>
                <w:color w:val="auto"/>
              </w:rPr>
            </w:pPr>
            <w:r>
              <w:rPr>
                <w:rFonts w:ascii="Arial" w:cs="Arial" w:eastAsia="Arial" w:hAnsi="Arial"/>
                <w:sz w:val="18"/>
                <w:szCs w:val="18"/>
                <w:b w:val="1"/>
                <w:bCs w:val="1"/>
                <w:color w:val="auto"/>
                <w:w w:val="87"/>
              </w:rPr>
              <w:t>announced plans</w:t>
            </w:r>
          </w:p>
        </w:tc>
        <w:tc>
          <w:tcPr>
            <w:tcW w:w="190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9"/>
              </w:rPr>
              <w:t>under the plans</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5"/>
              </w:rPr>
              <w:t>purchased</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8"/>
              </w:rPr>
              <w:t>per share</w:t>
            </w:r>
          </w:p>
        </w:tc>
        <w:tc>
          <w:tcPr>
            <w:tcW w:w="2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or programs</w:t>
            </w: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October 24</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47.02</w:t>
            </w:r>
          </w:p>
        </w:tc>
        <w:tc>
          <w:tcPr>
            <w:tcW w:w="2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134,718,028</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October 25 – November 21</w:t>
            </w:r>
          </w:p>
        </w:tc>
        <w:tc>
          <w:tcPr>
            <w:tcW w:w="2100" w:type="dxa"/>
            <w:vAlign w:val="bottom"/>
          </w:tcPr>
          <w:p>
            <w:pPr>
              <w:jc w:val="right"/>
              <w:spacing w:after="0"/>
              <w:rPr>
                <w:sz w:val="20"/>
                <w:szCs w:val="20"/>
                <w:color w:val="auto"/>
              </w:rPr>
            </w:pPr>
            <w:r>
              <w:rPr>
                <w:rFonts w:ascii="Arial" w:cs="Arial" w:eastAsia="Arial" w:hAnsi="Arial"/>
                <w:sz w:val="18"/>
                <w:szCs w:val="18"/>
                <w:color w:val="auto"/>
              </w:rPr>
              <w:t>689,880</w:t>
            </w:r>
          </w:p>
        </w:tc>
        <w:tc>
          <w:tcPr>
            <w:tcW w:w="38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51.97</w:t>
            </w: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672,797</w:t>
            </w:r>
          </w:p>
        </w:tc>
        <w:tc>
          <w:tcPr>
            <w:tcW w:w="1900" w:type="dxa"/>
            <w:vAlign w:val="bottom"/>
          </w:tcPr>
          <w:p>
            <w:pPr>
              <w:jc w:val="right"/>
              <w:spacing w:after="0"/>
              <w:rPr>
                <w:sz w:val="20"/>
                <w:szCs w:val="20"/>
                <w:color w:val="auto"/>
              </w:rPr>
            </w:pPr>
            <w:r>
              <w:rPr>
                <w:rFonts w:ascii="Arial" w:cs="Arial" w:eastAsia="Arial" w:hAnsi="Arial"/>
                <w:sz w:val="18"/>
                <w:szCs w:val="18"/>
                <w:color w:val="auto"/>
              </w:rPr>
              <w:t>99,718,419</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22 – December 31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53.09</w:t>
            </w:r>
          </w:p>
        </w:tc>
        <w:tc>
          <w:tcPr>
            <w:tcW w:w="2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849,718,419</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690,662</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672,797</w:t>
            </w: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160" w:hanging="332"/>
        <w:spacing w:after="0" w:line="269" w:lineRule="auto"/>
        <w:tabs>
          <w:tab w:leader="none" w:pos="335"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purchases in this column include 714 shares for the period October 1 – October 24, 17,083 shares for the period October 25 – November 21, and 68 shares for the period November 22 – December 31 deemed surrendered to us by participants in our equity incentive plans to satisfy the exercise price or withholding of tax obligations related to the exercise of stock options and vesting of restricted and performance shares.</w:t>
      </w:r>
    </w:p>
    <w:p>
      <w:pPr>
        <w:spacing w:after="0" w:line="126" w:lineRule="exact"/>
        <w:rPr>
          <w:rFonts w:ascii="Arial" w:cs="Arial" w:eastAsia="Arial" w:hAnsi="Arial"/>
          <w:sz w:val="21"/>
          <w:szCs w:val="21"/>
          <w:color w:val="auto"/>
          <w:vertAlign w:val="superscript"/>
        </w:rPr>
      </w:pPr>
    </w:p>
    <w:p>
      <w:pPr>
        <w:ind w:left="340" w:right="340" w:hanging="332"/>
        <w:spacing w:after="0" w:line="234"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in this column includes shares repurchased as part of our publicly announced plans and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148" w:lineRule="exact"/>
        <w:rPr>
          <w:rFonts w:ascii="Arial" w:cs="Arial" w:eastAsia="Arial" w:hAnsi="Arial"/>
          <w:sz w:val="23"/>
          <w:szCs w:val="23"/>
          <w:color w:val="auto"/>
          <w:vertAlign w:val="superscript"/>
        </w:rPr>
      </w:pPr>
    </w:p>
    <w:p>
      <w:pPr>
        <w:ind w:left="340" w:right="180" w:hanging="332"/>
        <w:spacing w:after="0" w:line="227" w:lineRule="auto"/>
        <w:tabs>
          <w:tab w:leader="none" w:pos="335"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48" w:lineRule="exact"/>
        <w:rPr>
          <w:rFonts w:ascii="Arial" w:cs="Arial" w:eastAsia="Arial" w:hAnsi="Arial"/>
          <w:sz w:val="23"/>
          <w:szCs w:val="23"/>
          <w:color w:val="auto"/>
          <w:vertAlign w:val="superscript"/>
        </w:rPr>
      </w:pPr>
    </w:p>
    <w:p>
      <w:pPr>
        <w:ind w:left="340" w:right="140" w:hanging="332"/>
        <w:spacing w:after="0" w:line="242"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expires on May 31, 2021. On December 8, 2020, the Board of Directors authorized the repurchase of our ordinary shares up to a maximum dollar limit of $750.0 million (the “2020 Authorization”). The 2020 Authorization expires on December 31, 2025. The 2020 Authorization supplements the 2018 Authorization. We have $99.7 million and $750.0 million remaining availability for repurchases under the 2018 Authorization and 2020 Authorization, respectively.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4" w:name="page25"/>
    <w:bookmarkEnd w:id="24"/>
    <w:p>
      <w:pPr>
        <w:ind w:right="234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actions that may be taken by us, other businesses and governments to address or otherwise mitigate the impact of the COVID-19 pandemic, including those that may impact our ability to operate our facilities, meet production demands, and deliver products to our customers; the negative impacts of the COVID-19 pandemic on the global economy, our customers and suppliers, and customer demand;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Pentair plc and its consolidated subsidiaries (“we,” “us,” “our,” “Pentair” or the “Company”) is a pure play water industrial manufacturing company comprised of two reporting segments: Consumer Solutions and Industrial &amp; Flow Technologies. We classify our operations into business segments based primarily on types of products offered and markets served. For the year ended December 31, 2020, the Consumer Solutions and Industrial &amp; Flow Technologies segments represented approximately 58% and 42% of total revenues, respectively.</w:t>
      </w:r>
    </w:p>
    <w:p>
      <w:pPr>
        <w:spacing w:after="0" w:line="1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1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On April 30, 2018, we completed the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0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February 2019, as part of Consumer Solutions, we completed the acquisitions of Aquion, Inc. (“Aquion”) and Pelican Water Systems (“Pelican”) for $163.4 million and $121.1 million, respectively, in cash, net of cash acquired and final working capital true-ups.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spread throughout the United States (“U.S.”) and the world, with the continued potential for significant impact. The COVID-19 pandemic has resulted in governments around the world implementing increasingly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 The effects of the COVID-19 pandemic have had and may continue to have an unfavorable impact on certain parts of our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Health and safety</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From the earliest signs of the outbreak, we have taken proactive action to protect the health and safety of our employees, customers, and suppliers. We have enacted rigorous safety measures in our sites, including implementing social distancing protocols, implementing working from home arrangements for those employees who do not need to be physically present on the manufacturing floor and do not provide manufacturing-support activities, suspending travel, extensively and frequently disinfecting our workspaces, conducting temperature monitoring at our facilities, and providing or accommodating the wearing of facial coverings to those employees who must be physically present in their workplace and where facial coverings are required by local government orders. We expect to continue to implement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 For the year ended December 31, 2020, we incurred $10.4 million of costs related to providing for the health and safety of our employees specific to the COVID-19 pandemic.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important manufacturing operations in the U.S. and around the world that have been affected by the COVID-19 pandemic, and we have taken certain actions to help curb its spread. Government-mandated measures providing for business curtailments or shutdowns generally exclude certain essential businesses and services, including businesses that manufacture and sell products that are considered essential to daily lives or otherwise operate in essential or critical sectors. While substantially all of our manufacturing facilities are considered essential and have remained operational, we have experienced intermittent partial or full factory closures at certain facilities as a result of these measures or the need to sanitize the facilities and address employee well-being. We also experienced brief interruptions in operations due to government-mandated shutdowns at our sites in India, Italy, and New Zealand during the year ended December 31, 2020. While sanitation-related closures or governmental shutdowns may occur again in the future, all of our manufacturing facilities currently remain operational. In addition, we have experienced disruptions at some of our facilities with higher absenteeism due to the COVID-19 pandemic.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COVID-19 pandemic has impacted our factory productivity and supply chain. Certain of our suppliers, particularly in our pool and flow businesses, faced difficulties maintaining operations in light of manufacturing shutdowns and interruptions due to the COVID-19 pandemic, which negatively impacted our production and contributed to an increase in backlog. During the third quarter of 2020, we identified second source suppliers and increased supply for key items in our pool business to reduce the production and capacity challenges we encountered in the second quarter of 2020 as a result of supply chain issues and increased demand. These supply chain and capacity challenges have led to higher transportation and labor costs in order to timely deliver finished goods to our customers. Restrictions or disruptions of transportation, such as reduced availability of air transport, port closures and increased border controls or closures, have in certain cases resulted, and may continue to result, in higher costs and delays, both for obtaining raw materials and components and shipping finished goods to customers, which could harm our profitability, make our products less competitive, or cause our customers to seek alternative suppliers.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3"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212529"/>
        </w:rPr>
        <w:t xml:space="preserve">The COVID-19 pandemic has significantly increased economic and demand uncertainty. </w:t>
      </w:r>
      <w:r>
        <w:rPr>
          <w:rFonts w:ascii="Arial" w:cs="Arial" w:eastAsia="Arial" w:hAnsi="Arial"/>
          <w:sz w:val="18"/>
          <w:szCs w:val="18"/>
          <w:color w:val="000000"/>
        </w:rPr>
        <w:t>We have experienced and expect to continue to experience</w:t>
      </w:r>
      <w:r>
        <w:rPr>
          <w:rFonts w:ascii="Arial" w:cs="Arial" w:eastAsia="Arial" w:hAnsi="Arial"/>
          <w:sz w:val="18"/>
          <w:szCs w:val="18"/>
          <w:color w:val="212529"/>
        </w:rPr>
        <w:t xml:space="preserve"> </w:t>
      </w:r>
      <w:r>
        <w:rPr>
          <w:rFonts w:ascii="Arial" w:cs="Arial" w:eastAsia="Arial" w:hAnsi="Arial"/>
          <w:sz w:val="18"/>
          <w:szCs w:val="18"/>
          <w:color w:val="000000"/>
        </w:rPr>
        <w:t>reductions in customer demand in several of our end-markets.</w:t>
      </w:r>
    </w:p>
    <w:p>
      <w:pPr>
        <w:spacing w:after="0" w:line="13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12529"/>
        </w:rPr>
        <w:t xml:space="preserve">Within our Consumer Solutions segment, the COVID-19 pandemic has impacted demand in each of our businesses. Our pool business has experienced high demand as consumers sheltered-in-place and have spent more time at home. </w:t>
      </w:r>
      <w:r>
        <w:rPr>
          <w:rFonts w:ascii="Arial" w:cs="Arial" w:eastAsia="Arial" w:hAnsi="Arial"/>
          <w:sz w:val="16"/>
          <w:szCs w:val="16"/>
          <w:color w:val="000000"/>
        </w:rPr>
        <w:t>While</w:t>
      </w:r>
      <w:r>
        <w:rPr>
          <w:rFonts w:ascii="Arial" w:cs="Arial" w:eastAsia="Arial" w:hAnsi="Arial"/>
          <w:sz w:val="16"/>
          <w:szCs w:val="16"/>
          <w:color w:val="212529"/>
        </w:rPr>
        <w:t xml:space="preserve"> shelter-in-place orders impacted our ability to reach our customers in our </w:t>
      </w:r>
      <w:r>
        <w:rPr>
          <w:rFonts w:ascii="Arial" w:cs="Arial" w:eastAsia="Arial" w:hAnsi="Arial"/>
          <w:sz w:val="16"/>
          <w:szCs w:val="16"/>
          <w:color w:val="000000"/>
        </w:rPr>
        <w:t>r</w:t>
      </w:r>
      <w:r>
        <w:rPr>
          <w:rFonts w:ascii="Arial" w:cs="Arial" w:eastAsia="Arial" w:hAnsi="Arial"/>
          <w:sz w:val="16"/>
          <w:szCs w:val="16"/>
          <w:color w:val="212529"/>
        </w:rPr>
        <w:t>esidential water treatment business at the beginning of the second quarter of 2020, we started to see stabilization in demand in this business towards the end of the second quarter and then saw demand rebound in the second half of 2020 as consumers became more comfortable allowing dealers back into their homes to test their water and install new systems. Our commercial filtration business was negatively impacted by restaurant and hospitality industry closures or operations at limited capacity across North America and Europe in the second quarter and to a lesser extent in the second half of 2020. New or extended government-mandated shutdowns could impact demand for our Consumer Solutions products in the future.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80"/>
        <w:spacing w:after="0" w:line="291" w:lineRule="auto"/>
        <w:rPr>
          <w:sz w:val="20"/>
          <w:szCs w:val="20"/>
          <w:color w:val="auto"/>
        </w:rPr>
      </w:pPr>
      <w:r>
        <w:rPr>
          <w:rFonts w:ascii="Arial" w:cs="Arial" w:eastAsia="Arial" w:hAnsi="Arial"/>
          <w:sz w:val="16"/>
          <w:szCs w:val="16"/>
          <w:color w:val="auto"/>
        </w:rPr>
        <w:t>Within our Industrial &amp; Flow Technologies segment, demand for our residential flow products was initially negatively impacted due to store closures as a result of state-wide orders in the U.S. However, sell through improved throughout the year driven by pent up demand from the earlier closures. Demand continued to remain soft in our commercial and infrastructure flow businesses, but stabilized in the third quarter of 2020. In our industrial filtration business, demand is mostly driven by customer capital spending, which was reduced and/or delayed beginning in the second quarter of 2020 across most industries served. In addition, lower asset utilization drove down demand in industrial filtration aftermarket sales. Furthermore, many of our commercial customers have been negatively impacted due to worldwide lockdowns as a result of the COVID-19 pandemic. While we are preparing for this business to remain under pressure in the near term, we expect long-term demand drivers for this business not to be significantly changed.</w:t>
      </w:r>
    </w:p>
    <w:p>
      <w:pPr>
        <w:spacing w:after="0" w:line="11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current COVID-19 pandemic or continued spread of COVID-19 has caused a global economic slowdown, and a possibility of a global recession. In the event of a recession, demand for our products would decline and our business and results of operations would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mitigation actions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With the continuing uncertainty in light of the COVID-19 pandemic, we have taken steps across our organization to align costs with lower sales volumes. These steps include renegotiation with suppliers to reduce input costs, driving manufacturing direct labor reductions in line with volume drop, delaying, reducing or eliminating purchased services and travel and, where appropriate, temporary furloughs and hiring freezes. Additionally, we are proactively managing our working capital and reviewing our capital spending plan, but have not deferred strategic ongoing initiatives. We also continue to monitor government economic stabilization efforts and have participated in certain legislative provisions, such as deferring estimated tax payments, and may apply for job retention credits.</w:t>
      </w:r>
    </w:p>
    <w:p>
      <w:pPr>
        <w:spacing w:after="0" w:line="140" w:lineRule="exact"/>
        <w:rPr>
          <w:sz w:val="20"/>
          <w:szCs w:val="20"/>
          <w:color w:val="auto"/>
        </w:rPr>
      </w:pPr>
    </w:p>
    <w:p>
      <w:pPr>
        <w:ind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continue to monitor the rapidly evolving situation including the development of vaccines and their distribution to address the COVID-19 virus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w:t>
      </w:r>
      <w:hyperlink w:anchor="page8">
        <w:r>
          <w:rPr>
            <w:rFonts w:ascii="Arial" w:cs="Arial" w:eastAsia="Arial" w:hAnsi="Arial"/>
            <w:sz w:val="18"/>
            <w:szCs w:val="18"/>
            <w:u w:val="single" w:color="auto"/>
            <w:color w:val="0000FF"/>
          </w:rPr>
          <w:t>Part I—ITEM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herein for our risk factors regarding risks associated with the COVID-19 pandemic.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trends and uncertainties affected our financial performance in 2020, and will likely impact our results in the future:</w:t>
      </w:r>
    </w:p>
    <w:p>
      <w:pPr>
        <w:spacing w:after="0" w:line="157" w:lineRule="exact"/>
        <w:rPr>
          <w:sz w:val="20"/>
          <w:szCs w:val="20"/>
          <w:color w:val="auto"/>
        </w:rPr>
      </w:pPr>
    </w:p>
    <w:p>
      <w:pPr>
        <w:ind w:left="660" w:right="80" w:hanging="328"/>
        <w:spacing w:after="0" w:line="272"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the extent of worldwide social, political and economic disruption it may continue to cause and the development and distribution of vaccines to address the COVID-19 virus. The broader implications of the COVID-19 pandemic on our business, financial condition, results of operations and cash flows cannot be determined at this time, and ultimately will be affected by a number of evolving factors including the length of time that the pandemic continues and the impact of vaccines on it, its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Pandemic” </w:t>
      </w:r>
      <w:r>
        <w:rPr>
          <w:rFonts w:ascii="Arial" w:cs="Arial" w:eastAsia="Arial" w:hAnsi="Arial"/>
          <w:sz w:val="17"/>
          <w:szCs w:val="17"/>
          <w:color w:val="auto"/>
        </w:rPr>
        <w:t>for key trends and uncertainties with regard to the COVID-19 pandemic.</w:t>
      </w:r>
    </w:p>
    <w:p>
      <w:pPr>
        <w:spacing w:after="0" w:line="123" w:lineRule="exact"/>
        <w:rPr>
          <w:rFonts w:ascii="Arial" w:cs="Arial" w:eastAsia="Arial" w:hAnsi="Arial"/>
          <w:sz w:val="17"/>
          <w:szCs w:val="17"/>
          <w:color w:val="auto"/>
        </w:rPr>
      </w:pPr>
    </w:p>
    <w:p>
      <w:pPr>
        <w:ind w:left="660" w:right="64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2020, we executed certain business restructuring initiatives unrelated to the COVID-19 pandemic aimed at reducing our fixed cost structure and realigning our business. We expect these actions to continue into 2021 and to drive margin growth.</w:t>
      </w:r>
    </w:p>
    <w:p>
      <w:pPr>
        <w:spacing w:after="0" w:line="92" w:lineRule="exact"/>
        <w:rPr>
          <w:rFonts w:ascii="Arial" w:cs="Arial" w:eastAsia="Arial" w:hAnsi="Arial"/>
          <w:sz w:val="17"/>
          <w:szCs w:val="17"/>
          <w:color w:val="auto"/>
        </w:rPr>
      </w:pPr>
    </w:p>
    <w:p>
      <w:pPr>
        <w:ind w:left="660" w:right="24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jc w:val="both"/>
        <w:ind w:left="660" w:right="1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In 2021,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prioritization of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Return cash to shareholders through dividends and buybacks;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8"/>
        </w:trPr>
        <w:tc>
          <w:tcPr>
            <w:tcW w:w="4680" w:type="dxa"/>
            <w:vAlign w:val="bottom"/>
          </w:tcPr>
          <w:p>
            <w:pPr>
              <w:spacing w:after="0"/>
              <w:rPr>
                <w:sz w:val="20"/>
                <w:szCs w:val="20"/>
                <w:color w:val="auto"/>
              </w:rPr>
            </w:pPr>
            <w:r>
              <w:rPr>
                <w:rFonts w:ascii="Arial" w:cs="Arial" w:eastAsia="Arial" w:hAnsi="Arial"/>
                <w:sz w:val="18"/>
                <w:szCs w:val="18"/>
                <w:color w:val="auto"/>
              </w:rPr>
              <w:t>The consolidated results of operations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1"/>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8"/>
                <w:szCs w:val="18"/>
                <w:b w:val="1"/>
                <w:bCs w:val="1"/>
                <w:color w:val="auto"/>
              </w:rPr>
              <w:t>% / point change</w:t>
            </w:r>
          </w:p>
        </w:tc>
        <w:tc>
          <w:tcPr>
            <w:tcW w:w="220" w:type="dxa"/>
            <w:vAlign w:val="bottom"/>
            <w:tcBorders>
              <w:bottom w:val="single" w:sz="8" w:color="auto"/>
            </w:tcBorders>
          </w:tcPr>
          <w:p>
            <w:pPr>
              <w:spacing w:after="0"/>
              <w:rPr>
                <w:sz w:val="24"/>
                <w:szCs w:val="24"/>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8"/>
                <w:szCs w:val="18"/>
                <w:b w:val="1"/>
                <w:bCs w:val="1"/>
                <w:color w:val="auto"/>
                <w:w w:val="99"/>
              </w:rPr>
              <w:t>2020 vs 2019</w:t>
            </w:r>
          </w:p>
        </w:tc>
        <w:tc>
          <w:tcPr>
            <w:tcW w:w="120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8"/>
                <w:szCs w:val="18"/>
                <w:b w:val="1"/>
                <w:bCs w:val="1"/>
                <w:color w:val="auto"/>
                <w:w w:val="94"/>
              </w:rPr>
              <w:t>2019 vs 2018</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3,017.8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2,957.2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2,965.1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1,960.2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1,905.7</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1,917.4</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 %</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1,057.6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1,051.5</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1,047.7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4680" w:type="dxa"/>
            <w:vAlign w:val="bottom"/>
          </w:tcPr>
          <w:p>
            <w:pPr>
              <w:ind w:left="220"/>
              <w:spacing w:after="0"/>
              <w:rPr>
                <w:sz w:val="20"/>
                <w:szCs w:val="20"/>
                <w:color w:val="auto"/>
              </w:rPr>
            </w:pPr>
            <w:r>
              <w:rPr>
                <w:rFonts w:ascii="Arial" w:cs="Arial" w:eastAsia="Arial" w:hAnsi="Arial"/>
                <w:sz w:val="14"/>
                <w:szCs w:val="14"/>
                <w:i w:val="1"/>
                <w:iCs w:val="1"/>
                <w:color w:val="auto"/>
              </w:rPr>
              <w:t>% of net sales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35.0 %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35.6 %</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35.3 %</w:t>
            </w:r>
          </w:p>
        </w:tc>
        <w:tc>
          <w:tcPr>
            <w:tcW w:w="1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i w:val="1"/>
                <w:iCs w:val="1"/>
                <w:color w:val="auto"/>
              </w:rPr>
              <w:t>(0.6) pts</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0.3</w:t>
            </w:r>
          </w:p>
        </w:tc>
        <w:tc>
          <w:tcPr>
            <w:tcW w:w="220" w:type="dxa"/>
            <w:vAlign w:val="bottom"/>
          </w:tcPr>
          <w:p>
            <w:pPr>
              <w:jc w:val="right"/>
              <w:spacing w:after="0"/>
              <w:rPr>
                <w:sz w:val="20"/>
                <w:szCs w:val="20"/>
                <w:color w:val="auto"/>
              </w:rPr>
            </w:pPr>
            <w:r>
              <w:rPr>
                <w:rFonts w:ascii="Arial" w:cs="Arial" w:eastAsia="Arial" w:hAnsi="Arial"/>
                <w:sz w:val="14"/>
                <w:szCs w:val="14"/>
                <w:i w:val="1"/>
                <w:iCs w:val="1"/>
                <w:color w:val="auto"/>
                <w:w w:val="96"/>
              </w:rPr>
              <w:t>pts</w:t>
            </w:r>
          </w:p>
        </w:tc>
      </w:tr>
      <w:tr>
        <w:trPr>
          <w:trHeight w:val="219"/>
        </w:trPr>
        <w:tc>
          <w:tcPr>
            <w:tcW w:w="4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520.5</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540.1</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17.2 %</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18.3 %</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18.0 %</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(1.1) pts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pts</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78.9</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2.5 %</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2.7 %</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2.6 %</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(0.2) pts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pts</w:t>
            </w:r>
          </w:p>
        </w:tc>
      </w:t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432.5</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186"/>
        </w:trPr>
        <w:tc>
          <w:tcPr>
            <w:tcW w:w="4680" w:type="dxa"/>
            <w:vAlign w:val="bottom"/>
          </w:tcPr>
          <w:p>
            <w:pPr>
              <w:ind w:left="220"/>
              <w:spacing w:after="0"/>
              <w:rPr>
                <w:sz w:val="20"/>
                <w:szCs w:val="20"/>
                <w:color w:val="auto"/>
              </w:rPr>
            </w:pPr>
            <w:r>
              <w:rPr>
                <w:rFonts w:ascii="Arial" w:cs="Arial" w:eastAsia="Arial" w:hAnsi="Arial"/>
                <w:sz w:val="14"/>
                <w:szCs w:val="14"/>
                <w:i w:val="1"/>
                <w:iCs w:val="1"/>
                <w:color w:val="auto"/>
              </w:rPr>
              <w:t>% of net sales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15.3 %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14.6 %</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14.7 %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0.7</w:t>
            </w:r>
          </w:p>
        </w:tc>
        <w:tc>
          <w:tcPr>
            <w:tcW w:w="280" w:type="dxa"/>
            <w:vAlign w:val="bottom"/>
          </w:tcPr>
          <w:p>
            <w:pPr>
              <w:jc w:val="right"/>
              <w:spacing w:after="0"/>
              <w:rPr>
                <w:sz w:val="20"/>
                <w:szCs w:val="20"/>
                <w:color w:val="auto"/>
              </w:rPr>
            </w:pPr>
            <w:r>
              <w:rPr>
                <w:rFonts w:ascii="Arial" w:cs="Arial" w:eastAsia="Arial" w:hAnsi="Arial"/>
                <w:sz w:val="14"/>
                <w:szCs w:val="14"/>
                <w:i w:val="1"/>
                <w:iCs w:val="1"/>
                <w:color w:val="auto"/>
                <w:w w:val="96"/>
              </w:rPr>
              <w:t>pts</w:t>
            </w:r>
          </w:p>
        </w:tc>
        <w:tc>
          <w:tcPr>
            <w:tcW w:w="1200" w:type="dxa"/>
            <w:vAlign w:val="bottom"/>
            <w:gridSpan w:val="2"/>
          </w:tcPr>
          <w:p>
            <w:pPr>
              <w:jc w:val="right"/>
              <w:spacing w:after="0"/>
              <w:rPr>
                <w:sz w:val="20"/>
                <w:szCs w:val="20"/>
                <w:color w:val="auto"/>
              </w:rPr>
            </w:pPr>
            <w:r>
              <w:rPr>
                <w:rFonts w:ascii="Arial" w:cs="Arial" w:eastAsia="Arial" w:hAnsi="Arial"/>
                <w:sz w:val="14"/>
                <w:szCs w:val="14"/>
                <w:i w:val="1"/>
                <w:iCs w:val="1"/>
                <w:color w:val="auto"/>
              </w:rPr>
              <w:t>(0.1) pts</w:t>
            </w:r>
          </w:p>
        </w:tc>
      </w:tr>
      <w:tr>
        <w:trPr>
          <w:trHeight w:val="219"/>
        </w:trPr>
        <w:tc>
          <w:tcPr>
            <w:tcW w:w="4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Loss (gain) on sale of businesses</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407.5</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 %</w:t>
            </w:r>
          </w:p>
        </w:tc>
      </w:tr>
      <w:tr>
        <w:trPr>
          <w:trHeight w:val="189"/>
        </w:trPr>
        <w:tc>
          <w:tcPr>
            <w:tcW w:w="4680" w:type="dxa"/>
            <w:vAlign w:val="bottom"/>
            <w:shd w:val="clear" w:color="auto" w:fill="CCEEFF"/>
          </w:tcPr>
          <w:p>
            <w:pPr>
              <w:ind w:left="340"/>
              <w:spacing w:after="0"/>
              <w:rPr>
                <w:sz w:val="20"/>
                <w:szCs w:val="20"/>
                <w:color w:val="auto"/>
              </w:rPr>
            </w:pPr>
            <w:r>
              <w:rPr>
                <w:rFonts w:ascii="Arial" w:cs="Arial" w:eastAsia="Arial" w:hAnsi="Arial"/>
                <w:sz w:val="14"/>
                <w:szCs w:val="14"/>
                <w:i w:val="1"/>
                <w:iCs w:val="1"/>
                <w:color w:val="auto"/>
              </w:rPr>
              <w:t>Effective tax rate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17.4 %</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11.2 %</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pts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(4.1) pts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2020 vs 2019</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080" w:type="dxa"/>
            <w:vAlign w:val="bottom"/>
            <w:shd w:val="clear" w:color="auto" w:fill="CCEEFF"/>
          </w:tcPr>
          <w:p>
            <w:pPr>
              <w:ind w:left="4500"/>
              <w:spacing w:after="0"/>
              <w:rPr>
                <w:sz w:val="20"/>
                <w:szCs w:val="20"/>
                <w:color w:val="auto"/>
              </w:rPr>
            </w:pPr>
            <w:r>
              <w:rPr>
                <w:rFonts w:ascii="Arial" w:cs="Arial" w:eastAsia="Arial" w:hAnsi="Arial"/>
                <w:sz w:val="18"/>
                <w:szCs w:val="18"/>
                <w:color w:val="auto"/>
              </w:rPr>
              <w:t>0.4 %</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(3.9)%</w:t>
            </w:r>
          </w:p>
        </w:tc>
      </w:tr>
      <w:tr>
        <w:trPr>
          <w:trHeight w:val="22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08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0.9</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2.6</w:t>
            </w:r>
          </w:p>
        </w:tc>
      </w:tr>
      <w:tr>
        <w:trPr>
          <w:trHeight w:val="223"/>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5080" w:type="dxa"/>
            <w:vAlign w:val="bottom"/>
            <w:shd w:val="clear" w:color="auto" w:fill="CCEEFF"/>
          </w:tcPr>
          <w:p>
            <w:pPr>
              <w:ind w:left="4500"/>
              <w:spacing w:after="0"/>
              <w:rPr>
                <w:sz w:val="20"/>
                <w:szCs w:val="20"/>
                <w:color w:val="auto"/>
              </w:rPr>
            </w:pPr>
            <w:r>
              <w:rPr>
                <w:rFonts w:ascii="Arial" w:cs="Arial" w:eastAsia="Arial" w:hAnsi="Arial"/>
                <w:sz w:val="18"/>
                <w:szCs w:val="18"/>
                <w:color w:val="auto"/>
              </w:rPr>
              <w:t>1.3</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(1.3)</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5080" w:type="dxa"/>
            <w:vAlign w:val="bottom"/>
          </w:tcPr>
          <w:p>
            <w:pPr>
              <w:ind w:left="4500"/>
              <w:spacing w:after="0"/>
              <w:rPr>
                <w:sz w:val="20"/>
                <w:szCs w:val="20"/>
                <w:color w:val="auto"/>
              </w:rPr>
            </w:pPr>
            <w:r>
              <w:rPr>
                <w:rFonts w:ascii="Arial" w:cs="Arial" w:eastAsia="Arial" w:hAnsi="Arial"/>
                <w:sz w:val="18"/>
                <w:szCs w:val="18"/>
                <w:color w:val="auto"/>
              </w:rPr>
              <w:t>0.5</w:t>
            </w:r>
          </w:p>
        </w:tc>
        <w:tc>
          <w:tcPr>
            <w:tcW w:w="1400" w:type="dxa"/>
            <w:vAlign w:val="bottom"/>
          </w:tcPr>
          <w:p>
            <w:pPr>
              <w:ind w:left="960"/>
              <w:spacing w:after="0"/>
              <w:rPr>
                <w:sz w:val="20"/>
                <w:szCs w:val="20"/>
                <w:color w:val="auto"/>
              </w:rPr>
            </w:pPr>
            <w:r>
              <w:rPr>
                <w:rFonts w:ascii="Arial" w:cs="Arial" w:eastAsia="Arial" w:hAnsi="Arial"/>
                <w:sz w:val="18"/>
                <w:szCs w:val="18"/>
                <w:color w:val="auto"/>
              </w:rPr>
              <w:t>2.5</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5080" w:type="dxa"/>
            <w:vAlign w:val="bottom"/>
            <w:tcBorders>
              <w:bottom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rPr>
              <w:t>0.2</w:t>
            </w:r>
          </w:p>
        </w:tc>
        <w:tc>
          <w:tcPr>
            <w:tcW w:w="14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(1.5)</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2.0 %</w:t>
            </w: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4"/>
              </w:rPr>
              <w:t>(0.3)%</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i w:val="1"/>
          <w:iCs w:val="1"/>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in February 2019 and other small acquisitions in our Consumer Solutions segment in the fourth quarter of 2019 and first half of 2020;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increase in our Consumer Solutions segment mainly driven by our pool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increase in our residential and irrigation flow businesses in our Industrial &amp; Flow Technologies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foreign currency effects in 2020 compared to the prior year.</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sales volume declines in certain businesses within our Industrial &amp; Flow Technologies segment due to the impacts of the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decrease in gross profit as a percentage of net sales in 2020 from 2019 was primarily the result of:</w:t>
      </w:r>
    </w:p>
    <w:p>
      <w:pPr>
        <w:spacing w:after="0" w:line="1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mix within the pool and commercial and infrastructure flow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volumes within our commercial water supply, water disposal, industrial filtration and food and beverage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providing for the health and safety of our employees specific to the COVID-19 pandemic of $8.6 million for the year ended December 31, 2020;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productivity due to higher volumes in our pool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productivity due to cost actions such as temporary furloughs and hiring freezes in response to the COVID-19 pandemic driving manufacturing efficiencies and lower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1.1 percentage point decrease in SG&amp;A expense as a percentage of net sales in 2020 from 2019 was driven by:</w:t>
      </w:r>
    </w:p>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impairment charges of $21.2 million in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due to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and other costs of $15.4 million in 2020, compared to $21.0 million in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employee compensation incentive expense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20.6 percent decrease in net interest expense in 2020 from 2019 was the result of:</w:t>
      </w:r>
    </w:p>
    <w:p>
      <w:pPr>
        <w:spacing w:after="0" w:line="15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cross currency swaps entered into in June 2019 and December 2019 resulting in more interest income in 2020 than in the prior period;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lower interest rate revolving credit facilities replacing higher interest rate fixed rate debt that matured during the second half of 2019;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strong cash flows in 2020 leading to lower overall debt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6.2 percentage point increase in the effective tax rate in 2020 from 2019 was primarily due to:</w:t>
      </w:r>
    </w:p>
    <w:p>
      <w:pPr>
        <w:spacing w:after="0" w:line="157" w:lineRule="exact"/>
        <w:rPr>
          <w:sz w:val="20"/>
          <w:szCs w:val="20"/>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CARES Act, and items related to final regulations as part of the Tax Cuts and Jobs Act of 2017 that place limitations on the deductibility of certain interest expense for U.S.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Comparison with 2018</w:t>
      </w:r>
    </w:p>
    <w:p>
      <w:pPr>
        <w:spacing w:after="0" w:line="2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 discussion of changes in our consolidated results of operations and liquidity and capital resources from the year ended December 31, 2019 to December 31, 2018 can be found in Part II, ITEM 7, Management’s Discussion and Analysis of Financial Condition and Results of Operations of our Annual Report on Form 10-K for the year ended December 31, 2019, which was filed with the SEC on February 25, 2020. However, such discussion is not incorporated by reference into, and does not constitute a part of, this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8"/>
                <w:szCs w:val="18"/>
                <w:b w:val="1"/>
                <w:bCs w:val="1"/>
                <w:color w:val="auto"/>
              </w:rPr>
              <w:t>% / point change</w:t>
            </w:r>
          </w:p>
        </w:tc>
        <w:tc>
          <w:tcPr>
            <w:tcW w:w="22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 vs 2019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b w:val="1"/>
                <w:bCs w:val="1"/>
                <w:color w:val="auto"/>
                <w:w w:val="94"/>
              </w:rPr>
              <w:t>2019 vs 2018</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1,742.9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1,611.7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1,578.4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419.1</w:t>
            </w:r>
          </w:p>
        </w:tc>
        <w:tc>
          <w:tcPr>
            <w:tcW w:w="30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379.6</w:t>
            </w:r>
          </w:p>
        </w:tc>
        <w:tc>
          <w:tcPr>
            <w:tcW w:w="3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24.0 %</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23.6 %</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24.9 %</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4"/>
                <w:szCs w:val="14"/>
                <w:i w:val="1"/>
                <w:iCs w:val="1"/>
                <w:color w:val="auto"/>
              </w:rPr>
              <w:t>0.4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85"/>
              </w:rPr>
              <w:t>pts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pts</w:t>
            </w:r>
          </w:p>
        </w:tc>
      </w:tr>
      <w:tr>
        <w:trPr>
          <w:trHeight w:val="851"/>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net sales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 vs 2019</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6.3 %</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(6.2)%</w:t>
            </w:r>
          </w:p>
        </w:tc>
      </w:tr>
      <w:tr>
        <w:trPr>
          <w:trHeight w:val="22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0.8</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3.3</w:t>
            </w:r>
          </w:p>
        </w:tc>
      </w:tr>
      <w:tr>
        <w:trPr>
          <w:trHeight w:val="223"/>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5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(2.9)</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50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1400" w:type="dxa"/>
            <w:vAlign w:val="bottom"/>
          </w:tcPr>
          <w:p>
            <w:pPr>
              <w:ind w:left="960"/>
              <w:spacing w:after="0"/>
              <w:rPr>
                <w:sz w:val="20"/>
                <w:szCs w:val="20"/>
                <w:color w:val="auto"/>
              </w:rPr>
            </w:pPr>
            <w:r>
              <w:rPr>
                <w:rFonts w:ascii="Arial" w:cs="Arial" w:eastAsia="Arial" w:hAnsi="Arial"/>
                <w:sz w:val="18"/>
                <w:szCs w:val="18"/>
                <w:color w:val="auto"/>
              </w:rPr>
              <w:t>5.8</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50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(0.8)</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8.1 %</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1"/>
              </w:rPr>
              <w:t>2.1 %</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right="3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volume across several of the product lines in our pool business due to consumers’ desire to invest in their pools and backyards while sheltering-in-place due to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sales volumes in our residential filtration product lines in North America and China during the second half of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that occurred in February 2019 and other small acquisitions in the fourth quarter of 2019 and during 2020.</w:t>
      </w:r>
    </w:p>
    <w:p>
      <w:pPr>
        <w:spacing w:after="0" w:line="200" w:lineRule="exact"/>
        <w:rPr>
          <w:sz w:val="20"/>
          <w:szCs w:val="20"/>
          <w:color w:val="auto"/>
        </w:rPr>
      </w:pPr>
    </w:p>
    <w:p>
      <w:pPr>
        <w:spacing w:after="0" w:line="294" w:lineRule="exact"/>
        <w:rPr>
          <w:sz w:val="20"/>
          <w:szCs w:val="20"/>
          <w:color w:val="auto"/>
        </w:rPr>
      </w:pPr>
    </w:p>
    <w:p>
      <w:pPr>
        <w:ind w:left="660" w:right="1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decreases for 2020 due to lower demand in the water treatment business as government-mandated shutdown and shelter-in-place orders and commercial closures due to the COVID-19 pandemic impacting the ability to reach customers;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higher-than-usual rebate activity that lowered price due to sales growth in our pool business.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due to the acquisitions of Aquion and Pelican in the first quarter of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volume declines in our pool business due to cold, wet weather during the first half of 2019 in key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higher than anticipated inventory levels in some of our key distribution channels impacting our pool business during the first nine months of 2019;</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volume declines in our residential and commercial components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from the prior period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Borders>
              <w:bottom w:val="single" w:sz="8" w:color="auto"/>
            </w:tcBorders>
          </w:tcPr>
          <w:p>
            <w:pPr>
              <w:ind w:left="860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(1.4) pts</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Acquisition (divestiture)</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56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(0.4)</w:t>
            </w:r>
          </w:p>
        </w:tc>
        <w:tc>
          <w:tcPr>
            <w:tcW w:w="260" w:type="dxa"/>
            <w:vAlign w:val="bottom"/>
          </w:tcPr>
          <w:p>
            <w:pPr>
              <w:spacing w:after="0"/>
              <w:rPr>
                <w:sz w:val="19"/>
                <w:szCs w:val="19"/>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(2.9)</w:t>
            </w:r>
          </w:p>
        </w:tc>
        <w:tc>
          <w:tcPr>
            <w:tcW w:w="260" w:type="dxa"/>
            <w:vAlign w:val="bottom"/>
            <w:shd w:val="clear" w:color="auto" w:fill="CCEEFF"/>
          </w:tcPr>
          <w:p>
            <w:pPr>
              <w:spacing w:after="0"/>
              <w:rPr>
                <w:sz w:val="19"/>
                <w:szCs w:val="19"/>
                <w:color w:val="auto"/>
              </w:rPr>
            </w:pPr>
          </w:p>
        </w:tc>
      </w:tr>
      <w:tr>
        <w:trPr>
          <w:trHeight w:val="229"/>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Productivity/Price</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0.2</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19"/>
                <w:szCs w:val="19"/>
                <w:color w:val="auto"/>
              </w:rPr>
            </w:pPr>
          </w:p>
        </w:tc>
      </w:tr>
      <w:tr>
        <w:trPr>
          <w:trHeight w:val="248"/>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0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1"/>
              </w:rPr>
              <w:t>(1.3)</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0.4 percentage point increase in segment income for Consumer Solutions as a percentage of net sales in 2020 from 2019 was primarily the result of:</w:t>
      </w:r>
    </w:p>
    <w:p>
      <w:pPr>
        <w:spacing w:after="0" w:line="1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volume in our pool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reduction in travel and entertainment, trade show and advertising expenses due to the COVID-19 pandemic and other cost reduction initiatives;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of Aquion and Pelican acquisitions;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sales volume in the higher margin commercial filtration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sales rebates and employee incentive compensation expense in line with increased sales in our pool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1.3 percentage point decrease in segment income for Consumer Solutions as a percentage of net sales in 2019 from 2018 was primarily the result of:</w:t>
      </w:r>
    </w:p>
    <w:p>
      <w:pPr>
        <w:spacing w:after="0" w:line="19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declines in core sales volume in our pool business resulting in unfavorable sales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investment in both research and development and sales and marketing to drive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productivity and cost savings generated from PIMS initiatives, including lean and supply management practices.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8"/>
                <w:szCs w:val="18"/>
                <w:b w:val="1"/>
                <w:bCs w:val="1"/>
                <w:color w:val="auto"/>
              </w:rPr>
              <w:t>% / point change</w:t>
            </w:r>
          </w:p>
        </w:tc>
        <w:tc>
          <w:tcPr>
            <w:tcW w:w="220" w:type="dxa"/>
            <w:vAlign w:val="bottom"/>
            <w:tcBorders>
              <w:bottom w:val="single" w:sz="8" w:color="auto"/>
            </w:tcBorders>
          </w:tcPr>
          <w:p>
            <w:pPr>
              <w:spacing w:after="0"/>
              <w:rPr>
                <w:sz w:val="20"/>
                <w:szCs w:val="20"/>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 vs 2019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b w:val="1"/>
                <w:bCs w:val="1"/>
                <w:color w:val="auto"/>
                <w:w w:val="94"/>
              </w:rPr>
              <w:t>2019 vs 2018</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1,344.1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164.6</w:t>
            </w:r>
          </w:p>
        </w:tc>
        <w:tc>
          <w:tcPr>
            <w:tcW w:w="46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199.0</w:t>
            </w:r>
          </w:p>
        </w:tc>
        <w:tc>
          <w:tcPr>
            <w:tcW w:w="34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i w:val="1"/>
                <w:iCs w:val="1"/>
                <w:color w:val="auto"/>
              </w:rPr>
              <w:t>12.9 %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14.8 %</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14.3 %</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pts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pts</w:t>
            </w:r>
          </w:p>
        </w:tc>
      </w:tr>
      <w:tr>
        <w:trPr>
          <w:trHeight w:val="850"/>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Industrial &amp; Flow Technologies net sales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3320"/>
              <w:spacing w:after="0"/>
              <w:rPr>
                <w:sz w:val="20"/>
                <w:szCs w:val="20"/>
                <w:color w:val="auto"/>
              </w:rPr>
            </w:pPr>
            <w:r>
              <w:rPr>
                <w:rFonts w:ascii="Arial" w:cs="Arial" w:eastAsia="Arial" w:hAnsi="Arial"/>
                <w:sz w:val="18"/>
                <w:szCs w:val="18"/>
                <w:b w:val="1"/>
                <w:bCs w:val="1"/>
                <w:color w:val="auto"/>
              </w:rPr>
              <w:t>2020 vs 2019</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 vs 2018</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72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(6.5)%</w:t>
            </w:r>
          </w:p>
        </w:tc>
        <w:tc>
          <w:tcPr>
            <w:tcW w:w="14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(1.4)%</w:t>
            </w:r>
          </w:p>
        </w:tc>
      </w:tr>
      <w:tr>
        <w:trPr>
          <w:trHeight w:val="22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4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0.9</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1.9</w:t>
            </w:r>
          </w:p>
        </w:tc>
      </w:tr>
      <w:tr>
        <w:trPr>
          <w:trHeight w:val="223"/>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472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(5.6)</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0.5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Acquisition (divestiture)</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Pr>
          <w:p>
            <w:pPr>
              <w:ind w:left="880"/>
              <w:spacing w:after="0"/>
              <w:rPr>
                <w:sz w:val="20"/>
                <w:szCs w:val="20"/>
                <w:color w:val="auto"/>
              </w:rPr>
            </w:pPr>
            <w:r>
              <w:rPr>
                <w:rFonts w:ascii="Arial" w:cs="Arial" w:eastAsia="Arial" w:hAnsi="Arial"/>
                <w:sz w:val="18"/>
                <w:szCs w:val="18"/>
                <w:color w:val="auto"/>
              </w:rPr>
              <w:t>(1.3)</w:t>
            </w: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(2.2)</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(5.2)%</w:t>
            </w: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4"/>
              </w:rPr>
              <w:t>(3.0)%</w:t>
            </w: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5.2 percent decrease in net sales for Industrial &amp; Flow Technologies in 2020 from 2019 was primarily the result of:</w:t>
      </w:r>
    </w:p>
    <w:p>
      <w:pPr>
        <w:spacing w:after="0" w:line="171" w:lineRule="exact"/>
        <w:rPr>
          <w:sz w:val="20"/>
          <w:szCs w:val="20"/>
          <w:color w:val="auto"/>
        </w:rPr>
      </w:pPr>
    </w:p>
    <w:p>
      <w:pPr>
        <w:ind w:left="660" w:right="60" w:hanging="328"/>
        <w:spacing w:after="0" w:line="286"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decreased sales volume in our commercial water supply and water disposal, industrial filtration and food and beverage businesses due to less project sales as a result of customers deferring their capital spending and less service and aftermarket revenue driven by reduced consumption and travel restrictions from government-mandated shutdowns and “shelter-in-place” orders due to the COVID-19 pandemic;</w:t>
      </w:r>
    </w:p>
    <w:p>
      <w:pPr>
        <w:spacing w:after="0" w:line="111" w:lineRule="exact"/>
        <w:rPr>
          <w:rFonts w:ascii="Arial" w:cs="Arial" w:eastAsia="Arial" w:hAnsi="Arial"/>
          <w:sz w:val="17"/>
          <w:szCs w:val="17"/>
          <w:color w:val="auto"/>
        </w:rPr>
      </w:pPr>
    </w:p>
    <w:p>
      <w:pPr>
        <w:ind w:left="660" w:right="5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sales volume in our residential and irrigation flow businesses in the first half of 2020 due to market conditions resulting from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right="2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volume in our residential and irrigation flow businesses in the second half of 2020 due to strong demand in the residential water supply, water disposal and specialty spray product lines;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growth in our infrastructure business as a result of strong backlog entering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3.0 percent decrease in net sales for Industrial &amp; Flow Technologies in 2019 from 2018 was primarily the result of:</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sales volume in our agriculture-related business due to cold, wet weather in the first half of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divestitures in our agriculture-related business in Brazil and commercial flow business in Australia.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i w:val="1"/>
                <w:iCs w:val="1"/>
                <w:color w:val="auto"/>
              </w:rPr>
              <w:t>This decrease was partially offset by:</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8980" w:type="dxa"/>
            <w:vAlign w:val="bottom"/>
          </w:tcPr>
          <w:p>
            <w:pPr>
              <w:ind w:left="340"/>
              <w:spacing w:after="0"/>
              <w:rPr>
                <w:sz w:val="20"/>
                <w:szCs w:val="20"/>
                <w:color w:val="auto"/>
              </w:rPr>
            </w:pPr>
            <w:r>
              <w:rPr>
                <w:rFonts w:ascii="Arial" w:cs="Arial" w:eastAsia="Arial" w:hAnsi="Arial"/>
                <w:sz w:val="18"/>
                <w:szCs w:val="18"/>
                <w:color w:val="auto"/>
              </w:rPr>
              <w:t>•   increased sales volume in our industrial filtration and food and beverage businesses; and</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980" w:type="dxa"/>
            <w:vAlign w:val="bottom"/>
          </w:tcPr>
          <w:p>
            <w:pPr>
              <w:ind w:left="340"/>
              <w:spacing w:after="0"/>
              <w:rPr>
                <w:sz w:val="20"/>
                <w:szCs w:val="20"/>
                <w:color w:val="auto"/>
              </w:rPr>
            </w:pPr>
            <w:r>
              <w:rPr>
                <w:rFonts w:ascii="Arial" w:cs="Arial" w:eastAsia="Arial" w:hAnsi="Arial"/>
                <w:sz w:val="18"/>
                <w:szCs w:val="18"/>
                <w:color w:val="auto"/>
              </w:rPr>
              <w:t>•   selective increases in selling prices to mitigate inflationary cost increases.</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64"/>
        </w:trPr>
        <w:tc>
          <w:tcPr>
            <w:tcW w:w="8980" w:type="dxa"/>
            <w:vAlign w:val="bottom"/>
          </w:tcPr>
          <w:p>
            <w:pPr>
              <w:spacing w:after="0"/>
              <w:rPr>
                <w:sz w:val="20"/>
                <w:szCs w:val="20"/>
                <w:color w:val="auto"/>
              </w:rPr>
            </w:pPr>
            <w:r>
              <w:rPr>
                <w:rFonts w:ascii="Arial" w:cs="Arial" w:eastAsia="Arial" w:hAnsi="Arial"/>
                <w:sz w:val="18"/>
                <w:szCs w:val="18"/>
                <w:b w:val="1"/>
                <w:bCs w:val="1"/>
                <w:i w:val="1"/>
                <w:iCs w:val="1"/>
                <w:color w:val="auto"/>
              </w:rPr>
              <w:t>Segment income</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w w:val="93"/>
              </w:rPr>
              <w:t>The components of the change in Industrial &amp; Flow Technologies segment income from the prior period were as follows:</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7"/>
        </w:trPr>
        <w:tc>
          <w:tcPr>
            <w:tcW w:w="8980" w:type="dxa"/>
            <w:vAlign w:val="bottom"/>
            <w:tcBorders>
              <w:bottom w:val="single" w:sz="8" w:color="auto"/>
            </w:tcBorders>
          </w:tcPr>
          <w:p>
            <w:pPr>
              <w:ind w:left="8600"/>
              <w:spacing w:after="0"/>
              <w:rPr>
                <w:sz w:val="20"/>
                <w:szCs w:val="20"/>
                <w:color w:val="auto"/>
              </w:rPr>
            </w:pPr>
            <w:r>
              <w:rPr>
                <w:rFonts w:ascii="Arial" w:cs="Arial" w:eastAsia="Arial" w:hAnsi="Arial"/>
                <w:sz w:val="18"/>
                <w:szCs w:val="18"/>
                <w:b w:val="1"/>
                <w:bCs w:val="1"/>
                <w:color w:val="auto"/>
                <w:w w:val="89"/>
              </w:rPr>
              <w:t>2020</w:t>
            </w: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4"/>
                <w:szCs w:val="24"/>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(2.5) pts</w:t>
            </w:r>
          </w:p>
        </w:tc>
        <w:tc>
          <w:tcPr>
            <w:tcW w:w="10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5"/>
              </w:rPr>
              <w:t>0.4</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Inflation</w:t>
            </w:r>
          </w:p>
        </w:tc>
        <w:tc>
          <w:tcPr>
            <w:tcW w:w="9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91"/>
              </w:rPr>
              <w:t>(2.5)</w:t>
            </w:r>
          </w:p>
        </w:tc>
        <w:tc>
          <w:tcPr>
            <w:tcW w:w="260" w:type="dxa"/>
            <w:vAlign w:val="bottom"/>
          </w:tcPr>
          <w:p>
            <w:pPr>
              <w:spacing w:after="0"/>
              <w:rPr>
                <w:sz w:val="19"/>
                <w:szCs w:val="19"/>
                <w:color w:val="auto"/>
              </w:rPr>
            </w:pPr>
          </w:p>
        </w:tc>
      </w:tr>
      <w:tr>
        <w:trPr>
          <w:trHeight w:val="230"/>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Productivity/Price</w:t>
            </w: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5"/>
              </w:rPr>
              <w:t>2.6</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 pts</w:t>
            </w:r>
          </w:p>
        </w:tc>
        <w:tc>
          <w:tcPr>
            <w:tcW w:w="10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5"/>
              </w:rPr>
              <w:t>0.5</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pts</w:t>
            </w:r>
          </w:p>
        </w:tc>
      </w:tr>
      <w:tr>
        <w:trPr>
          <w:trHeight w:val="21"/>
        </w:trPr>
        <w:tc>
          <w:tcPr>
            <w:tcW w:w="8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1.9 percentage point decrease in segment income for Industrial &amp; Flow Technologies as a percentage of net sales in 2020 from 2019 was primarily the result of:</w:t>
      </w:r>
    </w:p>
    <w:p>
      <w:pPr>
        <w:spacing w:after="0" w:line="116" w:lineRule="exact"/>
        <w:rPr>
          <w:sz w:val="20"/>
          <w:szCs w:val="20"/>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sales volumes in our residential and irrigation flow business in the first half of 2020 due to the COVID-19 pandemic, which resulted in decreased leverage on fixed operating expenses;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3" w:name="page34"/>
    <w:bookmarkEnd w:id="33"/>
    <w:p>
      <w:pPr>
        <w:ind w:left="660" w:right="50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decreased sales volume in our commercial water supply and water disposal, industrial filtration and food and beverage businesses due to the COVID-19 pandemic along with unfavorable mix within our commercial and infrastructure flow and industrial filtration businesses;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sales incentive expense in line with decreased sales;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 and lower operating expenses.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0.5 percentage point increase in segment income for Industrial &amp; Flow Technologies as a percentage of net sales in 2019 from 2018 was primarily the result of:</w:t>
      </w:r>
    </w:p>
    <w:p>
      <w:pPr>
        <w:spacing w:after="0" w:line="11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productivity;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volume and favorable mix in our industrial filtration and food and beverage businesses.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5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89"/>
              </w:rPr>
              <w:t>December 31</w:t>
            </w:r>
          </w:p>
        </w:tc>
        <w:tc>
          <w:tcPr>
            <w:tcW w:w="1420" w:type="dxa"/>
            <w:vAlign w:val="bottom"/>
            <w:tcBorders>
              <w:bottom w:val="single" w:sz="8" w:color="auto"/>
            </w:tcBorders>
          </w:tcPr>
          <w:p>
            <w:pPr>
              <w:spacing w:after="0"/>
              <w:rPr>
                <w:sz w:val="22"/>
                <w:szCs w:val="22"/>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 change</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232.2 %</w:t>
            </w: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358.4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substantial portion of our revenues result from orders received and products delivered in the same month. Our backlog typically has a short manufacturing cycle and products generally ship within 90 days of the date on which a customer places an order. However,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The increase in our backlog at December 31, 2020 compared to 2019 was mainly a result of increased demand in our pool business. We expect the majority of our backlog at December 31, 2020 will be shipped in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2020 and drew on our revolving credit facility to repay commercial paper and to fund our operations. This cash usage reversed in the second quarter of 2020 as the seasonality of our businesses peaked. Consistent with historical seasonal patterns, the second quarter of 2020 generated significant cash to fund our operations and we used this cash to significantly reduce the draw on our revolving credit facility. We continued to experience strong cash flow in the second half of 2020, causing our revolving credit facility balance to remain low at December 31, 2020 compared to the prior year end.</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End-user demand for pool and certain pumping equipment follows warm weather trends and is at seasonal highs from April to August. The magnitude of the sales spike is partially mitigated by employing some advance sale “early buy” programs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right="500"/>
        <w:spacing w:after="0" w:line="277" w:lineRule="auto"/>
        <w:rPr>
          <w:sz w:val="20"/>
          <w:szCs w:val="20"/>
          <w:color w:val="auto"/>
        </w:rPr>
      </w:pPr>
      <w:r>
        <w:rPr>
          <w:rFonts w:ascii="Arial" w:cs="Arial" w:eastAsia="Arial" w:hAnsi="Arial"/>
          <w:sz w:val="18"/>
          <w:szCs w:val="18"/>
          <w:color w:val="auto"/>
        </w:rPr>
        <w:t>(generally including extended payment terms and/or additional discounts). Demand for residential and agricultural water systems is also impacted by weather patterns, particularly by temperature, heavy flooding and droughts.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 impact of the COVID-19 pandemic on our future results is uncertain,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continuing operations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5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$574.2</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$345.2</w:t>
            </w:r>
          </w:p>
        </w:tc>
        <w:tc>
          <w:tcPr>
            <w:tcW w:w="102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230"/>
        </w:trPr>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(117.9)</w:t>
            </w:r>
          </w:p>
        </w:tc>
        <w:tc>
          <w:tcPr>
            <w:tcW w:w="1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(435.9)</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(17.1)</w:t>
            </w:r>
          </w:p>
        </w:tc>
        <w:tc>
          <w:tcPr>
            <w:tcW w:w="1020" w:type="dxa"/>
            <w:vAlign w:val="bottom"/>
          </w:tcPr>
          <w:p>
            <w:pPr>
              <w:jc w:val="right"/>
              <w:spacing w:after="0"/>
              <w:rPr>
                <w:sz w:val="20"/>
                <w:szCs w:val="20"/>
                <w:color w:val="auto"/>
              </w:rPr>
            </w:pPr>
            <w:r>
              <w:rPr>
                <w:rFonts w:ascii="Arial" w:cs="Arial" w:eastAsia="Arial" w:hAnsi="Arial"/>
                <w:sz w:val="18"/>
                <w:szCs w:val="18"/>
                <w:color w:val="auto"/>
              </w:rPr>
              <w:t>(407.9)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2020, net cash provided by operating activities of continuing operations primarily reflects net income from continuing operations of $432.2 million, net of non-cash depreciation and amortization. Additionally, the Company had a cash inflow of $109.5 million as a result of changes in net working capital, primarily the result of accounts receivables collections and reduced accounts receivables due to the pool business early buy program shipments with extended payment terms moving from the fourth quarter of 2020 into 2021 due to continued strong demand.</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2019, net cash provided by operating activities of continuing operations primarily reflects net income from continuing operations of $462.9 million, net of non-cash depreciation, amortization and asset impairment, partially offset by a cash outflow of $105.4 million as a result of changes in net working capital and $20.9 million of pension and other post-retirement plan contributions, including $11.1 million of contributions made in conjunction with the termination of the Pentair Salaried Plan during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Net cash used for investing activities of continuing operations in 2020 primarily reflects capital expenditures of $62.2 million and cash paid for acquisitions of $58.0 million in our Consumer Solutions reporting segment, net of cash acquired.</w:t>
      </w:r>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Net cash used for investing activities of continuing operations in 2019 primarily reflects capital expenditures of $58.5 million and cash paid for the Aquion and Pelican acquisitions, partially offset by $15.3 million of proceeds received from divestitures primarily related to our former aquaculture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In 2020, net cash used for financing activities primarily relates to repayment of commercial paper and revolving long-term debt of $117.5 million, repayment of the 3.625% Senior Notes due in 2020 of $74.0 million, $150.2 million of share repurchases and dividend payments of $127.1 million.</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2019, net cash used for financing activities primarily relates to repayment of senior notes due in 2019 totaling $401.5 million, $150.0 million of share repurchases and payment of dividends of $122.7 million, partially offset by proceeds from long-term debt of $600.0 million and net receipts of commercial paper and revolving long-term debt of $51.5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equals or exceeds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 from continuing operations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Net cash (used for) provided by operating activities of discontinued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Capital expenditures of discontinued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
        </w:trPr>
        <w:tc>
          <w:tcPr>
            <w:tcW w:w="6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December 31,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December 31, 2020, total availability under the Senior Credit Facility was $863.9 million.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Our debt agreements contain various financial covenants. As of December 31, 2020, we were in compliance with all financial covenants in our debt agreements.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December 31, 2020. Borrowings under these credit facilities bear interest at variable rates.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December 31, 2020 as we have the intent and ability to refinance such obligation on a long-term basis under the Senior Credit Facility.</w:t>
      </w:r>
    </w:p>
    <w:p>
      <w:pPr>
        <w:spacing w:after="0" w:line="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2020, we had $56.9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expires on May 31, 2021. On December 8, 2020, the Board of Directors authorized the repurchase of our ordinary shares up to a maximum dollar limit of $750.0 million (the “2020 Authorization”). The 2020 Authorization expires on December 31, 2025. The 2020 Authorization supplements the 2018 Authorization.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we repurchased 4.0 million of our ordinary shares for $150.0 million under the 2018 Authorization.</w:t>
      </w:r>
    </w:p>
    <w:p>
      <w:pPr>
        <w:spacing w:after="0" w:line="183"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During the year ended December 31, 2020, we repurchased 3.7 million of our ordinary shares for $150.2 million under the 2018 Authorization. As of December 31, 2020, we had $99.7 million and $750.0 million available for share repurchases under the 2018 Authorization and 2020 Authorization,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December 8, 2020, the Board of Directors approved a 5 percent increase in the Company’s regular quarterly dividend rate (from $0.19 per share to $0.20 per share) that was paid on February 5, 2021 to shareholders of record at the close of business on January 22, 2021.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$33.2 million at December 31, 2020. Dividends paid per ordinary share were $0.76, $0.72 and $1.05 for the years ended December 31, 2020, 2019 and 2018, respectively.</w:t>
      </w:r>
    </w:p>
    <w:p>
      <w:pPr>
        <w:spacing w:after="0" w:line="13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GAAP reported amount (e.g., retained earnings). Our distributable reserve balance was $8.8 billion and $6.6 billion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13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following table presents summarized financial information as of December 31, 2020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00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4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40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40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6"/>
        </w:trPr>
        <w:tc>
          <w:tcPr>
            <w:tcW w:w="54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40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bl>
    <w:p>
      <w:pPr>
        <w:ind w:left="200" w:hanging="174"/>
        <w:spacing w:after="0" w:line="216" w:lineRule="auto"/>
        <w:tabs>
          <w:tab w:leader="none" w:pos="20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$2.8 million.</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$1,028.5 million.</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$556.6 million.</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$495.2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that impact our liquidity: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Interest obligations on fixed-rate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Operating lease obligations, net of sublease</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rentals</w:t>
            </w: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Purchase and marketing obligations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Pension and other post-retirement plan</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contractual obligations,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3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 addition to the summary of significant contractual obligations, we will incur annual interest expense on outstanding variable rate debt. As of December 31, 2020, variable interest rate debt was $236.1 million at a weighted average interest rate of 1.23%.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400"/>
        <w:spacing w:after="0" w:line="311" w:lineRule="auto"/>
        <w:rPr>
          <w:sz w:val="20"/>
          <w:szCs w:val="20"/>
          <w:color w:val="auto"/>
        </w:rPr>
      </w:pPr>
      <w:r>
        <w:rPr>
          <w:rFonts w:ascii="Arial" w:cs="Arial" w:eastAsia="Arial" w:hAnsi="Arial"/>
          <w:sz w:val="16"/>
          <w:szCs w:val="16"/>
          <w:color w:val="auto"/>
        </w:rPr>
        <w:t xml:space="preserve">The total gross liability for uncertain tax positions at December 31, 2020 was estimated to be $46.3 million. We record penalties and interest related to unrecognized tax benefits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and </w:t>
      </w:r>
      <w:r>
        <w:rPr>
          <w:rFonts w:ascii="Arial" w:cs="Arial" w:eastAsia="Arial" w:hAnsi="Arial"/>
          <w:sz w:val="16"/>
          <w:szCs w:val="16"/>
          <w:i w:val="1"/>
          <w:iCs w:val="1"/>
          <w:color w:val="auto"/>
        </w:rPr>
        <w:t>Net interest expense</w:t>
      </w:r>
      <w:r>
        <w:rPr>
          <w:rFonts w:ascii="Arial" w:cs="Arial" w:eastAsia="Arial" w:hAnsi="Arial"/>
          <w:sz w:val="16"/>
          <w:szCs w:val="16"/>
          <w:color w:val="auto"/>
        </w:rPr>
        <w:t>, respectively, which is consistent with our past practices. As of December 31, 2020, we had recorded $0.2 million for the possible payment of penalties and $4.6 million related to the possible payment of interest.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no off-balance sheet financing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2020 and 2019, the outstanding value of bonds, letters of credit and bank guarantees totaled $99.1 million and $91.3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ITEM 8, Note 1 of the Notes to Consolidated Financial Statements, included in this Form 10-K, for information pertaining to recently adopted accounting standards or accounting standards to be adopted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0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requires us to make assumptions about matters that were uncertain at the time we were making the estimate;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would have had a material impact on our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estimates include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2020,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The non-recurring fair value measurement is a “Level 3” measurement under the fair value hierarchy. For the 2020 annual impairment test, the estimated fair value exceeded the carrying value in each of our reporting units, therefore, no impairment charge was required.</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2019, a qualitative assessment was performed. We determined that it was more likely than not that the fair value of the reporting units exceeded their respective carrying values. Factors considered in the analysis included the last discounted cash flow fair value assessment of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ind w:right="120"/>
        <w:spacing w:after="0" w:line="279" w:lineRule="auto"/>
        <w:rPr>
          <w:sz w:val="20"/>
          <w:szCs w:val="20"/>
          <w:color w:val="auto"/>
        </w:rPr>
      </w:pPr>
      <w:r>
        <w:rPr>
          <w:rFonts w:ascii="Arial" w:cs="Arial" w:eastAsia="Arial" w:hAnsi="Arial"/>
          <w:sz w:val="17"/>
          <w:szCs w:val="17"/>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charge recorded in any of the years presented for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a pre-tax loss of $6.7 million in 2020, a pre-tax gain of $3.4 million in 2019 and a pre-tax loss of $3.6 million in 2018. The remaining components of pension expense, including service and interest costs and the expected return on plan assets, are recorded on a quarterly basis as ongoing pension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 of return</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determined estimates. Additionally, we record receivables from third party insurers when recovery has been determined to be probable.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right="160"/>
        <w:spacing w:after="0" w:line="255" w:lineRule="auto"/>
        <w:rPr>
          <w:sz w:val="20"/>
          <w:szCs w:val="20"/>
          <w:color w:val="auto"/>
        </w:rPr>
      </w:pPr>
      <w:r>
        <w:rPr>
          <w:rFonts w:ascii="Arial" w:cs="Arial" w:eastAsia="Arial" w:hAnsi="Arial"/>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13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debt portfolio as of December 31, 2020, was comprised of debt predominantly denominated in U.S. dollars. This debt portfolio is comprised of 72% fixed-rate debt and 28%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fixed-rate debt included in our debt portfolio, as of December 31, 2020, a 100 basis point increase or decrease in interest rates would result in a $37.6 million decrease or $40.9 million increase in fair value, respectively.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variable-rate debt included in our debt portfolio as of December 31, 2020, a 100 basis point increase or decrease in interest rates would result in a $2.4 million increase or decrease in interest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2" w:name="page43"/>
    <w:bookmarkEnd w:id="42"/>
    <w:p>
      <w:pPr>
        <w:ind w:right="40"/>
        <w:spacing w:after="0" w:line="273" w:lineRule="auto"/>
        <w:rPr>
          <w:sz w:val="20"/>
          <w:szCs w:val="20"/>
          <w:color w:val="auto"/>
        </w:rPr>
      </w:pPr>
      <w:r>
        <w:rPr>
          <w:rFonts w:ascii="Arial" w:cs="Arial" w:eastAsia="Arial" w:hAnsi="Arial"/>
          <w:sz w:val="17"/>
          <w:szCs w:val="17"/>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2020, we had outstanding foreign currency derivative contracts with gross notional U.S. dollar equivalent amounts of $12.4 million.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and subsequently recognized in the Consolidated Statements of Operations and Comprehensive Income when the hedged item affects earnings.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December 31, 2020, we had outstanding cross currency swap agreements with a combined notional amount of $855.1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of the U.S. dollar relative to the Euro would result in a $63.7 million net increase in accumulated other comprehensive income. Conversely, a 10% depreciation of the U.S. dollar relative to the Euro would result in an $57.0 million net decrease in accumulated other comprehensive income. However, these increases and decreases in other comprehensive income would be offset by decreases or increases in the hedged items on our balance sheet.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2020. In making this assessment, management used the criteria for effective internal control over financial reporting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this assessment, management believes that, as of December 31, 2020, the Company’s internal control over financial reporting was effective based on those criteria.</w:t>
      </w:r>
    </w:p>
    <w:p>
      <w:pPr>
        <w:spacing w:after="0" w:line="11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has issued an attestation report on the Company’s internal control over financial reporting as of December 31, 2020. That attestation report is set forth immediately following this management report.</w:t>
      </w:r>
    </w:p>
    <w:p>
      <w:pPr>
        <w:sectPr>
          <w:pgSz w:w="11900" w:h="16838" w:orient="portrait"/>
          <w:cols w:equalWidth="0" w:num="1">
            <w:col w:w="11200"/>
          </w:cols>
          <w:pgMar w:left="320" w:top="891" w:right="379" w:bottom="1440" w:gutter="0" w:footer="0" w:header="0"/>
        </w:sect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L. Stauch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Robert P.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Vice President, Chief Financial Officer and Chief Accounting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ectPr>
          <w:pgSz w:w="11900" w:h="16838" w:orient="portrait"/>
          <w:cols w:equalWidth="0" w:num="2">
            <w:col w:w="5200" w:space="720"/>
            <w:col w:w="5280"/>
          </w:cols>
          <w:pgMar w:left="320" w:top="89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4" w:name="page45"/>
    <w:bookmarkEnd w:id="44"/>
    <w:p>
      <w:pPr>
        <w:ind w:right="502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Pentair plc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Pentair plc and subsidiaries (the “Company”) as of December 31, 2020,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16, 2021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5" w:name="page46"/>
    <w:bookmarkEnd w:id="45"/>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Pentair plc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Pentair plc and subsidiaries (the “Company”) as of December 31, 2020 and 2019, the related consolidated statements of operations and comprehensive income, cash flows, and changes in equity,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16, 2021,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Indefinite-lived Trade Names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Valuation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Notes 1 and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Company’s evaluation of indefinite-lived trade names for impairment involves the comparison of the estimated fair value of each indefinite-lived trade name to its carrying value. The Company determines the estimated fair value of its trade names using the income approach, more specifically, the relief-from-royalty method. The determination of the estimated fair value using the relief-from-royalty method requires management to make significant estimates and assumptions including selecting appropriate royalty and weighted average cost of capital (“WACC”) rates and forecasting future revenues for the related brands. Changes in these assumptions could have a significant impact on the estimated fair value of indefinite-lived trade names. For certain of the Company’s indefinite-lived trade names, a significant change in estimated fair value could cause a significant impairment.</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indefinite-lived trade names balance was $180.6 million as of December 31, 2020, of which certain trade names are higher risk for impairment. When identifying the higher risk indefinite-lived trade names, we considered the relationship of their fair value to carrying value. The estimated fair values of these trade names exceeded their carrying values as of the measurement date and, therefore, no impairment was recognized.</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18"/>
          <w:szCs w:val="18"/>
          <w:color w:val="auto"/>
        </w:rPr>
        <w:t>Given the level of judgment involved, management uses a third-party fair value specialist to assist in establishing the royalty and WACC rate assumptions. The future trade name revenues are sensitive to changes in demand, and the short-term growth rates have increased uncertainty as a result of the COVID-19 pandemic. Auditing these assumptions involved a high degree of auditor judgment, and an increased extent of audit effort, including the need to involve our fair value specialists.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audit procedures related to the forecasts of future trade name revenues and selection of the royalty and WACC rates included the following, among others:</w:t>
      </w:r>
    </w:p>
    <w:p>
      <w:pPr>
        <w:spacing w:after="0" w:line="117" w:lineRule="exact"/>
        <w:rPr>
          <w:sz w:val="20"/>
          <w:szCs w:val="20"/>
          <w:color w:val="auto"/>
        </w:rPr>
      </w:pPr>
    </w:p>
    <w:p>
      <w:pPr>
        <w:ind w:left="660" w:right="8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tested the effectiveness of controls over indefinite-lived trade names impairment evaluation, including those over management’s review of the trade name revenue forecasts and the selection of the royalty and WACC rates to be used in the valuation.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assessed management’s ability to prepare accurate trade name revenue forecasts by performing a retrospective review to compare actual results to management’s historical forecasts.</w:t>
      </w:r>
    </w:p>
    <w:p>
      <w:pPr>
        <w:spacing w:after="0" w:line="116"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evaluated the reasonableness of management’s trade name revenue forecasts by inquiring of management regarding the forecasts and comparing the forecasts to (1) historical results, (2) internal communications to management and the Board of Directors, (3) forecasted information included in Company press releases, (4) underlying analysis detailing business strategies and growth plans, and (5) current industry, market and economic trends.</w:t>
      </w:r>
    </w:p>
    <w:p>
      <w:pPr>
        <w:spacing w:after="0" w:line="13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also performed sensitivity analyses to evaluate the impact that changes in the significant assumptions would have on the fair value of the trade names.</w:t>
      </w:r>
    </w:p>
    <w:p>
      <w:pPr>
        <w:spacing w:after="0" w:line="116" w:lineRule="exact"/>
        <w:rPr>
          <w:rFonts w:ascii="Arial" w:cs="Arial" w:eastAsia="Arial" w:hAnsi="Arial"/>
          <w:sz w:val="18"/>
          <w:szCs w:val="18"/>
          <w:color w:val="auto"/>
        </w:rPr>
      </w:pPr>
    </w:p>
    <w:p>
      <w:pPr>
        <w:ind w:left="660" w:right="20" w:hanging="328"/>
        <w:spacing w:after="0" w:line="31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royalty and WACC rates used by management in the valuation, including (1) testing the underlying source information and the mathematical calculations, (2) developing a range of independent estimates and comparing those to the WACC rate selected by management, and (3) comparing the selected royalty rate to market data for comparable licensing agreement rates.</w:t>
      </w:r>
    </w:p>
    <w:p>
      <w:pPr>
        <w:spacing w:after="0" w:line="95" w:lineRule="exact"/>
        <w:rPr>
          <w:sz w:val="20"/>
          <w:szCs w:val="20"/>
          <w:color w:val="auto"/>
        </w:rPr>
      </w:pPr>
    </w:p>
    <w:p>
      <w:pPr>
        <w:ind w:right="2900"/>
        <w:spacing w:after="0" w:line="43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Completeness of Uncertain Tax Positions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Notes 1 and 10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assesses uncertain tax positions (“UTPs”)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2020, the Company’s recorded UTP balance was $46.3 million.</w:t>
      </w:r>
    </w:p>
    <w:p>
      <w:pPr>
        <w:spacing w:after="0" w:line="216"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The UTP analysis is complex as it includes numerous tax jurisdictions and varying applications of tax laws. Given the multiple jurisdictions in which the Company operates and the complexity of tax law, auditing the completeness of UTPs involved a high degree of auditor judgment, and an increased extent of audit effort, including the need to involve our tax specialists.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to evaluate the completeness of UTPs in material jurisdictions included the following, among others:</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determination of the existence of UTPs.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assessed the Company’s determination of the existence of UTPs. In particular, our procedures included: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Evaluating the Company’s significant judgments related to completeness of UTPs in material jurisdictions:</w:t>
      </w:r>
    </w:p>
    <w:p>
      <w:pPr>
        <w:spacing w:after="0" w:line="171" w:lineRule="exact"/>
        <w:rPr>
          <w:rFonts w:ascii="Arial" w:cs="Arial" w:eastAsia="Arial" w:hAnsi="Arial"/>
          <w:sz w:val="18"/>
          <w:szCs w:val="18"/>
          <w:color w:val="auto"/>
        </w:rPr>
      </w:pPr>
    </w:p>
    <w:p>
      <w:pPr>
        <w:ind w:left="1960" w:right="40" w:hanging="332"/>
        <w:spacing w:after="0" w:line="261" w:lineRule="auto"/>
        <w:tabs>
          <w:tab w:leader="none" w:pos="1956" w:val="left"/>
        </w:tabs>
        <w:numPr>
          <w:ilvl w:val="2"/>
          <w:numId w:val="43"/>
        </w:numPr>
        <w:rPr>
          <w:rFonts w:ascii="Arial" w:cs="Arial" w:eastAsia="Arial" w:hAnsi="Arial"/>
          <w:sz w:val="18"/>
          <w:szCs w:val="18"/>
          <w:color w:val="auto"/>
        </w:rPr>
      </w:pPr>
      <w:r>
        <w:rPr>
          <w:rFonts w:ascii="Arial" w:cs="Arial" w:eastAsia="Arial" w:hAnsi="Arial"/>
          <w:sz w:val="18"/>
          <w:szCs w:val="18"/>
          <w:color w:val="auto"/>
        </w:rPr>
        <w:t>We performed inquiries of management to assess whether they are aware of any new items or significant changes to the business that would impact the UTP assessment or give rise to new UTPs.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ind w:left="1960" w:hanging="332"/>
        <w:spacing w:after="0" w:line="324" w:lineRule="auto"/>
        <w:tabs>
          <w:tab w:leader="none" w:pos="19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evaluated the following: technical merits of existing UTPs, technical merits of potential UTPs, and significant transactions and their tax implications, including the completeness and accuracy of the underlying data supporting the transactions.</w:t>
      </w:r>
    </w:p>
    <w:p>
      <w:pPr>
        <w:spacing w:after="0" w:line="70" w:lineRule="exact"/>
        <w:rPr>
          <w:rFonts w:ascii="Arial" w:cs="Arial" w:eastAsia="Arial" w:hAnsi="Arial"/>
          <w:sz w:val="16"/>
          <w:szCs w:val="16"/>
          <w:color w:val="auto"/>
        </w:rPr>
      </w:pPr>
    </w:p>
    <w:p>
      <w:pPr>
        <w:ind w:left="1940" w:hanging="312"/>
        <w:spacing w:after="0"/>
        <w:tabs>
          <w:tab w:leader="none" w:pos="1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assessed the appropriateness and consistency of management’s methods and assumptions used in identifying UTPs.</w:t>
      </w:r>
    </w:p>
    <w:p>
      <w:pPr>
        <w:spacing w:after="0" w:line="180" w:lineRule="exact"/>
        <w:rPr>
          <w:rFonts w:ascii="Arial" w:cs="Arial" w:eastAsia="Arial" w:hAnsi="Arial"/>
          <w:sz w:val="16"/>
          <w:szCs w:val="16"/>
          <w:color w:val="auto"/>
        </w:rPr>
      </w:pPr>
    </w:p>
    <w:p>
      <w:pPr>
        <w:ind w:left="1940" w:hanging="312"/>
        <w:spacing w:after="0"/>
        <w:tabs>
          <w:tab w:leader="none" w:pos="1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former and ongoing tax audits by tax authorities.</w:t>
      </w:r>
    </w:p>
    <w:p>
      <w:pPr>
        <w:spacing w:after="0" w:line="157" w:lineRule="exact"/>
        <w:rPr>
          <w:rFonts w:ascii="Arial" w:cs="Arial" w:eastAsia="Arial" w:hAnsi="Arial"/>
          <w:sz w:val="18"/>
          <w:szCs w:val="18"/>
          <w:color w:val="auto"/>
        </w:rPr>
      </w:pPr>
    </w:p>
    <w:p>
      <w:pPr>
        <w:ind w:left="1940" w:hanging="312"/>
        <w:spacing w:after="0"/>
        <w:tabs>
          <w:tab w:leader="none" w:pos="1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considered changes in and assessed the Company’s interpretation of applicable tax laws.</w:t>
      </w:r>
    </w:p>
    <w:p>
      <w:pPr>
        <w:spacing w:after="0" w:line="157" w:lineRule="exact"/>
        <w:rPr>
          <w:rFonts w:ascii="Arial" w:cs="Arial" w:eastAsia="Arial" w:hAnsi="Arial"/>
          <w:sz w:val="18"/>
          <w:szCs w:val="18"/>
          <w:color w:val="auto"/>
        </w:rPr>
      </w:pPr>
    </w:p>
    <w:p>
      <w:pPr>
        <w:ind w:left="1960" w:right="140" w:hanging="332"/>
        <w:spacing w:after="0" w:line="324" w:lineRule="auto"/>
        <w:tabs>
          <w:tab w:leader="none" w:pos="19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inspected the Company’s filed tax returns and the tax provision to obtain an understanding of significant differences. We assessed whether the appropriate UTPs were recorded as well as whether any additional UTPs needed to be considered.</w:t>
      </w:r>
    </w:p>
    <w:p>
      <w:pPr>
        <w:spacing w:after="0" w:line="70" w:lineRule="exact"/>
        <w:rPr>
          <w:rFonts w:ascii="Arial" w:cs="Arial" w:eastAsia="Arial" w:hAnsi="Arial"/>
          <w:sz w:val="16"/>
          <w:szCs w:val="16"/>
          <w:color w:val="auto"/>
        </w:rPr>
      </w:pPr>
    </w:p>
    <w:p>
      <w:pPr>
        <w:ind w:left="1960" w:right="60" w:hanging="332"/>
        <w:spacing w:after="0" w:line="261" w:lineRule="auto"/>
        <w:tabs>
          <w:tab w:leader="none" w:pos="19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financial statement disclosures, including judgments associated with unrecognized tax benefits that could increase or decrease within 12 months of the reporting date.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57" w:right="5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88"/>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per-share data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3,017.8</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2,965.1</w:t>
            </w:r>
          </w:p>
        </w:tc>
      </w:tr>
      <w:tr>
        <w:trPr>
          <w:trHeight w:val="186"/>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goods sold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1,917.4</w:t>
            </w: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1,057.6</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1,051.5</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1,047.7</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520.5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540.1</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534.3</w:t>
            </w:r>
          </w:p>
        </w:tc>
      </w:tr>
      <w:tr>
        <w:trPr>
          <w:trHeight w:val="18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83"/>
        </w:trPr>
        <w:tc>
          <w:tcPr>
            <w:tcW w:w="69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461.4</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432.5</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436.7</w:t>
            </w:r>
          </w:p>
        </w:tc>
      </w:tr>
      <w:tr>
        <w:trPr>
          <w:trHeight w:val="19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Loss (gain) on sale of businesses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Net 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23.9</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18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694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407.5</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379.8</w:t>
            </w:r>
          </w:p>
        </w:tc>
      </w:tr>
      <w:tr>
        <w:trPr>
          <w:trHeight w:val="18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85"/>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361.7</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321.7</w:t>
            </w:r>
          </w:p>
        </w:tc>
      </w:tr>
      <w:tr>
        <w:trPr>
          <w:trHeight w:val="187"/>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159"/>
        </w:trPr>
        <w:tc>
          <w:tcPr>
            <w:tcW w:w="694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tcPr>
          <w:p>
            <w:pPr>
              <w:jc w:val="right"/>
              <w:ind w:right="168"/>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358.6</w:t>
            </w:r>
          </w:p>
        </w:tc>
        <w:tc>
          <w:tcPr>
            <w:tcW w:w="320" w:type="dxa"/>
            <w:vAlign w:val="bottom"/>
            <w:tcBorders>
              <w:bottom w:val="single" w:sz="8" w:color="auto"/>
            </w:tcBorders>
          </w:tcPr>
          <w:p>
            <w:pPr>
              <w:jc w:val="right"/>
              <w:ind w:right="168"/>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355.7</w:t>
            </w:r>
          </w:p>
        </w:tc>
        <w:tc>
          <w:tcPr>
            <w:tcW w:w="340" w:type="dxa"/>
            <w:vAlign w:val="bottom"/>
            <w:tcBorders>
              <w:bottom w:val="single" w:sz="8" w:color="auto"/>
            </w:tcBorders>
          </w:tcPr>
          <w:p>
            <w:pPr>
              <w:jc w:val="right"/>
              <w:ind w:right="168"/>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347.4</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net of tax</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358.6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355.7</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347.4</w:t>
            </w:r>
          </w:p>
        </w:tc>
      </w:tr>
      <w:tr>
        <w:trPr>
          <w:trHeight w:val="19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cumulative translation adjustment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6"/>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10"/>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Earnings (loss) per ordinary share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Basic</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8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18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ordinary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Diluted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18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ordinary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ordinary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169.4</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175.8</w:t>
            </w:r>
          </w:p>
        </w:tc>
      </w:tr>
      <w:tr>
        <w:trPr>
          <w:trHeight w:val="19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ind w:left="4540"/>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Accounts receivable, net of allowances of $8.4 and $10.3,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367.5</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301.2</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2,392.2</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shd w:val="clear" w:color="auto" w:fill="CCEEFF"/>
          </w:tcPr>
          <w:p>
            <w:pPr>
              <w:ind w:left="478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772.5</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839.6</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2,090.9</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2,185.6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Ordinary shares $0.01 par value, 426.0 authorized, 166.1 and 168.3 issued at December 31, 2020 and 2019,</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1,777.7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7"/>
          <w:szCs w:val="17"/>
          <w:b w:val="1"/>
          <w:bCs w:val="1"/>
          <w:color w:val="auto"/>
        </w:rPr>
        <w:t>Pentair plc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70"/>
        </w:trPr>
        <w:tc>
          <w:tcPr>
            <w:tcW w:w="75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2018</w:t>
            </w:r>
          </w:p>
        </w:tc>
      </w:tr>
      <w:tr>
        <w:trPr>
          <w:trHeight w:val="175"/>
        </w:trPr>
        <w:tc>
          <w:tcPr>
            <w:tcW w:w="7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358.6</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355.7</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347.4</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70"/>
        </w:trPr>
        <w:tc>
          <w:tcPr>
            <w:tcW w:w="7580" w:type="dxa"/>
            <w:vAlign w:val="bottom"/>
          </w:tcPr>
          <w:p>
            <w:pPr>
              <w:spacing w:after="0"/>
              <w:rPr>
                <w:sz w:val="20"/>
                <w:szCs w:val="20"/>
                <w:color w:val="auto"/>
              </w:rPr>
            </w:pPr>
            <w:r>
              <w:rPr>
                <w:rFonts w:ascii="Arial" w:cs="Arial" w:eastAsia="Arial" w:hAnsi="Arial"/>
                <w:sz w:val="13"/>
                <w:szCs w:val="13"/>
                <w:b w:val="1"/>
                <w:bCs w:val="1"/>
                <w:color w:val="auto"/>
                <w:w w:val="91"/>
              </w:rPr>
              <w:t>Adjustments to reconcile net income from continuing operations to net cash provided by operating activities of continuing operations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Equity income of unconsolidated subsidiaries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Depreciation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46.7</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49.7</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Amortization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Loss (gain) on sale of businesses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Loss on early extinguishment of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Pension and other post-retirement expense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Pension and other post-retirement contributions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(20.9)</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Changes in assets and liabilities, net of effects of business acquisitions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68"/>
        </w:trPr>
        <w:tc>
          <w:tcPr>
            <w:tcW w:w="7580" w:type="dxa"/>
            <w:vAlign w:val="bottom"/>
          </w:tcPr>
          <w:p>
            <w:pPr>
              <w:ind w:left="34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148.3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(17.5)</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r>
      <w:tr>
        <w:trPr>
          <w:trHeight w:val="168"/>
        </w:trPr>
        <w:tc>
          <w:tcPr>
            <w:tcW w:w="7580" w:type="dxa"/>
            <w:vAlign w:val="bottom"/>
          </w:tcPr>
          <w:p>
            <w:pPr>
              <w:ind w:left="340"/>
              <w:spacing w:after="0"/>
              <w:rPr>
                <w:sz w:val="20"/>
                <w:szCs w:val="20"/>
                <w:color w:val="auto"/>
              </w:rPr>
            </w:pPr>
            <w:r>
              <w:rPr>
                <w:rFonts w:ascii="Arial" w:cs="Arial" w:eastAsia="Arial" w:hAnsi="Arial"/>
                <w:sz w:val="13"/>
                <w:szCs w:val="13"/>
                <w:color w:val="auto"/>
              </w:rPr>
              <w:t>Other current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(18.4)</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r>
      <w:tr>
        <w:trPr>
          <w:trHeight w:val="168"/>
        </w:trPr>
        <w:tc>
          <w:tcPr>
            <w:tcW w:w="7580" w:type="dxa"/>
            <w:vAlign w:val="bottom"/>
          </w:tcPr>
          <w:p>
            <w:pPr>
              <w:ind w:left="340"/>
              <w:spacing w:after="0"/>
              <w:rPr>
                <w:sz w:val="20"/>
                <w:szCs w:val="20"/>
                <w:color w:val="auto"/>
              </w:rPr>
            </w:pPr>
            <w:r>
              <w:rPr>
                <w:rFonts w:ascii="Arial" w:cs="Arial" w:eastAsia="Arial" w:hAnsi="Arial"/>
                <w:sz w:val="13"/>
                <w:szCs w:val="13"/>
                <w:color w:val="auto"/>
              </w:rPr>
              <w:t>Employee compensation and benefits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42.5</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(19.1)</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current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7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Other non-current assets and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r>
      <w:tr>
        <w:trPr>
          <w:trHeight w:val="175"/>
        </w:trPr>
        <w:tc>
          <w:tcPr>
            <w:tcW w:w="75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574.2</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r>
      <w:tr>
        <w:trPr>
          <w:trHeight w:val="169"/>
        </w:trPr>
        <w:tc>
          <w:tcPr>
            <w:tcW w:w="758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Net cash (used for) provided by operating activities of discontinued operations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r>
      <w:tr>
        <w:trPr>
          <w:trHeight w:val="176"/>
        </w:trPr>
        <w:tc>
          <w:tcPr>
            <w:tcW w:w="75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573.6</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w:t>
            </w:r>
          </w:p>
        </w:tc>
      </w:tr>
      <w:tr>
        <w:trPr>
          <w:trHeight w:val="170"/>
        </w:trPr>
        <w:tc>
          <w:tcPr>
            <w:tcW w:w="758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Proceeds from sale of property and equipment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0.6</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(payments due to) sale of businesses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Acquisitions, net of cash acquired</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(58.0)</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(287.8)</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177"/>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80" w:type="dxa"/>
            <w:vAlign w:val="bottom"/>
          </w:tcPr>
          <w:p>
            <w:pPr>
              <w:ind w:left="500"/>
              <w:spacing w:after="0"/>
              <w:rPr>
                <w:sz w:val="20"/>
                <w:szCs w:val="20"/>
                <w:color w:val="auto"/>
              </w:rPr>
            </w:pPr>
            <w:r>
              <w:rPr>
                <w:rFonts w:ascii="Arial" w:cs="Arial" w:eastAsia="Arial" w:hAnsi="Arial"/>
                <w:sz w:val="13"/>
                <w:szCs w:val="13"/>
                <w:color w:val="auto"/>
              </w:rPr>
              <w:t>Net cash used for investing activities of continuing operations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(117.9)</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(331.9)</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77"/>
        </w:trPr>
        <w:tc>
          <w:tcPr>
            <w:tcW w:w="7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Net cash used for investing activities of 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68"/>
        </w:trPr>
        <w:tc>
          <w:tcPr>
            <w:tcW w:w="7580" w:type="dxa"/>
            <w:vAlign w:val="bottom"/>
          </w:tcPr>
          <w:p>
            <w:pPr>
              <w:ind w:left="500"/>
              <w:spacing w:after="0"/>
              <w:rPr>
                <w:sz w:val="20"/>
                <w:szCs w:val="20"/>
                <w:color w:val="auto"/>
              </w:rPr>
            </w:pPr>
            <w:r>
              <w:rPr>
                <w:rFonts w:ascii="Arial" w:cs="Arial" w:eastAsia="Arial" w:hAnsi="Arial"/>
                <w:sz w:val="13"/>
                <w:szCs w:val="13"/>
                <w:color w:val="auto"/>
              </w:rPr>
              <w:t>Net cash used for investing activities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(117.9)</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(331.9)</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(68.8)</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Net (repayments) receipts of commercial paper and revolving long-term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(117.5)</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51.5</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39.7</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long-term debt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Repayment of long-term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(74.0)</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(401.5)</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(675.1)</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Premium paid on early extinguishment of debt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Distribution of cash from nVent, net of cash transferred</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919.4</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Shares issued to employees, net of shares withheld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68"/>
        </w:trPr>
        <w:tc>
          <w:tcPr>
            <w:tcW w:w="7580" w:type="dxa"/>
            <w:vAlign w:val="bottom"/>
          </w:tcPr>
          <w:p>
            <w:pPr>
              <w:spacing w:after="0"/>
              <w:rPr>
                <w:sz w:val="20"/>
                <w:szCs w:val="20"/>
                <w:color w:val="auto"/>
              </w:rPr>
            </w:pPr>
            <w:r>
              <w:rPr>
                <w:rFonts w:ascii="Arial" w:cs="Arial" w:eastAsia="Arial" w:hAnsi="Arial"/>
                <w:sz w:val="13"/>
                <w:szCs w:val="13"/>
                <w:color w:val="auto"/>
              </w:rPr>
              <w:t>Repurchases of ordinary shares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(150.0)</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183"/>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Dividends paid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(187.2)</w:t>
            </w:r>
          </w:p>
        </w:tc>
      </w:tr>
      <w:tr>
        <w:trPr>
          <w:trHeight w:val="169"/>
        </w:trPr>
        <w:tc>
          <w:tcPr>
            <w:tcW w:w="7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76"/>
        </w:trPr>
        <w:tc>
          <w:tcPr>
            <w:tcW w:w="75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Net cash used for financing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(435.9)</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(407.9)</w:t>
            </w:r>
          </w:p>
        </w:tc>
      </w:tr>
      <w:tr>
        <w:trPr>
          <w:trHeight w:val="170"/>
        </w:trPr>
        <w:tc>
          <w:tcPr>
            <w:tcW w:w="7580" w:type="dxa"/>
            <w:vAlign w:val="bottom"/>
          </w:tcPr>
          <w:p>
            <w:pPr>
              <w:spacing w:after="0"/>
              <w:rPr>
                <w:sz w:val="20"/>
                <w:szCs w:val="20"/>
                <w:color w:val="auto"/>
              </w:rPr>
            </w:pPr>
            <w:r>
              <w:rPr>
                <w:rFonts w:ascii="Arial" w:cs="Arial" w:eastAsia="Arial" w:hAnsi="Arial"/>
                <w:sz w:val="13"/>
                <w:szCs w:val="13"/>
                <w:b w:val="1"/>
                <w:bCs w:val="1"/>
                <w:color w:val="auto"/>
              </w:rPr>
              <w:t>Change in cash held for sale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27.0</w:t>
            </w:r>
          </w:p>
        </w:tc>
      </w:tr>
      <w:tr>
        <w:trPr>
          <w:trHeight w:val="175"/>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7580" w:type="dxa"/>
            <w:vAlign w:val="bottom"/>
          </w:tcPr>
          <w:p>
            <w:pPr>
              <w:spacing w:after="0"/>
              <w:rPr>
                <w:sz w:val="20"/>
                <w:szCs w:val="20"/>
                <w:color w:val="auto"/>
              </w:rPr>
            </w:pPr>
            <w:r>
              <w:rPr>
                <w:rFonts w:ascii="Arial" w:cs="Arial" w:eastAsia="Arial" w:hAnsi="Arial"/>
                <w:sz w:val="13"/>
                <w:szCs w:val="13"/>
                <w:b w:val="1"/>
                <w:bCs w:val="1"/>
                <w:color w:val="auto"/>
              </w:rPr>
              <w:t>Change in cash and cash equivalents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(0.4)</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175"/>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Cash and cash equivalents, beginning of year</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w:t>
            </w:r>
          </w:p>
        </w:tc>
      </w:tr>
      <w:tr>
        <w:trPr>
          <w:trHeight w:val="170"/>
        </w:trPr>
        <w:tc>
          <w:tcPr>
            <w:tcW w:w="7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Cash and cash equivalents, end of year</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5"/>
        </w:trPr>
        <w:tc>
          <w:tcPr>
            <w:tcW w:w="7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40"/>
        </w:trPr>
        <w:tc>
          <w:tcPr>
            <w:tcW w:w="758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10"/>
        </w:trPr>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5"/>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 net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r>
      <w:tr>
        <w:trPr>
          <w:trHeight w:val="160"/>
        </w:trPr>
        <w:tc>
          <w:tcPr>
            <w:tcW w:w="7580" w:type="dxa"/>
            <w:vAlign w:val="bottom"/>
          </w:tcPr>
          <w:p>
            <w:pPr>
              <w:spacing w:after="0"/>
              <w:rPr>
                <w:sz w:val="20"/>
                <w:szCs w:val="20"/>
                <w:color w:val="auto"/>
              </w:rPr>
            </w:pPr>
            <w:r>
              <w:rPr>
                <w:rFonts w:ascii="Arial" w:cs="Arial" w:eastAsia="Arial" w:hAnsi="Arial"/>
                <w:sz w:val="13"/>
                <w:szCs w:val="13"/>
                <w:color w:val="auto"/>
              </w:rPr>
              <w:t>Cash paid for income taxes, net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67.7</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59.0</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92.9</w:t>
            </w:r>
          </w:p>
        </w:tc>
      </w:tr>
    </w:tbl>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47" w:right="359" w:bottom="1440" w:gutter="0" w:footer="0" w:header="0"/>
        </w:sectPr>
      </w:pPr>
    </w:p>
    <w:bookmarkStart w:id="51" w:name="page52"/>
    <w:bookmarkEnd w:id="51"/>
    <w:p>
      <w:pPr>
        <w:jc w:val="center"/>
        <w:ind w:right="-9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196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Ordinary shares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Accumulated 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gridSpan w:val="2"/>
            <w:vMerge w:val="restart"/>
          </w:tcPr>
          <w:p>
            <w:pPr>
              <w:jc w:val="right"/>
              <w:spacing w:after="0" w:line="95"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center"/>
              <w:ind w:right="37"/>
              <w:spacing w:after="0" w:line="95" w:lineRule="exact"/>
              <w:rPr>
                <w:sz w:val="20"/>
                <w:szCs w:val="20"/>
                <w:color w:val="auto"/>
              </w:rPr>
            </w:pPr>
            <w:r>
              <w:rPr>
                <w:rFonts w:ascii="Arial" w:cs="Arial" w:eastAsia="Arial" w:hAnsi="Arial"/>
                <w:sz w:val="10"/>
                <w:szCs w:val="10"/>
                <w:b w:val="1"/>
                <w:bCs w:val="1"/>
                <w:color w:val="auto"/>
              </w:rPr>
              <w:t>comprehensive</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w:t>
            </w:r>
          </w:p>
        </w:tc>
        <w:tc>
          <w:tcPr>
            <w:tcW w:w="11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Number</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3"/>
              </w:rPr>
              <w:t>Retained earnings</w:t>
            </w: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43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3"/>
              </w:rPr>
              <w:t>income (loss)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Balance - December 31,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w:t>
            </w:r>
          </w:p>
        </w:tc>
        <w:tc>
          <w:tcPr>
            <w:tcW w:w="82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2,797.7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5,037.8</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347.4</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347.4</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accounting changes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62.6</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nVent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(2,291.0)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(2,777.0)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(154.9)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(0.1)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3"/>
                <w:szCs w:val="13"/>
                <w:color w:val="auto"/>
              </w:rPr>
              <w:t>0.9</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7"/>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70"/>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Balance - December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w:t>
            </w:r>
          </w:p>
        </w:tc>
        <w:tc>
          <w:tcPr>
            <w:tcW w:w="82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1,893.8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(228.6)</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1,836.1</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tcPr>
          <w:p>
            <w:pPr>
              <w:jc w:val="right"/>
              <w:spacing w:after="0"/>
              <w:rPr>
                <w:sz w:val="20"/>
                <w:szCs w:val="20"/>
                <w:color w:val="auto"/>
              </w:rPr>
            </w:pPr>
            <w:r>
              <w:rPr>
                <w:rFonts w:ascii="Arial" w:cs="Arial" w:eastAsia="Arial" w:hAnsi="Arial"/>
                <w:sz w:val="13"/>
                <w:szCs w:val="13"/>
                <w:color w:val="auto"/>
              </w:rPr>
              <w:t>(4.0)</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tcPr>
          <w:p>
            <w:pPr>
              <w:jc w:val="right"/>
              <w:spacing w:after="0"/>
              <w:rPr>
                <w:sz w:val="20"/>
                <w:szCs w:val="20"/>
                <w:color w:val="auto"/>
              </w:rPr>
            </w:pPr>
            <w:r>
              <w:rPr>
                <w:rFonts w:ascii="Arial" w:cs="Arial" w:eastAsia="Arial" w:hAnsi="Arial"/>
                <w:sz w:val="13"/>
                <w:szCs w:val="13"/>
                <w:color w:val="auto"/>
              </w:rPr>
              <w:t>0.3</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70"/>
        </w:trPr>
        <w:tc>
          <w:tcPr>
            <w:tcW w:w="4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Balance -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w:t>
            </w:r>
          </w:p>
        </w:tc>
        <w:tc>
          <w:tcPr>
            <w:tcW w:w="82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1,777.7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1,953.9</w:t>
            </w:r>
          </w:p>
        </w:tc>
        <w:tc>
          <w:tcPr>
            <w:tcW w:w="0" w:type="dxa"/>
            <w:vAlign w:val="bottom"/>
          </w:tcPr>
          <w:p>
            <w:pPr>
              <w:spacing w:after="0"/>
              <w:rPr>
                <w:sz w:val="1"/>
                <w:szCs w:val="1"/>
                <w:color w:val="auto"/>
              </w:rPr>
            </w:pPr>
          </w:p>
        </w:tc>
      </w:tr>
      <w:tr>
        <w:trPr>
          <w:trHeight w:val="167"/>
        </w:trPr>
        <w:tc>
          <w:tcPr>
            <w:tcW w:w="4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358.6</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358.6</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(128.4)</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(128.4)</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7"/>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70"/>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Balance - December 31,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166.1</w:t>
            </w:r>
          </w:p>
        </w:tc>
        <w:tc>
          <w:tcPr>
            <w:tcW w:w="82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(207.3)</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2,106.3</w:t>
            </w:r>
          </w:p>
        </w:tc>
        <w:tc>
          <w:tcPr>
            <w:tcW w:w="0" w:type="dxa"/>
            <w:vAlign w:val="bottom"/>
          </w:tcPr>
          <w:p>
            <w:pPr>
              <w:spacing w:after="0"/>
              <w:rPr>
                <w:sz w:val="1"/>
                <w:szCs w:val="1"/>
                <w:color w:val="auto"/>
              </w:rPr>
            </w:pPr>
          </w:p>
        </w:tc>
      </w:tr>
      <w:tr>
        <w:trPr>
          <w:trHeight w:val="26"/>
        </w:trPr>
        <w:tc>
          <w:tcPr>
            <w:tcW w:w="4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ind w:left="700" w:hanging="692"/>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w:t>
      </w:r>
    </w:p>
    <w:p>
      <w:pPr>
        <w:spacing w:after="0" w:line="9" w:lineRule="exact"/>
        <w:rPr>
          <w:rFonts w:ascii="Arial" w:cs="Arial" w:eastAsia="Arial" w:hAnsi="Arial"/>
          <w:sz w:val="18"/>
          <w:szCs w:val="18"/>
          <w:b w:val="1"/>
          <w:bCs w:val="1"/>
          <w:color w:val="auto"/>
        </w:rPr>
      </w:pPr>
    </w:p>
    <w:p>
      <w:pPr>
        <w:ind w:right="5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Pentair plc and its consolidated subsidiaries (“we,” “us,” “our,” “Pentair” or the “Company”) is a pure play water industrial manufacturing company comprised of two reporting segments: Consumer Solutions and Industrial &amp; Flow Technologies.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w:t>
      </w:r>
    </w:p>
    <w:p>
      <w:pPr>
        <w:spacing w:after="0" w:line="1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did not retain any equity interest in nVent. nVent’s historical financial results are reflected in the Company’s consolidated financial statements as a discontinued operation. Refer to Note 2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and the availability and distribution of vaccines to address the COVID-19 virus, its impact on our customers and suppliers and the range of governmental and community reactions to the pandemic. We may continue to experience reduced customer demand or constrained supply that could materially adversely impact our business, financial condition, results of operations, liquidity and cash flows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Pentair and all subsidiaries, both the United States (“U.S.”) and non-U.S., which we control.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have been prepared in U.S. dollars (“USD”) and in accordance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and pension and other post-retirement benefits. Actual results could differ from our estimates.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performance obligations are satisfied at a point in time or over time as work progresses. Revenue from goods and services transferred to customers at a point in time accounted for 92.2%, 92.0% and 92.5% of our revenue for the years ended December 31, 2020, 2019 and 2018, respectively. Revenue on these contracts is recognized when obligations under the terms of the contract with our customer are satisfied; generally this occurs with the transfer of control upon shipment.</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 from products and services transferred to customers over time accounted for 7.8%, 8.0% and 7.5% of our revenue for the years ended December 31, 2020, 2019 and 2018,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we had $76.7 million of remaining performance obligations on contracts with an original expected duration of one year or 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 majority of our remaining performance obligations on these contracts within the next 12 to 18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3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accompanying Consolidated Statements of Operations and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2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48"/>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169.0 %</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$14.2 million increase in net contract assets from December 31, 2019 to December 31, 2020 was primarily the result of timing of milestone payments.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85% of our contract liabilities at December 31, 2019 were recognized in revenue during the twelve months ended December 31, 2020.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losses recognized on our contract assets for the twelve months ended December 31, 2020 and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Consolidated Statements of Operations and Comprehensive Income.</w:t>
      </w:r>
    </w:p>
    <w:p>
      <w:pPr>
        <w:spacing w:after="0" w:line="13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2"/>
              </w:rPr>
              <w:t>Geographic net sales information, based on geographic destination of the sale, was as follows: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6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401.6</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402.7</w:t>
            </w:r>
          </w:p>
        </w:tc>
      </w:tr>
      <w:tr>
        <w:trPr>
          <w:trHeight w:val="229"/>
        </w:trPr>
        <w:tc>
          <w:tcPr>
            <w:tcW w:w="6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r>
      <w:tr>
        <w:trPr>
          <w:trHeight w:val="230"/>
        </w:trPr>
        <w:tc>
          <w:tcPr>
            <w:tcW w:w="6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r>
      <w:tr>
        <w:trPr>
          <w:trHeight w:val="230"/>
        </w:trPr>
        <w:tc>
          <w:tcPr>
            <w:tcW w:w="662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Consolidated net sales </w:t>
            </w:r>
            <w:r>
              <w:rPr>
                <w:rFonts w:ascii="Arial" w:cs="Arial" w:eastAsia="Arial" w:hAnsi="Arial"/>
                <w:sz w:val="23"/>
                <w:szCs w:val="23"/>
                <w:color w:val="auto"/>
                <w:vertAlign w:val="superscript"/>
              </w:rPr>
              <w:t>(3)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r>
    </w:tbl>
    <w:p>
      <w:pPr>
        <w:spacing w:after="0" w:line="30" w:lineRule="exact"/>
        <w:rPr>
          <w:sz w:val="20"/>
          <w:szCs w:val="20"/>
          <w:color w:val="auto"/>
        </w:rPr>
      </w:pPr>
    </w:p>
    <w:p>
      <w:pPr>
        <w:ind w:left="180" w:hanging="154"/>
        <w:spacing w:after="0"/>
        <w:tabs>
          <w:tab w:leader="none" w:pos="180" w:val="left"/>
        </w:tabs>
        <w:numPr>
          <w:ilvl w:val="0"/>
          <w:numId w:val="46"/>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00" w:hanging="174"/>
        <w:spacing w:after="0" w:line="191" w:lineRule="auto"/>
        <w:tabs>
          <w:tab w:leader="none" w:pos="20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3" w:lineRule="exact"/>
        <w:rPr>
          <w:rFonts w:ascii="Arial" w:cs="Arial" w:eastAsia="Arial" w:hAnsi="Arial"/>
          <w:sz w:val="21"/>
          <w:szCs w:val="21"/>
          <w:color w:val="auto"/>
          <w:vertAlign w:val="superscript"/>
        </w:rPr>
      </w:pPr>
    </w:p>
    <w:p>
      <w:pPr>
        <w:ind w:left="180" w:hanging="154"/>
        <w:spacing w:after="0" w:line="223" w:lineRule="auto"/>
        <w:tabs>
          <w:tab w:leader="none" w:pos="18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Net sales in Ireland, for each of the years presented, were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06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627.3</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630.7</w:t>
            </w:r>
          </w:p>
        </w:tc>
      </w:tr>
      <w:tr>
        <w:trPr>
          <w:trHeight w:val="22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3,017.8</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2,965.1</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conduct research and development (“R&amp;D”) activities primarily in our own facilities, which mostly consist of development of new products, product applications and manufacturing processes. We expense R&amp;D costs as incurred. R&amp;D expenditures during 2020, 2019 and 2018 were $75.7 million, $78.9 million and $76.7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highly liquid investments with original maturities of three months or less at the date of acquisition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concentration of credit risk</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generally do not require collateral.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6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Bad debt (benefit) expense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20" w:right="2820" w:hanging="194"/>
        <w:spacing w:after="0" w:line="213" w:lineRule="auto"/>
        <w:tabs>
          <w:tab w:leader="none" w:pos="199"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The bad debt benefit for the year-ended December 31, 2020 includes the positive impact related to the adoption of Accounting Standards Update (“ASU”) No. 2016-13 “Financial Instruments-Credit Losses.”</w:t>
      </w:r>
    </w:p>
    <w:p>
      <w:pPr>
        <w:ind w:left="200" w:hanging="174"/>
        <w:spacing w:after="0" w:line="228" w:lineRule="auto"/>
        <w:tabs>
          <w:tab w:leader="none" w:pos="200"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Other amounts are primarily the effects of changes in currency translations and the impact of allowance for credits.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lower of cost or net realizable value with substantially all inventories recorded using the first-in, first-out (“FIFO”) cost method.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Property, plant and equipment is stated at historical cost. We compute depreciation by the straight-line method based on the following estimated useful lives: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23"/>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 to 20</w:t>
            </w:r>
          </w:p>
        </w:tc>
      </w:tr>
      <w:tr>
        <w:trPr>
          <w:trHeight w:val="230"/>
        </w:trPr>
        <w:tc>
          <w:tcPr>
            <w:tcW w:w="1004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 to 50</w:t>
            </w:r>
          </w:p>
        </w:tc>
      </w:tr>
      <w:tr>
        <w:trPr>
          <w:trHeight w:val="229"/>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w:t>
            </w:r>
          </w:p>
        </w:tc>
      </w:tr>
    </w:tbl>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geographic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by region as of December 31:</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Western Europe</w:t>
            </w:r>
          </w:p>
        </w:tc>
        <w:tc>
          <w:tcPr>
            <w:tcW w:w="3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29"/>
        </w:trPr>
        <w:tc>
          <w:tcPr>
            <w:tcW w:w="47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3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4780" w:type="dxa"/>
            <w:vAlign w:val="bottom"/>
            <w:tcBorders>
              <w:bottom w:val="single" w:sz="8" w:color="auto"/>
            </w:tcBorders>
          </w:tcPr>
          <w:p>
            <w:pPr>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3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478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3"/>
                <w:szCs w:val="23"/>
                <w:color w:val="auto"/>
                <w:vertAlign w:val="superscript"/>
              </w:rPr>
              <w:t>(3)</w:t>
            </w:r>
          </w:p>
        </w:tc>
        <w:tc>
          <w:tcPr>
            <w:tcW w:w="3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200" w:hanging="154"/>
        <w:spacing w:after="0"/>
        <w:tabs>
          <w:tab w:leader="none" w:pos="200" w:val="left"/>
        </w:tabs>
        <w:numPr>
          <w:ilvl w:val="0"/>
          <w:numId w:val="48"/>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20" w:hanging="174"/>
        <w:spacing w:after="0" w:line="191" w:lineRule="auto"/>
        <w:tabs>
          <w:tab w:leader="none" w:pos="22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3" w:lineRule="exact"/>
        <w:rPr>
          <w:rFonts w:ascii="Arial" w:cs="Arial" w:eastAsia="Arial" w:hAnsi="Arial"/>
          <w:sz w:val="21"/>
          <w:szCs w:val="21"/>
          <w:color w:val="auto"/>
          <w:vertAlign w:val="superscript"/>
        </w:rPr>
      </w:pPr>
    </w:p>
    <w:p>
      <w:pPr>
        <w:ind w:left="200" w:hanging="154"/>
        <w:spacing w:after="0" w:line="223" w:lineRule="auto"/>
        <w:tabs>
          <w:tab w:leader="none" w:pos="2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i w:val="1"/>
          <w:iCs w:val="1"/>
          <w:color w:val="auto"/>
        </w:rPr>
        <w:t xml:space="preserve">Property, plant and equipment, net </w:t>
      </w:r>
      <w:r>
        <w:rPr>
          <w:rFonts w:ascii="Arial" w:cs="Arial" w:eastAsia="Arial" w:hAnsi="Arial"/>
          <w:sz w:val="14"/>
          <w:szCs w:val="14"/>
          <w:color w:val="auto"/>
        </w:rPr>
        <w:t>in Ireland, for each of the years presented, were not material.</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no material long-lived asset impairment charges in 2020, 2019, or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2020,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The non-recurring fair value measurement is a “Level 3” measurement under the fair value hierarchy. For the 2020 annual impairment test, the estimated fair value exceeded the carrying value in each of our reporting units, therefore, no impairment charge was required.</w:t>
      </w:r>
    </w:p>
    <w:p>
      <w:pPr>
        <w:spacing w:after="0" w:line="1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2019, a qualitative assessment was performed. We determined that it was more likely than not that the fair value of the reporting units exceeded their respective carrying values. Factors considered in the analysis included the last discounted cash flow fair value assessment of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 The non-recurring fair value measurement is a “Level 3” measurement under the fair value hierarchy described in Note 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12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any of the years presented for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and the interest costs, expected return on plan assets and net actuarial gain/loss components of net periodic pension and other post-retirement benefit costs are recorded within </w:t>
      </w:r>
      <w:r>
        <w:rPr>
          <w:rFonts w:ascii="Arial" w:cs="Arial" w:eastAsia="Arial" w:hAnsi="Arial"/>
          <w:sz w:val="16"/>
          <w:szCs w:val="16"/>
          <w:i w:val="1"/>
          <w:iCs w:val="1"/>
          <w:color w:val="auto"/>
        </w:rPr>
        <w:t>Other expense (income).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subsidiary</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2020 and 2019, reserves for policy claims were $55.0 million, of which $13.0 million was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$42.0 million was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liabilities</w:t>
      </w:r>
      <w:r>
        <w:rPr>
          <w:rFonts w:ascii="Arial" w:cs="Arial" w:eastAsia="Arial" w:hAnsi="Arial"/>
          <w:sz w:val="18"/>
          <w:szCs w:val="18"/>
          <w:color w:val="auto"/>
        </w:rPr>
        <w:t>, and $54.7 million, of which $13.1 million was included in</w:t>
      </w:r>
      <w:r>
        <w:rPr>
          <w:rFonts w:ascii="Arial" w:cs="Arial" w:eastAsia="Arial" w:hAnsi="Arial"/>
          <w:sz w:val="18"/>
          <w:szCs w:val="18"/>
          <w:i w:val="1"/>
          <w:iCs w:val="1"/>
          <w:color w:val="auto"/>
        </w:rPr>
        <w:t xml:space="preserve"> Other current liabilities </w:t>
      </w:r>
      <w:r>
        <w:rPr>
          <w:rFonts w:ascii="Arial" w:cs="Arial" w:eastAsia="Arial" w:hAnsi="Arial"/>
          <w:sz w:val="18"/>
          <w:szCs w:val="18"/>
          <w:color w:val="auto"/>
        </w:rPr>
        <w:t>and $41.6 million was included in</w:t>
      </w:r>
      <w:r>
        <w:rPr>
          <w:rFonts w:ascii="Arial" w:cs="Arial" w:eastAsia="Arial" w:hAnsi="Arial"/>
          <w:sz w:val="18"/>
          <w:szCs w:val="18"/>
          <w:i w:val="1"/>
          <w:iCs w:val="1"/>
          <w:color w:val="auto"/>
        </w:rPr>
        <w:t xml:space="preserve"> Other non-current liabilities</w:t>
      </w:r>
      <w:r>
        <w:rPr>
          <w:rFonts w:ascii="Arial" w:cs="Arial" w:eastAsia="Arial" w:hAnsi="Arial"/>
          <w:sz w:val="18"/>
          <w:szCs w:val="18"/>
          <w:color w:val="auto"/>
        </w:rPr>
        <w:t>,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Restricted share awards and units (“RSUs”) are recorded as compensation cost over the requisite service periods based on the market value on the date of grant.</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ordinary share</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are recorded in </w:t>
      </w:r>
      <w:r>
        <w:rPr>
          <w:rFonts w:ascii="Arial" w:cs="Arial" w:eastAsia="Arial" w:hAnsi="Arial"/>
          <w:sz w:val="16"/>
          <w:szCs w:val="16"/>
          <w:i w:val="1"/>
          <w:iCs w:val="1"/>
          <w:color w:val="auto"/>
        </w:rPr>
        <w:t xml:space="preserve">Accumulated other comprehensive income (loss) </w:t>
      </w:r>
      <w:r>
        <w:rPr>
          <w:rFonts w:ascii="Arial" w:cs="Arial" w:eastAsia="Arial" w:hAnsi="Arial"/>
          <w:sz w:val="16"/>
          <w:szCs w:val="16"/>
          <w:color w:val="auto"/>
        </w:rPr>
        <w:t>(“AOCI”) as a separate component of equity in the Consolidated Balance Sheets and are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net investment hedges are included in AOCI as a separate component of equity in the Consolidated Balance Sheets.</w:t>
      </w:r>
    </w:p>
    <w:p>
      <w:pPr>
        <w:spacing w:after="0" w:line="17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2, 2020, we early adopted the SEC’s rule titled “Financial Disclosures about Guarantors and Issuers of Guaranteed Securities and Affiliates Whose Securities Collateralize a Registrant’s Securities,” which simplifies the disclosure requirements related to our guaranteed registered securities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On January 1, 2020, we adopted ASU No. 2016-13 “Financial Instruments-Credit Losses” and the related amendments (the “new standard”). The new standard changes the methodology used to measure credit losses for certain financial instruments and financial assets, including trade receivables. The approach utilizes an expected credit loss model that requires consideration of a broader range of information to estimate expected credit losses over the lifetime of an asset, which may result in earlier recognition of credit losses than under the previous accounting standards.</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new standard, we record an allowance for credit losses, reducing our trade receivables balance to an amount we estimate is collectible from our customers. The estimates used in determining the allowance for credit losses are based on historical collection experience, including write-offs and recoveries, periodic credit evaluations of our customers’ financial situation, and current circumstances as well as reasonable and supportable forecasts of future economic conditions. The adoption of this new standard did not have a material impact on our consolidated financial statements.</w:t>
      </w:r>
    </w:p>
    <w:p>
      <w:pPr>
        <w:spacing w:after="0" w:line="180" w:lineRule="exact"/>
        <w:rPr>
          <w:sz w:val="20"/>
          <w:szCs w:val="20"/>
          <w:color w:val="auto"/>
        </w:rPr>
      </w:pPr>
    </w:p>
    <w:p>
      <w:pPr>
        <w:ind w:right="7660" w:firstLine="8"/>
        <w:spacing w:after="0" w:line="261" w:lineRule="auto"/>
        <w:tabs>
          <w:tab w:leader="none" w:pos="30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3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 February 2019, as part of Consumer Solutions, we completed the acquisitions of Aquion, Inc. (“Aquion”) and Pelican Water Systems (“Pelican”) for $163.4 million and $121.1 million, respectively, in cash, net of cash acquired and final working capital true-ups.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allocated to goodwill in the amount of $101.9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allocated to goodwill in the amount of $118.0 million, $7.6 million of which is expected to be deductible for income tax purposes.</w:t>
      </w:r>
    </w:p>
    <w:p>
      <w:pPr>
        <w:spacing w:after="0" w:line="116" w:lineRule="exact"/>
        <w:rPr>
          <w:sz w:val="20"/>
          <w:szCs w:val="20"/>
          <w:color w:val="auto"/>
        </w:rPr>
      </w:pPr>
    </w:p>
    <w:p>
      <w:pPr>
        <w:ind w:right="500"/>
        <w:spacing w:after="0" w:line="522" w:lineRule="auto"/>
        <w:rPr>
          <w:sz w:val="20"/>
          <w:szCs w:val="20"/>
          <w:color w:val="auto"/>
        </w:rPr>
      </w:pPr>
      <w:r>
        <w:rPr>
          <w:rFonts w:ascii="Arial" w:cs="Arial" w:eastAsia="Arial" w:hAnsi="Arial"/>
          <w:sz w:val="18"/>
          <w:szCs w:val="18"/>
          <w:color w:val="auto"/>
        </w:rPr>
        <w:t xml:space="preserve">In 2020, our Consumer Solutions reporting segment completed acquisitions with purchase prices totaling $58.0 million in cash, net of cash acquired. The pro forma impact of the acquisitions in 2019 and 2020 were not material. </w:t>
      </w:r>
      <w:r>
        <w:rPr>
          <w:rFonts w:ascii="Arial" w:cs="Arial" w:eastAsia="Arial" w:hAnsi="Arial"/>
          <w:sz w:val="18"/>
          <w:szCs w:val="18"/>
          <w:b w:val="1"/>
          <w:bCs w:val="1"/>
          <w:i w:val="1"/>
          <w:iCs w:val="1"/>
          <w:color w:val="auto"/>
        </w:rPr>
        <w:t>Discontinued Operations</w:t>
      </w:r>
    </w:p>
    <w:p>
      <w:pPr>
        <w:spacing w:after="0" w:line="8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On April 30, 2018, we completed the Separation and Distribution. The results of the Electrical business have been presented as discontinued operations for all periods presented. The Electrical business had been previously disclosed as a stand-alone reporting segment. Separation costs related to the Separation and Distribution were $84.2 million for the twelve months ended December 31, 2018. These costs are reported in discontinued operations as they represent a cost directly related to the Separation and Distribution and were included within </w:t>
      </w:r>
      <w:r>
        <w:rPr>
          <w:rFonts w:ascii="Arial" w:cs="Arial" w:eastAsia="Arial" w:hAnsi="Arial"/>
          <w:sz w:val="16"/>
          <w:szCs w:val="16"/>
          <w:i w:val="1"/>
          <w:iCs w:val="1"/>
          <w:color w:val="auto"/>
        </w:rPr>
        <w:t>Income (loss) from discontinued operations, net of tax</w:t>
      </w:r>
      <w:r>
        <w:rPr>
          <w:rFonts w:ascii="Arial" w:cs="Arial" w:eastAsia="Arial" w:hAnsi="Arial"/>
          <w:sz w:val="16"/>
          <w:szCs w:val="16"/>
          <w:color w:val="auto"/>
        </w:rPr>
        <w:t xml:space="preserve">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results of discontinued operations are summarized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2018</w:t>
            </w:r>
          </w:p>
        </w:tc>
      </w:tr>
      <w:tr>
        <w:trPr>
          <w:trHeight w:val="223"/>
        </w:trPr>
        <w:tc>
          <w:tcPr>
            <w:tcW w:w="4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r>
      <w:tr>
        <w:trPr>
          <w:trHeight w:val="230"/>
        </w:trPr>
        <w:tc>
          <w:tcPr>
            <w:tcW w:w="4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r>
      <w:tr>
        <w:trPr>
          <w:trHeight w:val="223"/>
        </w:trPr>
        <w:tc>
          <w:tcPr>
            <w:tcW w:w="4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4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237.8</w:t>
            </w:r>
          </w:p>
        </w:tc>
      </w:tr>
      <w:tr>
        <w:trPr>
          <w:trHeight w:val="229"/>
        </w:trPr>
        <w:tc>
          <w:tcPr>
            <w:tcW w:w="40" w:type="dxa"/>
            <w:vAlign w:val="bottom"/>
          </w:tcPr>
          <w:p>
            <w:pPr>
              <w:spacing w:after="0"/>
              <w:rPr>
                <w:sz w:val="19"/>
                <w:szCs w:val="19"/>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4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4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7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30"/>
        </w:trPr>
        <w:tc>
          <w:tcPr>
            <w:tcW w:w="4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40" w:type="dxa"/>
            <w:vAlign w:val="bottom"/>
          </w:tcPr>
          <w:p>
            <w:pPr>
              <w:spacing w:after="0"/>
              <w:rPr>
                <w:sz w:val="19"/>
                <w:szCs w:val="19"/>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4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4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6940" w:type="dxa"/>
            <w:vAlign w:val="bottom"/>
          </w:tcPr>
          <w:p>
            <w:pPr>
              <w:ind w:left="8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2"/>
                <w:szCs w:val="22"/>
                <w:color w:val="auto"/>
              </w:rPr>
            </w:pPr>
          </w:p>
        </w:tc>
      </w:tr>
      <w:tr>
        <w:trPr>
          <w:trHeight w:val="223"/>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48"/>
        </w:trPr>
        <w:tc>
          <w:tcPr>
            <w:tcW w:w="7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r>
      <w:tr>
        <w:trPr>
          <w:trHeight w:val="20"/>
        </w:trPr>
        <w:tc>
          <w:tcPr>
            <w:tcW w:w="71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8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357.1</w:t>
            </w:r>
          </w:p>
        </w:tc>
        <w:tc>
          <w:tcPr>
            <w:tcW w:w="3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361.7</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7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impact of stock options and restricted stock awards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7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71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80" w:type="dxa"/>
            <w:vAlign w:val="bottom"/>
            <w:gridSpan w:val="2"/>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7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71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8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w w:val="96"/>
              </w:rPr>
              <w:t>Anti-dilutive stock options excluded from the calculation of diluted earnings per share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15"/>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940" w:type="dxa"/>
            <w:vAlign w:val="bottom"/>
          </w:tcPr>
          <w:p>
            <w:pPr>
              <w:ind w:left="80"/>
              <w:spacing w:after="0"/>
              <w:rPr>
                <w:sz w:val="20"/>
                <w:szCs w:val="20"/>
                <w:color w:val="auto"/>
              </w:rPr>
            </w:pPr>
            <w:r>
              <w:rPr>
                <w:rFonts w:ascii="Arial" w:cs="Arial" w:eastAsia="Arial" w:hAnsi="Arial"/>
                <w:sz w:val="18"/>
                <w:szCs w:val="18"/>
                <w:b w:val="1"/>
                <w:bCs w:val="1"/>
                <w:color w:val="auto"/>
              </w:rPr>
              <w:t>Restructuring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ind w:right="40"/>
        <w:spacing w:after="0" w:line="255" w:lineRule="auto"/>
        <w:rPr>
          <w:sz w:val="20"/>
          <w:szCs w:val="20"/>
          <w:color w:val="auto"/>
        </w:rPr>
      </w:pPr>
      <w:r>
        <w:rPr>
          <w:rFonts w:ascii="Arial" w:cs="Arial" w:eastAsia="Arial" w:hAnsi="Arial"/>
          <w:sz w:val="18"/>
          <w:szCs w:val="18"/>
          <w:color w:val="auto"/>
        </w:rPr>
        <w:t>During 2020, 2019 and 2018, we initiated and continued execution of certain business restructuring initiatives aimed at reducing our fixed cost structure and realigning our business. Initiatives during the years ended December 31, 2020, 2019 and 2018 included a reduction in hourly and salaried headcount of approximately 175 employees, 375 employees and 300 employees, respectively.</w:t>
      </w:r>
    </w:p>
    <w:p>
      <w:pPr>
        <w:spacing w:after="0" w:line="1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Restructuring related costs included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expenses in the Consolidated Statements of Operations and Comprehensive Income included costs for severance and other restructuring costs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7"/>
        </w:trPr>
        <w:tc>
          <w:tcPr>
            <w:tcW w:w="4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4900" w:type="dxa"/>
            <w:vAlign w:val="bottom"/>
          </w:tcPr>
          <w:p>
            <w:pPr>
              <w:spacing w:after="0"/>
              <w:rPr>
                <w:sz w:val="24"/>
                <w:szCs w:val="24"/>
                <w:color w:val="auto"/>
              </w:rPr>
            </w:pPr>
          </w:p>
        </w:tc>
        <w:tc>
          <w:tcPr>
            <w:tcW w:w="2040" w:type="dxa"/>
            <w:vAlign w:val="bottom"/>
          </w:tcPr>
          <w:p>
            <w:pPr>
              <w:jc w:val="right"/>
              <w:ind w:right="113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Activity related to accrued severance and related costs recorded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is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Years ended 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5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5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2"/>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5.  Goodwill and Other Identifiable Intangible Assets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100" w:type="dxa"/>
            <w:vAlign w:val="bottom"/>
            <w:gridSpan w:val="15"/>
          </w:tcPr>
          <w:p>
            <w:pPr>
              <w:spacing w:after="0"/>
              <w:rPr>
                <w:sz w:val="20"/>
                <w:szCs w:val="20"/>
                <w:color w:val="auto"/>
              </w:rPr>
            </w:pPr>
            <w:r>
              <w:rPr>
                <w:rFonts w:ascii="Arial" w:cs="Arial" w:eastAsia="Arial" w:hAnsi="Arial"/>
                <w:sz w:val="18"/>
                <w:szCs w:val="18"/>
                <w:color w:val="auto"/>
                <w:w w:val="91"/>
              </w:rPr>
              <w:t>The changes in the carrying amount of goodwill for the years ended December 31, 2020 and 2019 by reportable segment were as follows:</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w w:val="99"/>
              </w:rPr>
              <w:t>Acquisitions/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Purchase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Foreign</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15"/>
                <w:szCs w:val="15"/>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230"/>
              <w:spacing w:after="0" w:line="176" w:lineRule="exact"/>
              <w:rPr>
                <w:sz w:val="20"/>
                <w:szCs w:val="20"/>
                <w:color w:val="auto"/>
              </w:rPr>
            </w:pPr>
            <w:r>
              <w:rPr>
                <w:rFonts w:ascii="Arial" w:cs="Arial" w:eastAsia="Arial" w:hAnsi="Arial"/>
                <w:sz w:val="18"/>
                <w:szCs w:val="18"/>
                <w:b w:val="1"/>
                <w:bCs w:val="1"/>
                <w:color w:val="auto"/>
                <w:w w:val="97"/>
              </w:rPr>
              <w:t>accounting</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270"/>
              <w:spacing w:after="0" w:line="176" w:lineRule="exact"/>
              <w:rPr>
                <w:sz w:val="20"/>
                <w:szCs w:val="20"/>
                <w:color w:val="auto"/>
              </w:rPr>
            </w:pPr>
            <w:r>
              <w:rPr>
                <w:rFonts w:ascii="Arial" w:cs="Arial" w:eastAsia="Arial" w:hAnsi="Arial"/>
                <w:sz w:val="18"/>
                <w:szCs w:val="18"/>
                <w:b w:val="1"/>
                <w:bCs w:val="1"/>
                <w:color w:val="auto"/>
                <w:w w:val="89"/>
              </w:rPr>
              <w:t>currency</w:t>
            </w:r>
          </w:p>
        </w:tc>
        <w:tc>
          <w:tcPr>
            <w:tcW w:w="182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rPr>
              <w:t>December 31,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divestitures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4"/>
              </w:rPr>
              <w:t>adjustments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1"/>
              </w:rPr>
              <w:t>translation</w:t>
            </w:r>
          </w:p>
        </w:tc>
        <w:tc>
          <w:tcPr>
            <w:tcW w:w="1820" w:type="dxa"/>
            <w:vAlign w:val="bottom"/>
            <w:tcBorders>
              <w:bottom w:val="single" w:sz="8" w:color="auto"/>
            </w:tcBorders>
            <w:gridSpan w:val="3"/>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3"/>
          </w:tcPr>
          <w:p>
            <w:pPr>
              <w:spacing w:after="0" w:line="20" w:lineRule="exact"/>
              <w:rPr>
                <w:sz w:val="1"/>
                <w:szCs w:val="1"/>
                <w:color w:val="auto"/>
              </w:rPr>
            </w:pPr>
          </w:p>
        </w:tc>
        <w:tc>
          <w:tcPr>
            <w:tcW w:w="1860" w:type="dxa"/>
            <w:vAlign w:val="bottom"/>
            <w:tcBorders>
              <w:top w:val="single" w:sz="8" w:color="CCEEFF"/>
              <w:bottom w:val="single" w:sz="8" w:color="auto"/>
            </w:tcBorders>
            <w:gridSpan w:val="5"/>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24"/>
                <w:szCs w:val="24"/>
                <w:color w:val="auto"/>
              </w:rPr>
            </w:pPr>
          </w:p>
        </w:tc>
        <w:tc>
          <w:tcPr>
            <w:tcW w:w="234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December 31, 2018</w:t>
            </w:r>
          </w:p>
        </w:tc>
        <w:tc>
          <w:tcPr>
            <w:tcW w:w="19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Acquisitions/</w:t>
            </w:r>
          </w:p>
        </w:tc>
        <w:tc>
          <w:tcPr>
            <w:tcW w:w="186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Foreign currency</w:t>
            </w:r>
          </w:p>
        </w:tc>
        <w:tc>
          <w:tcPr>
            <w:tcW w:w="182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rPr>
              <w:t>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vMerge w:val="continue"/>
          </w:tcPr>
          <w:p>
            <w:pPr>
              <w:spacing w:after="0"/>
              <w:rPr>
                <w:sz w:val="19"/>
                <w:szCs w:val="19"/>
                <w:color w:val="auto"/>
              </w:rPr>
            </w:pPr>
          </w:p>
        </w:tc>
        <w:tc>
          <w:tcPr>
            <w:tcW w:w="19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divestitures</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89"/>
              </w:rPr>
              <w:t>translation</w:t>
            </w:r>
          </w:p>
        </w:tc>
        <w:tc>
          <w:tcPr>
            <w:tcW w:w="1820" w:type="dxa"/>
            <w:vAlign w:val="bottom"/>
            <w:tcBorders>
              <w:bottom w:val="single" w:sz="8" w:color="auto"/>
            </w:tcBorders>
            <w:gridSpan w:val="3"/>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5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1,302.8</w:t>
            </w: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5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2,072.7</w:t>
            </w:r>
          </w:p>
        </w:tc>
        <w:tc>
          <w:tcPr>
            <w:tcW w:w="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impairment of goodwill for any of the years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4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4"/>
                <w:szCs w:val="14"/>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Proprietary technology and patents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color w:val="auto"/>
              </w:rPr>
              <w:t>Total finite-life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 amortization expense in 2020, 2019 and 2018 was $28.4 million, $31.7 million and $34.9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charge for intangible assets in any of the years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770"/>
        </w:trPr>
        <w:tc>
          <w:tcPr>
            <w:tcW w:w="3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59</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6.  Supplemental Balance Sheet Information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218.7</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Other current assets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 excess of billings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948.7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880.6</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83.6</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Dividends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warranty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Accrued rebates and incentives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in excess of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Accrued restructuring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Self-insurance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adjustments</w:t>
            </w:r>
          </w:p>
        </w:tc>
        <w:tc>
          <w:tcPr>
            <w:tcW w:w="18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Market value of derivative financial instruments, net of tax</w:t>
            </w:r>
          </w:p>
        </w:tc>
        <w:tc>
          <w:tcPr>
            <w:tcW w:w="1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22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89"/>
              </w:rPr>
              <w:t>Debt and the average interest rates on debt outstanding were as follows:</w:t>
            </w: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2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gridSpan w:val="4"/>
            <w:vMerge w:val="restart"/>
          </w:tcPr>
          <w:p>
            <w:pPr>
              <w:jc w:val="right"/>
              <w:ind w:right="9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19"/>
                <w:szCs w:val="19"/>
                <w:color w:val="auto"/>
              </w:rPr>
            </w:pPr>
          </w:p>
        </w:tc>
        <w:tc>
          <w:tcPr>
            <w:tcW w:w="18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interest rate at</w:t>
            </w:r>
          </w:p>
        </w:tc>
        <w:tc>
          <w:tcPr>
            <w:tcW w:w="11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Maturity</w:t>
            </w: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0"/>
              </w:rPr>
              <w:t>December 31, 2020</w:t>
            </w:r>
          </w:p>
        </w:tc>
        <w:tc>
          <w:tcPr>
            <w:tcW w:w="1100" w:type="dxa"/>
            <w:vAlign w:val="bottom"/>
            <w:gridSpan w:val="2"/>
            <w:vMerge w:val="continue"/>
          </w:tcPr>
          <w:p>
            <w:pPr>
              <w:spacing w:after="0" w:line="20" w:lineRule="exact"/>
              <w:rPr>
                <w:sz w:val="1"/>
                <w:szCs w:val="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1180" w:type="dxa"/>
            <w:vAlign w:val="bottom"/>
            <w:tcBorders>
              <w:bottom w:val="single" w:sz="8" w:color="auto"/>
            </w:tcBorders>
            <w:gridSpan w:val="2"/>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11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Revolving credit facilities</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1.244%</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1.224%</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3.625%</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5.000%</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3.150%</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4.650%</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4.500%</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400.0</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issuance costs and discounts</w:t>
            </w:r>
          </w:p>
        </w:tc>
        <w:tc>
          <w:tcPr>
            <w:tcW w:w="180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1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839.6</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Senior notes are guaranteed as to payment by Pentair plc.</w:t>
      </w:r>
    </w:p>
    <w:p>
      <w:pPr>
        <w:spacing w:after="0" w:line="1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December 31, 2020 and $117.8 million as of December 31, 2019, all of which was classified as long-term debt as we have the intent and the ability to refinance such obligations on a long-term basis under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December 31, 2020, total availability under the Senior Credit Facility was $863.9 million.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December 31, 2020. Borrowings under these credit facilities bear interest at variable rates.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December 31, 2020 as we have the intent and ability to refinance such obligation on a long-term basis under the Senior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w:t>
      </w:r>
      <w:r>
        <w:rPr>
          <w:rFonts w:ascii="Arial" w:cs="Arial" w:eastAsia="Arial" w:hAnsi="Arial"/>
          <w:sz w:val="21"/>
          <w:szCs w:val="21"/>
          <w:color w:val="auto"/>
        </w:rPr>
        <w:t>,</w:t>
      </w:r>
      <w:r>
        <w:rPr>
          <w:rFonts w:ascii="Arial" w:cs="Arial" w:eastAsia="Arial" w:hAnsi="Arial"/>
          <w:sz w:val="18"/>
          <w:szCs w:val="18"/>
          <w:color w:val="auto"/>
        </w:rPr>
        <w:t xml:space="preserve"> at December 31, 2020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Contractual debt obligation maturities</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88.3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r>
    </w:tbl>
    <w:p>
      <w:pPr>
        <w:spacing w:after="0" w:line="200" w:lineRule="exact"/>
        <w:rPr>
          <w:sz w:val="20"/>
          <w:szCs w:val="20"/>
          <w:color w:val="auto"/>
        </w:rPr>
      </w:pPr>
    </w:p>
    <w:p>
      <w:pPr>
        <w:spacing w:after="0" w:line="349" w:lineRule="exact"/>
        <w:rPr>
          <w:sz w:val="20"/>
          <w:szCs w:val="20"/>
          <w:color w:val="auto"/>
        </w:rPr>
      </w:pPr>
    </w:p>
    <w:p>
      <w:pPr>
        <w:ind w:right="7960" w:firstLine="8"/>
        <w:spacing w:after="0" w:line="293" w:lineRule="auto"/>
        <w:tabs>
          <w:tab w:leader="none" w:pos="31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and Financial Instruments </w:t>
      </w:r>
      <w:r>
        <w:rPr>
          <w:rFonts w:ascii="Arial" w:cs="Arial" w:eastAsia="Arial" w:hAnsi="Arial"/>
          <w:sz w:val="16"/>
          <w:szCs w:val="16"/>
          <w:b w:val="1"/>
          <w:bCs w:val="1"/>
          <w:i w:val="1"/>
          <w:iCs w:val="1"/>
          <w:color w:val="auto"/>
        </w:rPr>
        <w:t>Derivative financial instruments</w:t>
      </w:r>
    </w:p>
    <w:p>
      <w:pPr>
        <w:spacing w:after="0" w:line="1" w:lineRule="exact"/>
        <w:rPr>
          <w:rFonts w:ascii="Arial" w:cs="Arial" w:eastAsia="Arial" w:hAnsi="Arial"/>
          <w:sz w:val="16"/>
          <w:szCs w:val="16"/>
          <w:b w:val="1"/>
          <w:bCs w:val="1"/>
          <w:color w:val="auto"/>
        </w:rPr>
      </w:pPr>
    </w:p>
    <w:p>
      <w:pPr>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December 31, 2020 and 2019, we had outstanding foreign currency derivative contracts with gross notional U.S. dollar equivalent amounts of $12.4 million and $17.0 million, respectively. The impact of these contracts on the Consolidated Statements of Operations and Comprehensive Income was not material for any period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2020 and 2019, we had outstanding cross currency swap agreements with a combined notional amount of $855.1 million and</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$777.0 million, respectively. The agreements are accounted for as either cash flow hedges, to hedge foreign currency fluctuations on certain intercompany debt, or as net investment hedges to manage our exposure to fluctuations in the Euro-U.S. Dollar exchange rate. As of December 31, 2020 and 2019, we had deferred foreign currency losses of $32.8 million and $1.8 million, respectively,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In September 2015, we designated the €500 million 2.45% Senior Notes due 2019 (the “2019 Euro Notes”) as a net investment hedge for a portion of our net investment in our Euro denominated subsidiaries. In June 2018, the Company completed a tender offer for €363.4 million of the 2019 Euro Notes. At that time, the remaining €136.6 million of the 2019 Euro Notes were re-designated as a net investment hedge in our Euro denominated subsidiaries. In September 2019, the 2019 Euro Notes matured and were paid in full, terminating the net investment hedge. The historical gains/losses on the 2019 Euro Notes have been included as a component of the cumulative translation adjustment account within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 of December 31, 2020 and December 31, 2019, we had deferred foreign currency gains of $2.8 million,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the net investment hedge activity.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71" w:lineRule="exact"/>
        <w:rPr>
          <w:sz w:val="20"/>
          <w:szCs w:val="20"/>
          <w:color w:val="auto"/>
        </w:rPr>
      </w:pPr>
    </w:p>
    <w:p>
      <w:pPr>
        <w:ind w:left="1560" w:right="820" w:hanging="727"/>
        <w:spacing w:after="0" w:line="235" w:lineRule="auto"/>
        <w:tabs>
          <w:tab w:leader="none" w:pos="15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Valuation is based on observable inputs such as quoted market prices (unadjusted) for identical assets or liabilities in active markets.</w:t>
      </w:r>
    </w:p>
    <w:p>
      <w:pPr>
        <w:spacing w:after="0" w:line="54" w:lineRule="exact"/>
        <w:rPr>
          <w:sz w:val="20"/>
          <w:szCs w:val="20"/>
          <w:color w:val="auto"/>
        </w:rPr>
      </w:pPr>
    </w:p>
    <w:p>
      <w:pPr>
        <w:ind w:left="1560" w:right="420" w:hanging="727"/>
        <w:spacing w:after="0" w:line="289" w:lineRule="auto"/>
        <w:tabs>
          <w:tab w:leader="none" w:pos="15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short-term financial instruments (cash and cash equivalents, accounts and notes receivable, accounts and notes payable and variable-rate debt)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recorded amount approximates fair value because of the short maturity period;</w:t>
      </w:r>
    </w:p>
    <w:p>
      <w:pPr>
        <w:spacing w:after="0" w:line="156" w:lineRule="exact"/>
        <w:rPr>
          <w:rFonts w:ascii="Arial" w:cs="Arial" w:eastAsia="Arial" w:hAnsi="Arial"/>
          <w:sz w:val="16"/>
          <w:szCs w:val="16"/>
          <w:color w:val="auto"/>
        </w:rPr>
      </w:pPr>
    </w:p>
    <w:p>
      <w:pPr>
        <w:ind w:left="660" w:right="2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8"/>
          <w:szCs w:val="18"/>
          <w:color w:val="auto"/>
        </w:rPr>
        <w:t>— fair value of mutual funds and cash equivalents are based on quoted market prices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recorded amounts and estimated fair values of total debt, excluding unamortized issuance costs and discounts</w:t>
      </w:r>
      <w:r>
        <w:rPr>
          <w:rFonts w:ascii="Arial" w:cs="Arial" w:eastAsia="Arial" w:hAnsi="Arial"/>
          <w:sz w:val="20"/>
          <w:szCs w:val="20"/>
          <w:color w:val="auto"/>
        </w:rPr>
        <w:t>,</w:t>
      </w:r>
      <w:r>
        <w:rPr>
          <w:rFonts w:ascii="Arial" w:cs="Arial" w:eastAsia="Arial" w:hAnsi="Arial"/>
          <w:sz w:val="17"/>
          <w:szCs w:val="17"/>
          <w:color w:val="auto"/>
        </w:rPr>
        <w:t xml:space="preserve"> at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Recorded</w:t>
            </w:r>
          </w:p>
        </w:tc>
        <w:tc>
          <w:tcPr>
            <w:tcW w:w="26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Recorded</w:t>
            </w:r>
          </w:p>
        </w:tc>
        <w:tc>
          <w:tcPr>
            <w:tcW w:w="280" w:type="dxa"/>
            <w:vAlign w:val="bottom"/>
          </w:tcPr>
          <w:p>
            <w:pPr>
              <w:spacing w:after="0"/>
              <w:rPr>
                <w:sz w:val="14"/>
                <w:szCs w:val="14"/>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7"/>
          </w:tcPr>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1"/>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90"/>
              </w:rPr>
              <w:t>December 31, 2020</w:t>
            </w: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Level 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NAV</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3"/>
              </w:rPr>
              <w:t>(69.6)</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5"/>
              </w:rPr>
              <w:t>22.6</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3"/>
              </w:rPr>
              <w:t>(47.0)</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 2019</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NAV</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years ended December 31, 2019 and 2018, we recorded impairment charges for cost method investments in the amount of $21.2 million and $12.0 million, respectively. In 2018, a valuation method using prices in active markets was utilized to determine the fair value. In 2019, we determined the value using unobservable inputs and wrote the balance of the cost method investments to zero.</w:t>
      </w:r>
    </w:p>
    <w:p>
      <w:pPr>
        <w:spacing w:after="0" w:line="2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before income taxes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(24.6)</w:t>
            </w:r>
          </w:p>
        </w:tc>
      </w:tr>
      <w:tr>
        <w:trPr>
          <w:trHeight w:val="229"/>
        </w:trPr>
        <w:tc>
          <w:tcPr>
            <w:tcW w:w="69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404.4</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379.8</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“Federal” reflects United Kingdom (“U.K.”) income (loss) from continuing operations before income taxes.</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“International” reflects non-U.K. income from continuing operations before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8"/>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Currently payable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r>
      <w:tr>
        <w:trPr>
          <w:trHeight w:val="230"/>
        </w:trPr>
        <w:tc>
          <w:tcPr>
            <w:tcW w:w="69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64.2</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62.3</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current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9"/>
                <w:szCs w:val="19"/>
                <w:color w:val="auto"/>
              </w:rPr>
            </w:pPr>
          </w:p>
        </w:tc>
        <w:tc>
          <w:tcPr>
            <w:tcW w:w="1100" w:type="dxa"/>
            <w:vAlign w:val="bottom"/>
          </w:tcPr>
          <w:p>
            <w:pPr>
              <w:jc w:val="center"/>
              <w:ind w:left="570"/>
              <w:spacing w:after="0"/>
              <w:rPr>
                <w:sz w:val="20"/>
                <w:szCs w:val="20"/>
                <w:color w:val="auto"/>
              </w:rPr>
            </w:pPr>
            <w:r>
              <w:rPr>
                <w:rFonts w:ascii="Arial" w:cs="Arial" w:eastAsia="Arial" w:hAnsi="Arial"/>
                <w:sz w:val="18"/>
                <w:szCs w:val="18"/>
                <w:color w:val="auto"/>
                <w:w w:val="91"/>
              </w:rPr>
              <w:t>64.2</w:t>
            </w:r>
          </w:p>
        </w:tc>
        <w:tc>
          <w:tcPr>
            <w:tcW w:w="42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62.2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3"/>
              </w:rPr>
              <w:t>(18.4)</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7"/>
              </w:rPr>
              <w:t>(4.1)</w:t>
            </w: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(18.4)</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(4.1)</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45.8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58.1</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“Federal” represents U.K. taxes.</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“International” represents non-U.K. taxes.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federal statutory income tax rate to our effective tax rate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Percentages</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6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federal statutory income tax rate</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19.0 %</w:t>
            </w:r>
          </w:p>
        </w:tc>
        <w:tc>
          <w:tcPr>
            <w:tcW w:w="1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6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Tax effect of international operations </w:t>
            </w:r>
            <w:r>
              <w:rPr>
                <w:rFonts w:ascii="Arial" w:cs="Arial" w:eastAsia="Arial" w:hAnsi="Arial"/>
                <w:sz w:val="23"/>
                <w:szCs w:val="23"/>
                <w:color w:val="auto"/>
                <w:vertAlign w:val="superscript"/>
              </w:rPr>
              <w:t>(1)</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(8.2)</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(9.9)</w:t>
            </w: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1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Excess tax benefits on stock-based compensation</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(0.7)</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 erosion and anti-abuse tax</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Tax effect of U.S. tax reform</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30"/>
        </w:trPr>
        <w:tc>
          <w:tcPr>
            <w:tcW w:w="69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effect of early extinguishment of debt</w:t>
            </w:r>
          </w:p>
        </w:tc>
        <w:tc>
          <w:tcPr>
            <w:tcW w:w="1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23"/>
        </w:trPr>
        <w:tc>
          <w:tcPr>
            <w:tcW w:w="6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17.4 %</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11.2 %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15.3 %</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696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tax effect of international operations consists of non-U.K. jurisdictions.</w:t>
            </w: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9"/>
        </w:trPr>
        <w:tc>
          <w:tcPr>
            <w:tcW w:w="6960" w:type="dxa"/>
            <w:vAlign w:val="bottom"/>
            <w:gridSpan w:val="2"/>
          </w:tcPr>
          <w:p>
            <w:pPr>
              <w:spacing w:after="0"/>
              <w:rPr>
                <w:sz w:val="20"/>
                <w:szCs w:val="20"/>
                <w:color w:val="auto"/>
              </w:rPr>
            </w:pPr>
            <w:r>
              <w:rPr>
                <w:rFonts w:ascii="Arial" w:cs="Arial" w:eastAsia="Arial" w:hAnsi="Arial"/>
                <w:sz w:val="18"/>
                <w:szCs w:val="18"/>
                <w:color w:val="auto"/>
                <w:w w:val="93"/>
              </w:rPr>
              <w:t>Reconciliations of the beginning and ending gross unrecognized tax benefits were as follows:</w:t>
            </w: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Gross increases for tax positions in prior periods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for tax positions in prior periods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related to settlements with taxing authorities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Reductions due to statute expiration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record gross unrecognized tax benefits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in the Consolidated Balance Sheets. Included in the $46.3 million of total gross unrecognized tax benefits as of December 31, 2020 was $45.9 million of tax benefits that, if recognized, would impact the effective tax rate. It is reasonably possible that the gross unrecognized tax benefits as of December 31, 2020 may decrease by a range of zero to $10.6 million during 2021, primarily as a result of the resolution of non-U.K. examinations, including U.S. state examinations, and the expiration of various statutes of limitations.</w:t>
      </w:r>
    </w:p>
    <w:p>
      <w:pPr>
        <w:spacing w:after="0" w:line="13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2008 to present are under audit by tax authorities in various jurisdictions, including China, Germany, India, Italy, New Zealand, and the U.S. We anticipate that several of these audits may be concluded in the foreseeable future.</w:t>
      </w:r>
    </w:p>
    <w:p>
      <w:pPr>
        <w:spacing w:after="0" w:line="10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We record penalties and interest related to unrecognized tax benefits 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Net interest expense</w:t>
      </w:r>
      <w:r>
        <w:rPr>
          <w:rFonts w:ascii="Arial" w:cs="Arial" w:eastAsia="Arial" w:hAnsi="Arial"/>
          <w:sz w:val="17"/>
          <w:szCs w:val="17"/>
          <w:color w:val="auto"/>
        </w:rPr>
        <w:t xml:space="preserve">, respectively, in the Consolidated Statements of Operations and Comprehensive Income. As of December 31, 2020 and 2019, we have liabilities of $0.2 million and $0.4 million, respectively, for the possible payment of penalties and $4.6 million and $3.7 million, respectively, for the possible payment of interest expense, which are recorded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in the Consolidated Balance Sheets.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Deferred taxes were recorded in the Consolidated Balance Sheets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8360" w:type="dxa"/>
            <w:vAlign w:val="bottom"/>
          </w:tcPr>
          <w:p>
            <w:pPr>
              <w:spacing w:after="0"/>
              <w:rPr>
                <w:sz w:val="20"/>
                <w:szCs w:val="20"/>
                <w:color w:val="auto"/>
              </w:rPr>
            </w:pPr>
            <w:r>
              <w:rPr>
                <w:rFonts w:ascii="Arial" w:cs="Arial" w:eastAsia="Arial" w:hAnsi="Arial"/>
                <w:sz w:val="18"/>
                <w:szCs w:val="18"/>
                <w:color w:val="auto"/>
              </w:rPr>
              <w:t>The tax effects of the major items recorded as deferred tax assets and liabilities were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Accrued liabilities and reserves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compensation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loss and credit carryforwards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limitations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Included in tax loss and credit carryforwards in the table above is a deferred tax asset of $29.6 million as of December 31, 2020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2020, tax loss carryforwards of $2,923.5 million were available to offset future income. A valuation allowance of $716.7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$2,824.9 million which are subject to varying expiration periods. Non-U.S. carryforwards of $1,785.0 million are located in jurisdictions with unlimited tax loss carryforward periods, while the remainder will begin to expire in 2021. In addition, there were $98.6 million of U.S. state tax loss carryforwards as of December 31, 2020. U.S. state tax losses of $61.1 million are in jurisdictions with unlimited tax loss carryforward periods, while the remainder will expire in future years through 2040.</w:t>
      </w:r>
    </w:p>
    <w:p>
      <w:pPr>
        <w:spacing w:after="0" w:line="14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U.S. tax legislation</w:t>
      </w:r>
    </w:p>
    <w:p>
      <w:pPr>
        <w:spacing w:after="0" w:line="2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For 2018 and subsequent years, the Company considered in its annual effective tax rate additional provisions of the Act including changes to the deduction for executive compensation and interest expense, a tax on global intangible low-taxed income provisions (“GILTI”), the base erosion anti-abuse tax, and a deduction for foreign-derived intangible income. The Company has elected to treat tax on GILTI income as a period cost and has therefore included it in its annual effective tax rate.</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April 2020, the IRS released final regulations as part of the Act that place limitations on the deductibility of certain interest expense for U.S. tax purposes. These regulations resulted in discrete tax expense of approximately $14.1 million in 2020, as well as an increase to our 2020 annual effective tax rate of approximately 0.3%.</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27,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The CARES Act provides positive cash benefits of approximately $26.9 million, offset by an increase to our 2020 annual effective tax rate of approximately 1.0% and $5.1 million in discrete tax items recorded in 2020, mainly attributable to base erosion and anti-abuse tax related to 2019.</w:t>
      </w:r>
    </w:p>
    <w:p>
      <w:pPr>
        <w:spacing w:after="0" w:line="373"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2017, our Board of Directors approved amendments to terminate the Pentair Salaried Plan (the “Salaried Plan”), a U.S. qualified pension plan. The Salaried Plan discontinued accruing benefits on December 31, 2017 and the termination was effective December 31, 2017. The Salaried Plan participants were not adversely affected by the plan termination.</w:t>
      </w:r>
    </w:p>
    <w:p>
      <w:pPr>
        <w:spacing w:after="0" w:line="13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2018, participants whose plan benefits were not in pay status as of July 1, 2018 were given the opportunity to elect a lump sum (or monthly annuity) payment during a special election window. Payments of $171.9 million were made to participants who elected to receive a lump sum during this window.</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2019, the Company received all required government approvals to complete the termination of the Salaried Plan. In June 2019, we entered into an agreement with an insurance company to purchase from us, through an annuity contract, our remaining obligations under the Salaried Plan. For the year ended December 31, 2019, we contributed $11.1 million to the Salaried Plan as part of the process to settle our obligations. As a result of these actions, a non-cash pre-tax settlement gain of $11.8 million was recorded for the year ended December 31, 2019 and is reflected within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in the Net periodic benefit expense table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herein relates to defined-benefit pension and other post-retirement plans of our continuing operations only.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2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 following tables present reconciliations of plan benefit obligations, fair value of plan assets and the funded status of pension plans and other post-retirement plans as of and for the years ended December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rPr>
              <w:t>Pension plans</w:t>
            </w:r>
          </w:p>
        </w:tc>
        <w:tc>
          <w:tcPr>
            <w:tcW w:w="280" w:type="dxa"/>
            <w:vAlign w:val="bottom"/>
          </w:tcPr>
          <w:p>
            <w:pPr>
              <w:spacing w:after="0"/>
              <w:rPr>
                <w:sz w:val="17"/>
                <w:szCs w:val="17"/>
                <w:color w:val="auto"/>
              </w:rPr>
            </w:pPr>
          </w:p>
        </w:tc>
        <w:tc>
          <w:tcPr>
            <w:tcW w:w="23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9"/>
              </w:rPr>
              <w:t>Other post-retirement</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Funded status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auto"/>
            </w:tcBorders>
            <w:gridSpan w:val="5"/>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80" w:type="dxa"/>
            <w:vAlign w:val="bottom"/>
            <w:gridSpan w:val="8"/>
          </w:tcPr>
          <w:p>
            <w:pPr>
              <w:spacing w:after="0"/>
              <w:rPr>
                <w:sz w:val="20"/>
                <w:szCs w:val="20"/>
                <w:color w:val="auto"/>
              </w:rPr>
            </w:pPr>
            <w:r>
              <w:rPr>
                <w:rFonts w:ascii="Arial" w:cs="Arial" w:eastAsia="Arial" w:hAnsi="Arial"/>
                <w:sz w:val="18"/>
                <w:szCs w:val="18"/>
                <w:color w:val="auto"/>
                <w:w w:val="95"/>
              </w:rPr>
              <w:t>The actuarial loss in 2020 was primarily due to declines in the discount rates to reflect economic conditions at December 31, 2020.</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0" w:type="dxa"/>
            <w:vAlign w:val="bottom"/>
          </w:tcPr>
          <w:p>
            <w:pPr>
              <w:spacing w:after="0"/>
              <w:rPr>
                <w:sz w:val="20"/>
                <w:szCs w:val="20"/>
                <w:color w:val="auto"/>
              </w:rPr>
            </w:pPr>
            <w:r>
              <w:rPr>
                <w:rFonts w:ascii="Arial" w:cs="Arial" w:eastAsia="Arial" w:hAnsi="Arial"/>
                <w:sz w:val="18"/>
                <w:szCs w:val="18"/>
                <w:color w:val="auto"/>
              </w:rPr>
              <w:t>Amounts recorded in the Consolidated Balance Sheets were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rPr>
              <w:t>Pension plans</w:t>
            </w:r>
          </w:p>
        </w:tc>
        <w:tc>
          <w:tcPr>
            <w:tcW w:w="280" w:type="dxa"/>
            <w:vAlign w:val="bottom"/>
          </w:tcPr>
          <w:p>
            <w:pPr>
              <w:spacing w:after="0"/>
              <w:rPr>
                <w:sz w:val="24"/>
                <w:szCs w:val="24"/>
                <w:color w:val="auto"/>
              </w:rPr>
            </w:pPr>
          </w:p>
        </w:tc>
        <w:tc>
          <w:tcPr>
            <w:tcW w:w="23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9"/>
              </w:rPr>
              <w:t>Other post-retirement</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benefit obligation for all defined benefit plans was $119.3 million and $107.1 million at December 31, 2020 and 2019, respectively.</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for pension plans with an accumulated benefit obligation or projected benefit obligation in excess of plan assets as of December 31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Projected benefit obligation</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1"/>
              </w:rPr>
              <w:t>Accumulated benefit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obligation</w:t>
            </w:r>
          </w:p>
        </w:tc>
      </w:t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exceeds the fair value</w:t>
            </w:r>
          </w:p>
        </w:tc>
        <w:tc>
          <w:tcPr>
            <w:tcW w:w="160" w:type="dxa"/>
            <w:vAlign w:val="bottom"/>
          </w:tcPr>
          <w:p>
            <w:pPr>
              <w:spacing w:after="0"/>
              <w:rPr>
                <w:sz w:val="15"/>
                <w:szCs w:val="15"/>
                <w:color w:val="auto"/>
              </w:rPr>
            </w:pPr>
          </w:p>
        </w:tc>
        <w:tc>
          <w:tcPr>
            <w:tcW w:w="2700" w:type="dxa"/>
            <w:vAlign w:val="bottom"/>
            <w:gridSpan w:val="2"/>
          </w:tcPr>
          <w:p>
            <w:pPr>
              <w:jc w:val="right"/>
              <w:ind w:right="430"/>
              <w:spacing w:after="0" w:line="176" w:lineRule="exact"/>
              <w:rPr>
                <w:sz w:val="20"/>
                <w:szCs w:val="20"/>
                <w:color w:val="auto"/>
              </w:rPr>
            </w:pPr>
            <w:r>
              <w:rPr>
                <w:rFonts w:ascii="Arial" w:cs="Arial" w:eastAsia="Arial" w:hAnsi="Arial"/>
                <w:sz w:val="18"/>
                <w:szCs w:val="18"/>
                <w:b w:val="1"/>
                <w:bCs w:val="1"/>
                <w:color w:val="auto"/>
              </w:rPr>
              <w:t>exceeds the fair value of</w:t>
            </w:r>
          </w:p>
        </w:tc>
      </w:tr>
      <w:tr>
        <w:trPr>
          <w:trHeight w:val="230"/>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84"/>
              </w:rPr>
              <w:t>of plan assets</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plan assets</w:t>
            </w:r>
          </w:p>
        </w:tc>
        <w:tc>
          <w:tcPr>
            <w:tcW w:w="1000" w:type="dxa"/>
            <w:vAlign w:val="bottom"/>
            <w:tcBorders>
              <w:bottom w:val="single" w:sz="8" w:color="auto"/>
            </w:tcBorders>
          </w:tcPr>
          <w:p>
            <w:pPr>
              <w:spacing w:after="0"/>
              <w:rPr>
                <w:sz w:val="19"/>
                <w:szCs w:val="19"/>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120.8 $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120.8 $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120" w:type="dxa"/>
            <w:vAlign w:val="bottom"/>
          </w:tcPr>
          <w:p>
            <w:pPr>
              <w:spacing w:after="0"/>
              <w:rPr>
                <w:sz w:val="19"/>
                <w:szCs w:val="19"/>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33.7</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33.7</w:t>
            </w: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9"/>
              </w:rPr>
              <w:t>N/A</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86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jc w:val="right"/>
              <w:ind w:right="1550"/>
              <w:spacing w:after="0"/>
              <w:rPr>
                <w:sz w:val="20"/>
                <w:szCs w:val="20"/>
                <w:color w:val="auto"/>
              </w:rPr>
            </w:pPr>
            <w:r>
              <w:rPr>
                <w:rFonts w:ascii="Arial" w:cs="Arial" w:eastAsia="Arial" w:hAnsi="Arial"/>
                <w:sz w:val="18"/>
                <w:szCs w:val="18"/>
                <w:color w:val="auto"/>
                <w:w w:val="89"/>
              </w:rPr>
              <w:t>68</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years ended December 31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7"/>
              </w:rPr>
              <w:t>2.6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20" w:type="dxa"/>
            <w:vAlign w:val="bottom"/>
          </w:tcPr>
          <w:p>
            <w:pPr>
              <w:jc w:val="center"/>
              <w:ind w:left="590"/>
              <w:spacing w:after="0"/>
              <w:rPr>
                <w:sz w:val="20"/>
                <w:szCs w:val="20"/>
                <w:color w:val="auto"/>
              </w:rPr>
            </w:pPr>
            <w:r>
              <w:rPr>
                <w:rFonts w:ascii="Arial" w:cs="Arial" w:eastAsia="Arial" w:hAnsi="Arial"/>
                <w:sz w:val="18"/>
                <w:szCs w:val="18"/>
                <w:color w:val="auto"/>
                <w:w w:val="87"/>
              </w:rPr>
              <w:t>7.3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(3.9)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actuarial loss (gain)</w:t>
            </w:r>
          </w:p>
        </w:tc>
        <w:tc>
          <w:tcPr>
            <w:tcW w:w="2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(4.1)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expense</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352" w:lineRule="auto"/>
        <w:rPr>
          <w:sz w:val="20"/>
          <w:szCs w:val="20"/>
          <w:color w:val="auto"/>
        </w:rPr>
      </w:pPr>
      <w:r>
        <w:rPr>
          <w:rFonts w:ascii="Arial" w:cs="Arial" w:eastAsia="Arial" w:hAnsi="Arial"/>
          <w:sz w:val="18"/>
          <w:szCs w:val="18"/>
          <w:color w:val="auto"/>
        </w:rPr>
        <w:t xml:space="preserve">Components of net periodic benefit expense for our other post-retirement plans for the years ended December 31, 2020, 2019 and 2018, were not material. </w:t>
      </w:r>
      <w:r>
        <w:rPr>
          <w:rFonts w:ascii="Arial" w:cs="Arial" w:eastAsia="Arial" w:hAnsi="Arial"/>
          <w:sz w:val="18"/>
          <w:szCs w:val="18"/>
          <w:b w:val="1"/>
          <w:bCs w:val="1"/>
          <w:i w:val="1"/>
          <w:iCs w:val="1"/>
          <w:color w:val="auto"/>
        </w:rPr>
        <w:t>Assumptions</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following table provides the weighted-average assumptions used to determine benefit obligations and net periodic benefit cost as they pertain to our pension and other post-retirement plans.</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5"/>
              </w:rPr>
              <w:t>Pension plans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Other post-retirement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plans</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2019</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Benefit obligation assumptions </w:t>
            </w:r>
            <w:r>
              <w:rPr>
                <w:rFonts w:ascii="Arial" w:cs="Arial" w:eastAsia="Arial" w:hAnsi="Arial"/>
                <w:sz w:val="23"/>
                <w:szCs w:val="23"/>
                <w:b w:val="1"/>
                <w:bCs w:val="1"/>
                <w:color w:val="auto"/>
                <w:vertAlign w:val="superscript"/>
              </w:rPr>
              <w:t>(1)</w:t>
            </w: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1.74 %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2.68 %</w:t>
            </w:r>
          </w:p>
        </w:tc>
        <w:tc>
          <w:tcPr>
            <w:tcW w:w="900" w:type="dxa"/>
            <w:vAlign w:val="bottom"/>
          </w:tcPr>
          <w:p>
            <w:pPr>
              <w:jc w:val="right"/>
              <w:spacing w:after="0"/>
              <w:rPr>
                <w:sz w:val="20"/>
                <w:szCs w:val="20"/>
                <w:color w:val="auto"/>
              </w:rPr>
            </w:pPr>
            <w:r>
              <w:rPr>
                <w:rFonts w:ascii="Arial" w:cs="Arial" w:eastAsia="Arial" w:hAnsi="Arial"/>
                <w:sz w:val="18"/>
                <w:szCs w:val="18"/>
                <w:color w:val="auto"/>
              </w:rPr>
              <w:t>3.73 %</w:t>
            </w:r>
          </w:p>
        </w:tc>
        <w:tc>
          <w:tcPr>
            <w:tcW w:w="100" w:type="dxa"/>
            <w:vAlign w:val="bottom"/>
          </w:tcPr>
          <w:p>
            <w:pPr>
              <w:spacing w:after="0"/>
              <w:rPr>
                <w:sz w:val="19"/>
                <w:szCs w:val="19"/>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1.77 %</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2.81 %</w:t>
            </w:r>
          </w:p>
        </w:tc>
        <w:tc>
          <w:tcPr>
            <w:tcW w:w="720" w:type="dxa"/>
            <w:vAlign w:val="bottom"/>
          </w:tcPr>
          <w:p>
            <w:pPr>
              <w:ind w:left="200"/>
              <w:spacing w:after="0"/>
              <w:rPr>
                <w:sz w:val="20"/>
                <w:szCs w:val="20"/>
                <w:color w:val="auto"/>
              </w:rPr>
            </w:pPr>
            <w:r>
              <w:rPr>
                <w:rFonts w:ascii="Arial" w:cs="Arial" w:eastAsia="Arial" w:hAnsi="Arial"/>
                <w:sz w:val="18"/>
                <w:szCs w:val="18"/>
                <w:color w:val="auto"/>
                <w:w w:val="89"/>
              </w:rPr>
              <w:t>3.95 %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3.68 %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expense assumptions</w:t>
            </w: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3.70 %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2.81 %</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3.95 %</w:t>
            </w: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3.40 %</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3.32 %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4.37 %</w:t>
            </w:r>
          </w:p>
        </w:tc>
        <w:tc>
          <w:tcPr>
            <w:tcW w:w="900" w:type="dxa"/>
            <w:vAlign w:val="bottom"/>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Pr>
          <w:p>
            <w:pPr>
              <w:spacing w:after="0"/>
              <w:rPr>
                <w:sz w:val="19"/>
                <w:szCs w:val="19"/>
                <w:color w:val="auto"/>
              </w:rPr>
            </w:pPr>
          </w:p>
        </w:tc>
        <w:tc>
          <w:tcPr>
            <w:tcW w:w="1220" w:type="dxa"/>
            <w:vAlign w:val="bottom"/>
          </w:tcPr>
          <w:p>
            <w:pPr>
              <w:ind w:left="380"/>
              <w:spacing w:after="0"/>
              <w:rPr>
                <w:sz w:val="20"/>
                <w:szCs w:val="20"/>
                <w:color w:val="auto"/>
              </w:rPr>
            </w:pPr>
            <w:r>
              <w:rPr>
                <w:rFonts w:ascii="Arial" w:cs="Arial" w:eastAsia="Arial" w:hAnsi="Arial"/>
                <w:sz w:val="18"/>
                <w:szCs w:val="18"/>
                <w:color w:val="auto"/>
              </w:rPr>
              <w:t>N/A</w:t>
            </w:r>
          </w:p>
        </w:tc>
        <w:tc>
          <w:tcPr>
            <w:tcW w:w="1260" w:type="dxa"/>
            <w:vAlign w:val="bottom"/>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3.72 %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right="420" w:hanging="172"/>
        <w:spacing w:after="0" w:line="238" w:lineRule="auto"/>
        <w:tabs>
          <w:tab w:leader="none" w:pos="213" w:val="left"/>
        </w:tabs>
        <w:numPr>
          <w:ilvl w:val="0"/>
          <w:numId w:val="54"/>
        </w:numPr>
        <w:rPr>
          <w:rFonts w:ascii="Arial" w:cs="Arial" w:eastAsia="Arial" w:hAnsi="Arial"/>
          <w:sz w:val="22"/>
          <w:szCs w:val="22"/>
          <w:color w:val="auto"/>
          <w:vertAlign w:val="superscript"/>
        </w:rPr>
      </w:pPr>
      <w:r>
        <w:rPr>
          <w:rFonts w:ascii="Arial" w:cs="Arial" w:eastAsia="Arial" w:hAnsi="Arial"/>
          <w:sz w:val="17"/>
          <w:szCs w:val="17"/>
          <w:color w:val="auto"/>
        </w:rPr>
        <w:t>The benefit obligation for the Salaried Plan as of December 31, 2018 was determined using assumptions reflecting the termination of the plan. As a result, the 2018 weighted-average assumptions for the pension plans reflected in the table above do not include the Salaried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rates of return</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returns of 9.68%, 8.85% and (5.60)% in 2020,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cost trend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assumed healthcare cost trend rates for other post-retirement plans as of December 31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following year</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5.4 %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0" w:type="dxa"/>
            <w:vAlign w:val="bottom"/>
          </w:tcPr>
          <w:p>
            <w:pPr>
              <w:spacing w:after="0"/>
              <w:rPr>
                <w:sz w:val="19"/>
                <w:szCs w:val="19"/>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4.4 %</w:t>
            </w:r>
          </w:p>
        </w:tc>
        <w:tc>
          <w:tcPr>
            <w:tcW w:w="1280" w:type="dxa"/>
            <w:vAlign w:val="bottom"/>
          </w:tcPr>
          <w:p>
            <w:pPr>
              <w:jc w:val="right"/>
              <w:spacing w:after="0"/>
              <w:rPr>
                <w:sz w:val="20"/>
                <w:szCs w:val="20"/>
                <w:color w:val="auto"/>
              </w:rPr>
            </w:pPr>
            <w:r>
              <w:rPr>
                <w:rFonts w:ascii="Arial" w:cs="Arial" w:eastAsia="Arial" w:hAnsi="Arial"/>
                <w:sz w:val="18"/>
                <w:szCs w:val="18"/>
                <w:color w:val="auto"/>
              </w:rPr>
              <w:t>4.4 %</w:t>
            </w:r>
          </w:p>
        </w:tc>
        <w:tc>
          <w:tcPr>
            <w:tcW w:w="20" w:type="dxa"/>
            <w:vAlign w:val="bottom"/>
          </w:tcPr>
          <w:p>
            <w:pPr>
              <w:spacing w:after="0"/>
              <w:rPr>
                <w:sz w:val="19"/>
                <w:szCs w:val="19"/>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the cost trend rate reaches the ultimate trend rate</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r>
      <w:tr>
        <w:trPr>
          <w:trHeight w:val="850"/>
        </w:trPr>
        <w:tc>
          <w:tcPr>
            <w:tcW w:w="9140" w:type="dxa"/>
            <w:vAlign w:val="bottom"/>
          </w:tcPr>
          <w:p>
            <w:pPr>
              <w:jc w:val="right"/>
              <w:ind w:right="3330"/>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w:t>
      </w:r>
    </w:p>
    <w:p>
      <w:pPr>
        <w:spacing w:after="0" w:line="9"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actual overall asset allocation for our pension plans as compared to our investment policy goals as of December 31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Actual</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Target</w:t>
            </w:r>
          </w:p>
        </w:tc>
        <w:tc>
          <w:tcPr>
            <w:tcW w:w="114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Alternative</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30 %</w:t>
            </w: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29 %</w:t>
            </w:r>
          </w:p>
        </w:tc>
        <w:tc>
          <w:tcPr>
            <w:tcW w:w="11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fair values of our pension plan assets and their respective levels in the fair value hierarchy as of December 31, 2020 and December 31, 2019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December 31, 2019</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methodologies used for investments measured at fair value were as follows:</w:t>
      </w:r>
    </w:p>
    <w:p>
      <w:pPr>
        <w:spacing w:after="0" w:line="171" w:lineRule="exact"/>
        <w:rPr>
          <w:sz w:val="20"/>
          <w:szCs w:val="20"/>
          <w:color w:val="auto"/>
        </w:rPr>
      </w:pPr>
    </w:p>
    <w:p>
      <w:pPr>
        <w:ind w:left="660" w:right="460" w:hanging="328"/>
        <w:spacing w:after="0" w:line="342"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consists of cash held in bank accounts and is considered a Level 1 investment. Cash equivalents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commingled funds valued based on observable market data. Such investments are considered a Level 2 investment.</w:t>
      </w:r>
    </w:p>
    <w:p>
      <w:pPr>
        <w:spacing w:after="0" w:line="69" w:lineRule="exact"/>
        <w:rPr>
          <w:rFonts w:ascii="Arial" w:cs="Arial" w:eastAsia="Arial" w:hAnsi="Arial"/>
          <w:sz w:val="16"/>
          <w:szCs w:val="16"/>
          <w:color w:val="auto"/>
        </w:rPr>
      </w:pPr>
    </w:p>
    <w:p>
      <w:pPr>
        <w:ind w:left="660" w:right="880" w:hanging="328"/>
        <w:spacing w:after="0" w:line="342"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investments: </w:t>
      </w:r>
      <w:r>
        <w:rPr>
          <w:rFonts w:ascii="Arial" w:cs="Arial" w:eastAsia="Arial" w:hAnsi="Arial"/>
          <w:sz w:val="16"/>
          <w:szCs w:val="16"/>
          <w:color w:val="auto"/>
        </w:rPr>
        <w:t>Other investments include investments in commingled funds with diversified investment strategies.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commingled funds that were valued based on unobservable inputs due to liquidation restrictions were classified as Level 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Activity for our Level 3 pension plan assets held during the years ended December 31, 2020 and 2019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9" w:lineRule="exact"/>
        <w:rPr>
          <w:sz w:val="20"/>
          <w:szCs w:val="20"/>
          <w:color w:val="auto"/>
        </w:rPr>
      </w:pPr>
    </w:p>
    <w:p>
      <w:pPr>
        <w:ind w:right="880"/>
        <w:spacing w:after="0" w:line="290" w:lineRule="auto"/>
        <w:rPr>
          <w:sz w:val="20"/>
          <w:szCs w:val="20"/>
          <w:color w:val="auto"/>
        </w:rPr>
      </w:pPr>
      <w:r>
        <w:rPr>
          <w:rFonts w:ascii="Arial" w:cs="Arial" w:eastAsia="Arial" w:hAnsi="Arial"/>
          <w:sz w:val="17"/>
          <w:szCs w:val="17"/>
          <w:color w:val="auto"/>
        </w:rPr>
        <w:t>Pension contributions totaled $7.1 million and $18.0 million in 2020 and 2019, respectively. We anticipate our 2021 pension contributions to be approximately $6.5 million. The 2021 expected contributions will equal or exceed our minimum funding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following benefit payments, which reflect expected future service or payout from termination, as appropriate, are expected to be paid by the plans in each of the next five fiscal years and in the aggregate for the five fiscal years thereafter are as follows: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Other post-</w:t>
            </w:r>
          </w:p>
        </w:tc>
        <w:tc>
          <w:tcPr>
            <w:tcW w:w="0" w:type="dxa"/>
            <w:vAlign w:val="bottom"/>
          </w:tcPr>
          <w:p>
            <w:pPr>
              <w:spacing w:after="0"/>
              <w:rPr>
                <w:sz w:val="1"/>
                <w:szCs w:val="1"/>
                <w:color w:val="auto"/>
              </w:rPr>
            </w:pPr>
          </w:p>
        </w:tc>
      </w:tr>
      <w:tr>
        <w:trPr>
          <w:trHeight w:val="176"/>
        </w:trPr>
        <w:tc>
          <w:tcPr>
            <w:tcW w:w="4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860" w:type="dxa"/>
            <w:vAlign w:val="bottom"/>
          </w:tcPr>
          <w:p>
            <w:pPr>
              <w:spacing w:after="0"/>
              <w:rPr>
                <w:sz w:val="15"/>
                <w:szCs w:val="15"/>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8"/>
              </w:rPr>
              <w:t>Pension plans</w:t>
            </w:r>
          </w:p>
        </w:tc>
        <w:tc>
          <w:tcPr>
            <w:tcW w:w="22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3"/>
              </w:rPr>
              <w:t>retirement</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vMerge w:val="continue"/>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plans</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38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plan</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have a 401(k) plan (the “401(k) plan”) with an employee share ownership (“ESOP”) bonus component, which covers certain union and all non-union U.S. employees who met certain age requirements. Under the 401(k) plan, eligible U.S. employees may voluntarily contribute a percentage of their eligible compensation. We match contributions made by employees who met certain eligibility and service requirements. The 401(k) company match contribution is a dollar-for-dollar (100%) matching contribution on up to 5% of employee eligible earnings, contributed as before-tax contributions.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2018, in addition to the matching contribution, all employees who met certain service requirements received a discretionary ESOP contribution equal to 1.5% of annual eligible compensation.</w:t>
      </w:r>
    </w:p>
    <w:p>
      <w:pPr>
        <w:spacing w:after="0" w:line="116" w:lineRule="exact"/>
        <w:rPr>
          <w:sz w:val="20"/>
          <w:szCs w:val="20"/>
          <w:color w:val="auto"/>
        </w:rPr>
      </w:pPr>
    </w:p>
    <w:p>
      <w:pPr>
        <w:ind w:right="640"/>
        <w:spacing w:after="0" w:line="352" w:lineRule="auto"/>
        <w:rPr>
          <w:sz w:val="20"/>
          <w:szCs w:val="20"/>
          <w:color w:val="auto"/>
        </w:rPr>
      </w:pPr>
      <w:r>
        <w:rPr>
          <w:rFonts w:ascii="Arial" w:cs="Arial" w:eastAsia="Arial" w:hAnsi="Arial"/>
          <w:sz w:val="18"/>
          <w:szCs w:val="18"/>
          <w:color w:val="auto"/>
        </w:rPr>
        <w:t xml:space="preserve">Our combined expense for the 401(k) plan and the ESOP was $15.3 million, $14.4 million and $23.4 million in 2020, 2019 and 2018, respectively. </w:t>
      </w:r>
      <w:r>
        <w:rPr>
          <w:rFonts w:ascii="Arial" w:cs="Arial" w:eastAsia="Arial" w:hAnsi="Arial"/>
          <w:sz w:val="18"/>
          <w:szCs w:val="18"/>
          <w:b w:val="1"/>
          <w:bCs w:val="1"/>
          <w:i w:val="1"/>
          <w:iCs w:val="1"/>
          <w:color w:val="auto"/>
        </w:rPr>
        <w:t>Other retirement compensation</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 xml:space="preserve">Total other accrued retirement compensation, primarily related to deferred compensation and supplemental retirement plans, was $30.7 million and $29.0 million as of December 31, 2020 and 2019, respectively, and is included in </w:t>
      </w:r>
      <w:r>
        <w:rPr>
          <w:rFonts w:ascii="Arial" w:cs="Arial" w:eastAsia="Arial" w:hAnsi="Arial"/>
          <w:sz w:val="18"/>
          <w:szCs w:val="18"/>
          <w:i w:val="1"/>
          <w:iCs w:val="1"/>
          <w:color w:val="auto"/>
        </w:rPr>
        <w:t>Pension and other post-retirement compensation and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in the Consolidated Balance Sheets.</w:t>
      </w:r>
    </w:p>
    <w:p>
      <w:pPr>
        <w:spacing w:after="0" w:line="375" w:lineRule="exact"/>
        <w:rPr>
          <w:sz w:val="20"/>
          <w:szCs w:val="20"/>
          <w:color w:val="auto"/>
        </w:rPr>
      </w:pPr>
    </w:p>
    <w:p>
      <w:pPr>
        <w:ind w:right="9160" w:firstLine="8"/>
        <w:spacing w:after="0" w:line="276" w:lineRule="auto"/>
        <w:tabs>
          <w:tab w:leader="none" w:pos="405"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b w:val="1"/>
          <w:bCs w:val="1"/>
          <w:i w:val="1"/>
          <w:iCs w:val="1"/>
          <w:color w:val="auto"/>
        </w:rPr>
        <w:t>Authorized shares</w:t>
      </w:r>
    </w:p>
    <w:p>
      <w:pPr>
        <w:spacing w:after="0"/>
        <w:rPr>
          <w:rFonts w:ascii="Arial" w:cs="Arial" w:eastAsia="Arial" w:hAnsi="Arial"/>
          <w:sz w:val="17"/>
          <w:szCs w:val="17"/>
          <w:b w:val="1"/>
          <w:bCs w:val="1"/>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expires on May 31, 2021. On December 8, 2020, the Board of Directors authorized the repurchase of our ordinary shares up to a maximum dollar limit of $750.0 million (the “2020 Authorization”). The 2020 Authorization expires on December 31, 2025. The 2020 Authorization supplements the 2018 Authorization.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we repurchased 4.0 million of our ordinary shares for $150.0 million under the 2018 Authorization.</w:t>
      </w:r>
    </w:p>
    <w:p>
      <w:pPr>
        <w:spacing w:after="0" w:line="183"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During the year ended December 31, 2020, we repurchased 3.7 million of our ordinary shares for $150.2 million under the 2018 Authorization. As of December 31, 2020, we had $99.7 million and $750.0 million available for share repurchases under the 2018 Authorization and 2020 Authorization,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December 8, 2020, the Board of Directors approved a 5 percent increase in the Company’s regular quarterly dividend rate (from $0.19 per share to $0.20 per share) that was paid on February 5, 2021 to shareholders of record at the close of business on January 22, 2021.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$33.2 million at December 31, 2020. Dividends paid per ordinary share were $0.76, $0.72 and $1.05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2020, 2019 and 2018 was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$3.4 million for the year ended December 31, 2018 was reported as part of </w:t>
      </w:r>
      <w:r>
        <w:rPr>
          <w:rFonts w:ascii="Arial" w:cs="Arial" w:eastAsia="Arial" w:hAnsi="Arial"/>
          <w:sz w:val="18"/>
          <w:szCs w:val="18"/>
          <w:i w:val="1"/>
          <w:iCs w:val="1"/>
          <w:color w:val="auto"/>
        </w:rPr>
        <w:t>Income (loss) from</w:t>
      </w:r>
      <w:r>
        <w:rPr>
          <w:rFonts w:ascii="Arial" w:cs="Arial" w:eastAsia="Arial" w:hAnsi="Arial"/>
          <w:sz w:val="18"/>
          <w:szCs w:val="18"/>
          <w:color w:val="auto"/>
        </w:rPr>
        <w:t xml:space="preserve"> </w:t>
      </w:r>
      <w:r>
        <w:rPr>
          <w:rFonts w:ascii="Arial" w:cs="Arial" w:eastAsia="Arial" w:hAnsi="Arial"/>
          <w:sz w:val="18"/>
          <w:szCs w:val="18"/>
          <w:i w:val="1"/>
          <w:iCs w:val="1"/>
          <w:color w:val="auto"/>
        </w:rPr>
        <w:t>discontinued operations, net of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and incentive stock options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performance shares and performance units</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all plans for the year ended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average</w:t>
            </w:r>
          </w:p>
        </w:tc>
        <w:tc>
          <w:tcPr>
            <w:tcW w:w="32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2200" w:type="dxa"/>
            <w:vAlign w:val="bottom"/>
            <w:vMerge w:val="restart"/>
          </w:tcPr>
          <w:p>
            <w:pPr>
              <w:jc w:val="center"/>
              <w:ind w:left="87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average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and intrinsic value in millions</w:t>
            </w:r>
          </w:p>
        </w:tc>
        <w:tc>
          <w:tcPr>
            <w:tcW w:w="2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3"/>
              </w:rPr>
              <w:t>exercise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contractual life</w:t>
            </w:r>
          </w:p>
        </w:tc>
        <w:tc>
          <w:tcPr>
            <w:tcW w:w="3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82"/>
              </w:rPr>
              <w:t>shares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220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7"/>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37.29</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Granted</w:t>
            </w:r>
          </w:p>
        </w:tc>
        <w:tc>
          <w:tcPr>
            <w:tcW w:w="2200" w:type="dxa"/>
            <w:vAlign w:val="bottom"/>
          </w:tcPr>
          <w:p>
            <w:pPr>
              <w:jc w:val="center"/>
              <w:ind w:left="1730"/>
              <w:spacing w:after="0"/>
              <w:rPr>
                <w:sz w:val="20"/>
                <w:szCs w:val="20"/>
                <w:color w:val="auto"/>
              </w:rPr>
            </w:pPr>
            <w:r>
              <w:rPr>
                <w:rFonts w:ascii="Arial" w:cs="Arial" w:eastAsia="Arial" w:hAnsi="Arial"/>
                <w:sz w:val="18"/>
                <w:szCs w:val="18"/>
                <w:color w:val="auto"/>
                <w:w w:val="87"/>
              </w:rPr>
              <w:t>0.4</w:t>
            </w:r>
          </w:p>
        </w:tc>
        <w:tc>
          <w:tcPr>
            <w:tcW w:w="1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44.58</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20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7"/>
              </w:rPr>
              <w:t>(1.1)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30.05</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2200" w:type="dxa"/>
            <w:vAlign w:val="bottom"/>
            <w:tcBorders>
              <w:bottom w:val="single" w:sz="8" w:color="auto"/>
            </w:tcBorders>
          </w:tcPr>
          <w:p>
            <w:pPr>
              <w:jc w:val="center"/>
              <w:ind w:left="1710"/>
              <w:spacing w:after="0"/>
              <w:rPr>
                <w:sz w:val="20"/>
                <w:szCs w:val="20"/>
                <w:color w:val="auto"/>
              </w:rPr>
            </w:pPr>
            <w:r>
              <w:rPr>
                <w:rFonts w:ascii="Arial" w:cs="Arial" w:eastAsia="Arial" w:hAnsi="Arial"/>
                <w:sz w:val="18"/>
                <w:szCs w:val="18"/>
                <w:color w:val="auto"/>
                <w:w w:val="97"/>
              </w:rPr>
              <w:t>(0.3)</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45.61</w:t>
            </w: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200" w:type="dxa"/>
            <w:vAlign w:val="bottom"/>
            <w:tcBorders>
              <w:bottom w:val="single" w:sz="8" w:color="auto"/>
            </w:tcBorders>
            <w:shd w:val="clear" w:color="auto" w:fill="CCEEFF"/>
          </w:tcPr>
          <w:p>
            <w:pPr>
              <w:jc w:val="center"/>
              <w:ind w:left="1730"/>
              <w:spacing w:after="0"/>
              <w:rPr>
                <w:sz w:val="20"/>
                <w:szCs w:val="20"/>
                <w:color w:val="auto"/>
              </w:rPr>
            </w:pPr>
            <w:r>
              <w:rPr>
                <w:rFonts w:ascii="Arial" w:cs="Arial" w:eastAsia="Arial" w:hAnsi="Arial"/>
                <w:sz w:val="18"/>
                <w:szCs w:val="18"/>
                <w:color w:val="auto"/>
                <w:w w:val="87"/>
              </w:rPr>
              <w:t>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40.47</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as of December 31, 2020</w:t>
            </w:r>
          </w:p>
        </w:tc>
        <w:tc>
          <w:tcPr>
            <w:tcW w:w="2200" w:type="dxa"/>
            <w:vAlign w:val="bottom"/>
          </w:tcPr>
          <w:p>
            <w:pPr>
              <w:jc w:val="center"/>
              <w:ind w:left="1730"/>
              <w:spacing w:after="0" w:line="203" w:lineRule="exact"/>
              <w:rPr>
                <w:sz w:val="20"/>
                <w:szCs w:val="20"/>
                <w:color w:val="auto"/>
              </w:rPr>
            </w:pPr>
            <w:r>
              <w:rPr>
                <w:rFonts w:ascii="Arial" w:cs="Arial" w:eastAsia="Arial" w:hAnsi="Arial"/>
                <w:sz w:val="18"/>
                <w:szCs w:val="18"/>
                <w:color w:val="auto"/>
                <w:w w:val="87"/>
              </w:rPr>
              <w:t>2.1</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39.72</w:t>
            </w: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87"/>
              </w:rPr>
              <w:t>4.7</w:t>
            </w:r>
          </w:p>
        </w:tc>
        <w:tc>
          <w:tcPr>
            <w:tcW w:w="3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as of December 31, 2020</w:t>
            </w:r>
          </w:p>
        </w:tc>
        <w:tc>
          <w:tcPr>
            <w:tcW w:w="220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7"/>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options granted</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weighted average grant date fair value of options granted under Pentair plans in 2020, 2019 and 2018 was estimated to be $9.55, $8.86 and $10.92 per share, respectively. The total intrinsic value of options that were exercised during 2020, 2019 and 2018 was $18.0 million, $9.5 million and $18.2 million, respectively. At December 31, 2020, the total unrecognized compensation cost related to stock options was $3.0 million. This cost is expected to be recognized over a weighted average period of 1.8 years.</w:t>
      </w:r>
    </w:p>
    <w:p>
      <w:pPr>
        <w:spacing w:after="0" w:line="1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7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1.61 %</w:t>
            </w:r>
          </w:p>
        </w:tc>
        <w:tc>
          <w:tcPr>
            <w:tcW w:w="1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2.89 %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1.80 %</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1.78 %</w:t>
            </w:r>
          </w:p>
        </w:tc>
        <w:tc>
          <w:tcPr>
            <w:tcW w:w="128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24.10 %</w:t>
            </w:r>
          </w:p>
        </w:tc>
        <w:tc>
          <w:tcPr>
            <w:tcW w:w="1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23.30 %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Cash received from option exercises for the years ended December 31, 2020, 2019 and 2018 was $30.8 million, $15.5 million and $19.5 million, respectively. The actual tax benefit realized for the tax deductions from options exercised totaled $2.9 million, $2.8 million and $5.6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under all plans for the year ended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4040" w:type="dxa"/>
            <w:vAlign w:val="bottom"/>
            <w:vMerge w:val="restart"/>
          </w:tcPr>
          <w:p>
            <w:pPr>
              <w:jc w:val="center"/>
              <w:ind w:left="273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5"/>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vMerge w:val="continue"/>
          </w:tcPr>
          <w:p>
            <w:pPr>
              <w:spacing w:after="0"/>
              <w:rPr>
                <w:sz w:val="19"/>
                <w:szCs w:val="19"/>
                <w:color w:val="auto"/>
              </w:rPr>
            </w:pPr>
          </w:p>
        </w:tc>
        <w:tc>
          <w:tcPr>
            <w:tcW w:w="4040" w:type="dxa"/>
            <w:vAlign w:val="bottom"/>
            <w:tcBorders>
              <w:bottom w:val="single" w:sz="8" w:color="auto"/>
            </w:tcBorders>
          </w:tcPr>
          <w:p>
            <w:pPr>
              <w:jc w:val="center"/>
              <w:ind w:left="27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4040" w:type="dxa"/>
            <w:vAlign w:val="bottom"/>
            <w:shd w:val="clear" w:color="auto" w:fill="CCEEFF"/>
          </w:tcPr>
          <w:p>
            <w:pPr>
              <w:jc w:val="center"/>
              <w:ind w:left="3610"/>
              <w:spacing w:after="0"/>
              <w:rPr>
                <w:sz w:val="20"/>
                <w:szCs w:val="20"/>
                <w:color w:val="auto"/>
              </w:rPr>
            </w:pPr>
            <w:r>
              <w:rPr>
                <w:rFonts w:ascii="Arial" w:cs="Arial" w:eastAsia="Arial" w:hAnsi="Arial"/>
                <w:sz w:val="18"/>
                <w:szCs w:val="18"/>
                <w:color w:val="auto"/>
                <w:w w:val="87"/>
              </w:rPr>
              <w:t>0.6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4040" w:type="dxa"/>
            <w:vAlign w:val="bottom"/>
          </w:tcPr>
          <w:p>
            <w:pPr>
              <w:jc w:val="center"/>
              <w:ind w:left="3610"/>
              <w:spacing w:after="0"/>
              <w:rPr>
                <w:sz w:val="20"/>
                <w:szCs w:val="20"/>
                <w:color w:val="auto"/>
              </w:rPr>
            </w:pPr>
            <w:r>
              <w:rPr>
                <w:rFonts w:ascii="Arial" w:cs="Arial" w:eastAsia="Arial" w:hAnsi="Arial"/>
                <w:sz w:val="18"/>
                <w:szCs w:val="18"/>
                <w:color w:val="auto"/>
                <w:w w:val="87"/>
              </w:rPr>
              <w:t>0.4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40" w:type="dxa"/>
            <w:vAlign w:val="bottom"/>
            <w:shd w:val="clear" w:color="auto" w:fill="CCEEFF"/>
          </w:tcPr>
          <w:p>
            <w:pPr>
              <w:jc w:val="center"/>
              <w:ind w:left="3570"/>
              <w:spacing w:after="0"/>
              <w:rPr>
                <w:sz w:val="20"/>
                <w:szCs w:val="20"/>
                <w:color w:val="auto"/>
              </w:rPr>
            </w:pPr>
            <w:r>
              <w:rPr>
                <w:rFonts w:ascii="Arial" w:cs="Arial" w:eastAsia="Arial" w:hAnsi="Arial"/>
                <w:sz w:val="18"/>
                <w:szCs w:val="18"/>
                <w:color w:val="auto"/>
                <w:w w:val="91"/>
              </w:rPr>
              <w:t>(0.2)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4040" w:type="dxa"/>
            <w:vAlign w:val="bottom"/>
            <w:tcBorders>
              <w:bottom w:val="single" w:sz="8" w:color="auto"/>
            </w:tcBorders>
          </w:tcPr>
          <w:p>
            <w:pPr>
              <w:jc w:val="center"/>
              <w:ind w:left="3570"/>
              <w:spacing w:after="0"/>
              <w:rPr>
                <w:sz w:val="20"/>
                <w:szCs w:val="20"/>
                <w:color w:val="auto"/>
              </w:rPr>
            </w:pPr>
            <w:r>
              <w:rPr>
                <w:rFonts w:ascii="Arial" w:cs="Arial" w:eastAsia="Arial" w:hAnsi="Arial"/>
                <w:sz w:val="18"/>
                <w:szCs w:val="18"/>
                <w:color w:val="auto"/>
                <w:w w:val="91"/>
              </w:rPr>
              <w:t>(0.1)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4040" w:type="dxa"/>
            <w:vAlign w:val="bottom"/>
            <w:tcBorders>
              <w:bottom w:val="single" w:sz="8" w:color="auto"/>
            </w:tcBorders>
            <w:shd w:val="clear" w:color="auto" w:fill="CCEEFF"/>
          </w:tcPr>
          <w:p>
            <w:pPr>
              <w:jc w:val="center"/>
              <w:ind w:left="3610"/>
              <w:spacing w:after="0"/>
              <w:rPr>
                <w:sz w:val="20"/>
                <w:szCs w:val="20"/>
                <w:color w:val="auto"/>
              </w:rPr>
            </w:pPr>
            <w:r>
              <w:rPr>
                <w:rFonts w:ascii="Arial" w:cs="Arial" w:eastAsia="Arial" w:hAnsi="Arial"/>
                <w:sz w:val="18"/>
                <w:szCs w:val="18"/>
                <w:color w:val="auto"/>
                <w:w w:val="87"/>
              </w:rPr>
              <w:t>0.7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2020, there was $25.6 million of unrecognized compensation cost related to restricted share compensation arrangements granted under the 2020 Plan and previous plans. That cost is expected to be recognized over a weighted-average period of 1.2 years. The total fair value of shares vested during the years ended December 31, 2020, 2019 and 2018, was $11.2 million, $9.3 million and $24.4 million, respectively. For the year ended December 31, 2020, there was no tax benefit realized. The actual tax benefit realized for the years ended December 31, 2019 and 2018, was $0.1 million, and $0.7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share unit activity under all plans for the year ended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4040" w:type="dxa"/>
            <w:vAlign w:val="bottom"/>
            <w:vMerge w:val="restart"/>
          </w:tcPr>
          <w:p>
            <w:pPr>
              <w:jc w:val="center"/>
              <w:ind w:left="273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5"/>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vMerge w:val="continue"/>
          </w:tcPr>
          <w:p>
            <w:pPr>
              <w:spacing w:after="0"/>
              <w:rPr>
                <w:sz w:val="19"/>
                <w:szCs w:val="19"/>
                <w:color w:val="auto"/>
              </w:rPr>
            </w:pPr>
          </w:p>
        </w:tc>
        <w:tc>
          <w:tcPr>
            <w:tcW w:w="4040" w:type="dxa"/>
            <w:vAlign w:val="bottom"/>
            <w:tcBorders>
              <w:bottom w:val="single" w:sz="8" w:color="auto"/>
            </w:tcBorders>
          </w:tcPr>
          <w:p>
            <w:pPr>
              <w:jc w:val="center"/>
              <w:ind w:left="27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4040" w:type="dxa"/>
            <w:vAlign w:val="bottom"/>
            <w:shd w:val="clear" w:color="auto" w:fill="CCEEFF"/>
          </w:tcPr>
          <w:p>
            <w:pPr>
              <w:jc w:val="center"/>
              <w:ind w:left="3610"/>
              <w:spacing w:after="0"/>
              <w:rPr>
                <w:sz w:val="20"/>
                <w:szCs w:val="20"/>
                <w:color w:val="auto"/>
              </w:rPr>
            </w:pPr>
            <w:r>
              <w:rPr>
                <w:rFonts w:ascii="Arial" w:cs="Arial" w:eastAsia="Arial" w:hAnsi="Arial"/>
                <w:sz w:val="18"/>
                <w:szCs w:val="18"/>
                <w:color w:val="auto"/>
                <w:w w:val="87"/>
              </w:rPr>
              <w:t>0.3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4040" w:type="dxa"/>
            <w:vAlign w:val="bottom"/>
          </w:tcPr>
          <w:p>
            <w:pPr>
              <w:jc w:val="center"/>
              <w:ind w:left="3610"/>
              <w:spacing w:after="0"/>
              <w:rPr>
                <w:sz w:val="20"/>
                <w:szCs w:val="20"/>
                <w:color w:val="auto"/>
              </w:rPr>
            </w:pPr>
            <w:r>
              <w:rPr>
                <w:rFonts w:ascii="Arial" w:cs="Arial" w:eastAsia="Arial" w:hAnsi="Arial"/>
                <w:sz w:val="18"/>
                <w:szCs w:val="18"/>
                <w:color w:val="auto"/>
                <w:w w:val="87"/>
              </w:rPr>
              <w:t>0.2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040" w:type="dxa"/>
            <w:vAlign w:val="bottom"/>
            <w:tcBorders>
              <w:bottom w:val="single" w:sz="8" w:color="auto"/>
            </w:tcBorders>
            <w:shd w:val="clear" w:color="auto" w:fill="CCEEFF"/>
          </w:tcPr>
          <w:p>
            <w:pPr>
              <w:jc w:val="center"/>
              <w:ind w:left="3570"/>
              <w:spacing w:after="0"/>
              <w:rPr>
                <w:sz w:val="20"/>
                <w:szCs w:val="20"/>
                <w:color w:val="auto"/>
              </w:rPr>
            </w:pPr>
            <w:r>
              <w:rPr>
                <w:rFonts w:ascii="Arial" w:cs="Arial" w:eastAsia="Arial" w:hAnsi="Arial"/>
                <w:sz w:val="18"/>
                <w:szCs w:val="18"/>
                <w:color w:val="auto"/>
                <w:w w:val="91"/>
              </w:rPr>
              <w:t>(0.1)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2020</w:t>
            </w:r>
          </w:p>
        </w:tc>
        <w:tc>
          <w:tcPr>
            <w:tcW w:w="40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87"/>
              </w:rPr>
              <w:t>0.4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expense recognized each period is dependent upon our estimate of the number of shares that will ultimately be issued. As of December 31, 2020, there was $7.5 million of unrecognized compensation cost related to performance share compensation arrangements granted under the 2020 Plan and previous plans. That cost is expected to be recognized over a weighted-average period of 1.2 years. There were $0.1 million, $0.2 million, and $0.2 million of actual tax benefits realized for the years ended December 31, 2020,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Separation and Distribution, the Company adjusted its outstanding equity awards on May 1, 2018 in accordance with the Employee Matters Agreement between Pentair and nVent. The outstanding awards will continue to vest over the original vesting period, which is generally three years from the grant date.</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RSUs, PSUs, and stock option awards issued before May 9, 2017 (the date of Pentair’s announcement of its intention to separate its Water and Electrical businesses) were converted into awards of both Pentair and nVent regardless of which company the award holder was employed by immediately after the Separation. These awards were converted as follows:</w:t>
      </w:r>
    </w:p>
    <w:p>
      <w:pPr>
        <w:spacing w:after="0" w:line="13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For every unvested Pentair RSU award held, the holder received one nVent RSU.</w:t>
      </w:r>
    </w:p>
    <w:p>
      <w:pPr>
        <w:spacing w:after="0" w:line="171" w:lineRule="exact"/>
        <w:rPr>
          <w:rFonts w:ascii="Arial" w:cs="Arial" w:eastAsia="Arial" w:hAnsi="Arial"/>
          <w:sz w:val="18"/>
          <w:szCs w:val="18"/>
          <w:i w:val="1"/>
          <w:iCs w:val="1"/>
          <w:color w:val="auto"/>
        </w:rPr>
      </w:pPr>
    </w:p>
    <w:p>
      <w:pPr>
        <w:jc w:val="both"/>
        <w:ind w:left="660" w:right="540" w:hanging="328"/>
        <w:spacing w:after="0" w:line="311" w:lineRule="auto"/>
        <w:tabs>
          <w:tab w:leader="none" w:pos="655"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 units</w:t>
      </w:r>
      <w:r>
        <w:rPr>
          <w:rFonts w:ascii="Arial" w:cs="Arial" w:eastAsia="Arial" w:hAnsi="Arial"/>
          <w:sz w:val="16"/>
          <w:szCs w:val="16"/>
          <w:color w:val="auto"/>
        </w:rPr>
        <w:t>: Pentair PSUs were converted to Pentair RSUs immediately after the Distribution. The PSUs granted in 2016 were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at rate of 125% of target, and the PSUs granted in 2017 were converted at a rate of 100% of target. For every converted RSU, the shareholder also received one nVent RSU. The converted RSUs retain the original vesting schedule of the awarded PSUs.</w:t>
      </w:r>
    </w:p>
    <w:p>
      <w:pPr>
        <w:spacing w:after="0" w:line="94" w:lineRule="exact"/>
        <w:rPr>
          <w:rFonts w:ascii="Arial" w:cs="Arial" w:eastAsia="Arial" w:hAnsi="Arial"/>
          <w:sz w:val="16"/>
          <w:szCs w:val="16"/>
          <w:i w:val="1"/>
          <w:iCs w:val="1"/>
          <w:color w:val="auto"/>
        </w:rPr>
      </w:pPr>
    </w:p>
    <w:p>
      <w:pPr>
        <w:ind w:left="660" w:right="20" w:hanging="328"/>
        <w:spacing w:after="0" w:line="275" w:lineRule="auto"/>
        <w:tabs>
          <w:tab w:leader="none" w:pos="655"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Every holder of unexercised (vested and unvested) Pentair stock options received both adjusted stock options of Pentair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of nVent, with the number of underlying shares and the exercise price adjusted accordingly to preserve the overall intrinsic value of the awards. The number of Pentair stock options was converted based upon the ratio of Pentair’s pre-Distribution stock price divided by the sum of the Pentair and nVent post-Distribution closing prices. The exercise price for the converted Pentair stock options was adjusted based on the Pentair post-Distribution closing price divided by the Pentair pre-Distribution closing price.</w:t>
      </w:r>
    </w:p>
    <w:p>
      <w:pPr>
        <w:spacing w:after="0" w:line="122" w:lineRule="exact"/>
        <w:rPr>
          <w:rFonts w:ascii="Arial" w:cs="Arial" w:eastAsia="Arial" w:hAnsi="Arial"/>
          <w:sz w:val="17"/>
          <w:szCs w:val="17"/>
          <w:i w:val="1"/>
          <w:iCs w:val="1"/>
          <w:color w:val="auto"/>
        </w:rPr>
      </w:pPr>
    </w:p>
    <w:p>
      <w:pPr>
        <w:ind w:left="660" w:right="10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The number of new nVent stock options awarded is the same as the converted number of Pentair stock options calculated as described above. The exercise price for the new nVent stock options was calculated based on nVent’s post-Distribution closing price divided by the Pentair pre-Distribution closing price.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unvested awards issued after May 9, 2017 were converted to awards of the Company that the shareholder was employed by immediately after the Separation, with adjustments to the number of underlying shares as appropriate to preserve the intrinsic value of such awards immediately prior to the Distribution. The adjustment of the underlying shares was based on the ratio of Pentair’s pre-Distribution stock price divided by the post-Distribution closing price of the respective company’s ordinary shares. The exercise prices of the stock options were converted using the inverse ratio in a manner designed to preserve the intrinsic value of such awards.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Information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Effective January 1, 2020, we reorganized our business segments to better support our organization with our strategies and to better align with our customer base, resulting in a change to our reporting segments. All prior period amounts related to the segment change have been retrospectively reclassified to conform to the new presentation. As part of this reorganization, the legacy Aquatic Systems, Flow Technologies, and Filtration Solutions segments were realigned into two reportable business segments:</w:t>
      </w:r>
    </w:p>
    <w:p>
      <w:pPr>
        <w:spacing w:after="0" w:line="139" w:lineRule="exact"/>
        <w:rPr>
          <w:sz w:val="20"/>
          <w:szCs w:val="20"/>
          <w:color w:val="auto"/>
        </w:rPr>
      </w:pPr>
    </w:p>
    <w:p>
      <w:pPr>
        <w:ind w:left="660" w:hanging="328"/>
        <w:spacing w:after="0" w:line="286"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Solutions </w:t>
      </w:r>
      <w:r>
        <w:rPr>
          <w:rFonts w:ascii="Arial" w:cs="Arial" w:eastAsia="Arial" w:hAnsi="Arial"/>
          <w:sz w:val="16"/>
          <w:szCs w:val="16"/>
          <w:color w:val="auto"/>
        </w:rPr>
        <w:t>- This segment designs, manufactures and sells energy-efficient residential and commercial pool equipment and accessories,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w:t>
      </w:r>
    </w:p>
    <w:p>
      <w:pPr>
        <w:spacing w:after="0" w:line="1" w:lineRule="exact"/>
        <w:rPr>
          <w:rFonts w:ascii="Arial" w:cs="Arial" w:eastAsia="Arial" w:hAnsi="Arial"/>
          <w:sz w:val="16"/>
          <w:szCs w:val="16"/>
          <w:color w:val="auto"/>
        </w:rPr>
      </w:pPr>
    </w:p>
    <w:p>
      <w:pPr>
        <w:ind w:left="660" w:right="180"/>
        <w:spacing w:after="0" w:line="253" w:lineRule="auto"/>
        <w:rPr>
          <w:rFonts w:ascii="Arial" w:cs="Arial" w:eastAsia="Arial" w:hAnsi="Arial"/>
          <w:sz w:val="16"/>
          <w:szCs w:val="16"/>
          <w:color w:val="auto"/>
        </w:rPr>
      </w:pPr>
      <w:r>
        <w:rPr>
          <w:rFonts w:ascii="Arial" w:cs="Arial" w:eastAsia="Arial" w:hAnsi="Arial"/>
          <w:sz w:val="18"/>
          <w:szCs w:val="18"/>
          <w:color w:val="auto"/>
        </w:rPr>
        <w:t>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38" w:lineRule="exact"/>
        <w:rPr>
          <w:rFonts w:ascii="Arial" w:cs="Arial" w:eastAsia="Arial" w:hAnsi="Arial"/>
          <w:sz w:val="16"/>
          <w:szCs w:val="16"/>
          <w:color w:val="auto"/>
        </w:rPr>
      </w:pPr>
    </w:p>
    <w:p>
      <w:pPr>
        <w:ind w:left="660" w:right="100" w:hanging="328"/>
        <w:spacing w:after="0" w:line="272"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is included in the following summary: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r>
      <w:tr>
        <w:trPr>
          <w:trHeight w:val="22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Net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w w:val="92"/>
              </w:rPr>
              <w:t>Segment income (loss)</w:t>
            </w:r>
          </w:p>
        </w:tc>
        <w:tc>
          <w:tcPr>
            <w:tcW w:w="980" w:type="dxa"/>
            <w:vAlign w:val="bottom"/>
            <w:tcBorders>
              <w:bottom w:val="single" w:sz="8" w:color="auto"/>
            </w:tcBorders>
          </w:tcPr>
          <w:p>
            <w:pPr>
              <w:spacing w:after="0"/>
              <w:rPr>
                <w:sz w:val="19"/>
                <w:szCs w:val="19"/>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419.1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379.6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392.9</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1,273.6</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w w:val="97"/>
              </w:rPr>
              <w:t>164.6</w:t>
            </w:r>
          </w:p>
        </w:tc>
        <w:tc>
          <w:tcPr>
            <w:tcW w:w="300" w:type="dxa"/>
            <w:vAlign w:val="bottom"/>
          </w:tcPr>
          <w:p>
            <w:pPr>
              <w:spacing w:after="0"/>
              <w:rPr>
                <w:sz w:val="19"/>
                <w:szCs w:val="19"/>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199.0</w:t>
            </w:r>
          </w:p>
        </w:tc>
        <w:tc>
          <w:tcPr>
            <w:tcW w:w="340" w:type="dxa"/>
            <w:vAlign w:val="bottom"/>
          </w:tcPr>
          <w:p>
            <w:pPr>
              <w:spacing w:after="0"/>
              <w:rPr>
                <w:sz w:val="19"/>
                <w:szCs w:val="19"/>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198.8</w:t>
            </w:r>
          </w:p>
        </w:tc>
      </w:tr>
      <w:tr>
        <w:trPr>
          <w:trHeight w:val="23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9"/>
              </w:rPr>
              <w:t>(66.1)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(62.3)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(54.9)</w:t>
            </w:r>
          </w:p>
        </w:tc>
      </w:tr>
      <w:tr>
        <w:trPr>
          <w:trHeight w:val="223"/>
        </w:trPr>
        <w:tc>
          <w:tcPr>
            <w:tcW w:w="32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7"/>
              </w:rPr>
              <w:t>517.6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516.3</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536.8</w:t>
            </w: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300" w:hanging="172"/>
        <w:spacing w:after="0" w:line="267" w:lineRule="auto"/>
        <w:tabs>
          <w:tab w:leader="none" w:pos="183"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One customer in the Consumer Solutions segment, Pool Corporation, represented approximately 15% of our consolidated net sales in 2020, 2019 and 2018.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spacing w:after="0" w:line="223" w:lineRule="exact"/>
              <w:rPr>
                <w:sz w:val="20"/>
                <w:szCs w:val="20"/>
                <w:color w:val="auto"/>
              </w:rPr>
            </w:pPr>
            <w:r>
              <w:rPr>
                <w:rFonts w:ascii="Arial" w:cs="Arial" w:eastAsia="Arial" w:hAnsi="Arial"/>
                <w:sz w:val="18"/>
                <w:szCs w:val="18"/>
                <w:b w:val="1"/>
                <w:bCs w:val="1"/>
                <w:color w:val="auto"/>
              </w:rPr>
              <w:t xml:space="preserve">Identifiable assets </w:t>
            </w:r>
            <w:r>
              <w:rPr>
                <w:rFonts w:ascii="Arial" w:cs="Arial" w:eastAsia="Arial" w:hAnsi="Arial"/>
                <w:sz w:val="23"/>
                <w:szCs w:val="23"/>
                <w:b w:val="1"/>
                <w:bCs w:val="1"/>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Capital expenditures</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9"/>
              </w:rPr>
              <w:t>Depreciation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Industrial &amp; Flow</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1,661.7</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1,562.8</w:t>
            </w: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1,588.0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Technologies</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right"/>
        <w:ind w:left="5540" w:right="5480" w:hanging="5532"/>
        <w:spacing w:after="0" w:line="989" w:lineRule="auto"/>
        <w:tabs>
          <w:tab w:leader="none" w:pos="179"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All cash and cash equivalents and assets held for sale are included in “Other.”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step-up</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mark-to-market (loss) gain</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Corporate allocations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 related costs and expenses</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COVID-19 related costs and expenses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8260" w:firstLine="8"/>
        <w:spacing w:after="0" w:line="261" w:lineRule="auto"/>
        <w:tabs>
          <w:tab w:leader="none" w:pos="40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ind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2020, our recorded reserves for environmental matters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These operating lease right-of-use (“ROU”) assets are included in </w:t>
      </w:r>
      <w:r>
        <w:rPr>
          <w:rFonts w:ascii="Arial" w:cs="Arial" w:eastAsia="Arial" w:hAnsi="Arial"/>
          <w:sz w:val="17"/>
          <w:szCs w:val="17"/>
          <w:i w:val="1"/>
          <w:iCs w:val="1"/>
          <w:color w:val="auto"/>
        </w:rPr>
        <w:t>Other non-current assets</w:t>
      </w:r>
      <w:r>
        <w:rPr>
          <w:rFonts w:ascii="Arial" w:cs="Arial" w:eastAsia="Arial" w:hAnsi="Arial"/>
          <w:sz w:val="17"/>
          <w:szCs w:val="17"/>
          <w:color w:val="auto"/>
        </w:rPr>
        <w:t xml:space="preserve"> on Consolidated Balance Sheets, and represent our right to use the underlying asset for the lease term. Our obligation to make lease payments arising from the lease are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non-current liabilities </w:t>
      </w:r>
      <w:r>
        <w:rPr>
          <w:rFonts w:ascii="Arial" w:cs="Arial" w:eastAsia="Arial" w:hAnsi="Arial"/>
          <w:sz w:val="17"/>
          <w:szCs w:val="17"/>
          <w:color w:val="auto"/>
        </w:rPr>
        <w:t>on the Consolidated Balance Sheets. Lease ROU assets and liabilities are recognized at commencement date based on the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measurement and classification of lease agreements, we group lease and non-lease components into a single lease component for all underlying asset classes. Accordingly, all costs associated with a lease contract are accounted for as one lease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The components of lease cost was as follows:</w:t>
            </w:r>
          </w:p>
        </w:tc>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72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5"/>
              </w:rPr>
              <w:t>32.5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1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1"/>
              </w:rPr>
              <w:t>(1.0)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31.5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720" w:type="dxa"/>
            <w:vAlign w:val="bottom"/>
          </w:tcPr>
          <w:p>
            <w:pPr>
              <w:spacing w:after="0"/>
              <w:rPr>
                <w:sz w:val="22"/>
                <w:szCs w:val="22"/>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5"/>
              </w:rPr>
              <w:t>26.8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13.6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890"/>
              <w:spacing w:after="0"/>
              <w:rPr>
                <w:sz w:val="20"/>
                <w:szCs w:val="20"/>
                <w:color w:val="auto"/>
              </w:rPr>
            </w:pPr>
            <w:r>
              <w:rPr>
                <w:rFonts w:ascii="Arial" w:cs="Arial" w:eastAsia="Arial" w:hAnsi="Arial"/>
                <w:sz w:val="18"/>
                <w:szCs w:val="18"/>
                <w:color w:val="auto"/>
                <w:w w:val="85"/>
              </w:rPr>
              <w:t>91.1</w:t>
            </w:r>
          </w:p>
        </w:tc>
        <w:tc>
          <w:tcPr>
            <w:tcW w:w="0" w:type="dxa"/>
            <w:vAlign w:val="bottom"/>
          </w:tcPr>
          <w:p>
            <w:pPr>
              <w:spacing w:after="0"/>
              <w:rPr>
                <w:sz w:val="1"/>
                <w:szCs w:val="1"/>
                <w:color w:val="auto"/>
              </w:rPr>
            </w:pPr>
          </w:p>
        </w:tc>
      </w:tr>
      <w:tr>
        <w:trPr>
          <w:trHeight w:val="377"/>
        </w:trPr>
        <w:tc>
          <w:tcPr>
            <w:tcW w:w="652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2"/>
                <w:szCs w:val="22"/>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of operating leases (years)</w:t>
            </w:r>
          </w:p>
        </w:tc>
        <w:tc>
          <w:tcPr>
            <w:tcW w:w="1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Weighted-average discount rate of operating leases</w:t>
            </w:r>
          </w:p>
        </w:tc>
        <w:tc>
          <w:tcPr>
            <w:tcW w:w="172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5.5 %</w:t>
            </w:r>
          </w:p>
        </w:tc>
        <w:tc>
          <w:tcPr>
            <w:tcW w:w="160" w:type="dxa"/>
            <w:vAlign w:val="bottom"/>
          </w:tcPr>
          <w:p>
            <w:pPr>
              <w:spacing w:after="0"/>
              <w:rPr>
                <w:sz w:val="20"/>
                <w:szCs w:val="20"/>
                <w:color w:val="auto"/>
              </w:rPr>
            </w:pPr>
          </w:p>
        </w:tc>
        <w:tc>
          <w:tcPr>
            <w:tcW w:w="1440" w:type="dxa"/>
            <w:vAlign w:val="bottom"/>
          </w:tcPr>
          <w:p>
            <w:pPr>
              <w:jc w:val="center"/>
              <w:ind w:left="890"/>
              <w:spacing w:after="0"/>
              <w:rPr>
                <w:sz w:val="20"/>
                <w:szCs w:val="20"/>
                <w:color w:val="auto"/>
              </w:rPr>
            </w:pPr>
            <w:r>
              <w:rPr>
                <w:rFonts w:ascii="Arial" w:cs="Arial" w:eastAsia="Arial" w:hAnsi="Arial"/>
                <w:sz w:val="18"/>
                <w:szCs w:val="18"/>
                <w:color w:val="auto"/>
                <w:w w:val="91"/>
              </w:rPr>
              <w:t>6.3 %</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as of December 31, 2020 were as follows: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2022</w:t>
            </w:r>
          </w:p>
        </w:tc>
        <w:tc>
          <w:tcPr>
            <w:tcW w:w="4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2024</w:t>
            </w:r>
          </w:p>
        </w:tc>
        <w:tc>
          <w:tcPr>
            <w:tcW w:w="4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4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for the years ended December 31, 2020, 2019 and 2018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2020 and 2019, the outstanding value of bonds, letters of credit and bank guarantees totaled $99.1 million and $91.3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2020 and 2019 quarterly financial information:</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40" w:type="dxa"/>
            <w:vAlign w:val="bottom"/>
          </w:tcPr>
          <w:p>
            <w:pPr>
              <w:spacing w:after="0"/>
              <w:rPr>
                <w:sz w:val="14"/>
                <w:szCs w:val="14"/>
                <w:color w:val="auto"/>
              </w:rPr>
            </w:pPr>
          </w:p>
        </w:tc>
        <w:tc>
          <w:tcPr>
            <w:tcW w:w="84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4"/>
                <w:szCs w:val="14"/>
                <w:color w:val="auto"/>
              </w:rPr>
            </w:pPr>
          </w:p>
        </w:tc>
        <w:tc>
          <w:tcPr>
            <w:tcW w:w="8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89"/>
              </w:rPr>
              <w:t>Second</w:t>
            </w:r>
          </w:p>
        </w:tc>
        <w:tc>
          <w:tcPr>
            <w:tcW w:w="160" w:type="dxa"/>
            <w:vAlign w:val="bottom"/>
          </w:tcPr>
          <w:p>
            <w:pPr>
              <w:spacing w:after="0"/>
              <w:rPr>
                <w:sz w:val="14"/>
                <w:szCs w:val="14"/>
                <w:color w:val="auto"/>
              </w:rPr>
            </w:pPr>
          </w:p>
        </w:tc>
        <w:tc>
          <w:tcPr>
            <w:tcW w:w="8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4"/>
                <w:szCs w:val="14"/>
                <w:color w:val="auto"/>
              </w:rPr>
            </w:pPr>
          </w:p>
        </w:tc>
        <w:tc>
          <w:tcPr>
            <w:tcW w:w="8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8"/>
              </w:rPr>
              <w:t>Fourth</w:t>
            </w:r>
          </w:p>
        </w:tc>
        <w:tc>
          <w:tcPr>
            <w:tcW w:w="260" w:type="dxa"/>
            <w:vAlign w:val="bottom"/>
          </w:tcPr>
          <w:p>
            <w:pPr>
              <w:spacing w:after="0"/>
              <w:rPr>
                <w:sz w:val="14"/>
                <w:szCs w:val="14"/>
                <w:color w:val="auto"/>
              </w:rPr>
            </w:pPr>
          </w:p>
        </w:tc>
        <w:tc>
          <w:tcPr>
            <w:tcW w:w="80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Full</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3"/>
                <w:szCs w:val="23"/>
                <w:b w:val="1"/>
                <w:bCs w:val="1"/>
                <w:color w:val="auto"/>
                <w:vertAlign w:val="superscript"/>
              </w:rPr>
              <w:t>(1)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right="120" w:hanging="172"/>
        <w:spacing w:after="0" w:line="267" w:lineRule="auto"/>
        <w:tabs>
          <w:tab w:leader="none" w:pos="183"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Amounts may not total to annual earnings because each quarter and year are calculated separately based on basic and diluted weighted-average ordinary shares outstanding during that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20" w:type="dxa"/>
            <w:vAlign w:val="bottom"/>
          </w:tcPr>
          <w:p>
            <w:pPr>
              <w:spacing w:after="0"/>
              <w:rPr>
                <w:sz w:val="14"/>
                <w:szCs w:val="14"/>
                <w:color w:val="auto"/>
              </w:rPr>
            </w:pPr>
          </w:p>
        </w:tc>
        <w:tc>
          <w:tcPr>
            <w:tcW w:w="82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4"/>
                <w:szCs w:val="14"/>
                <w:color w:val="auto"/>
              </w:rPr>
            </w:pPr>
          </w:p>
        </w:tc>
        <w:tc>
          <w:tcPr>
            <w:tcW w:w="8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86"/>
              </w:rPr>
              <w:t>Second</w:t>
            </w:r>
          </w:p>
        </w:tc>
        <w:tc>
          <w:tcPr>
            <w:tcW w:w="140" w:type="dxa"/>
            <w:vAlign w:val="bottom"/>
          </w:tcPr>
          <w:p>
            <w:pPr>
              <w:spacing w:after="0"/>
              <w:rPr>
                <w:sz w:val="14"/>
                <w:szCs w:val="14"/>
                <w:color w:val="auto"/>
              </w:rPr>
            </w:pPr>
          </w:p>
        </w:tc>
        <w:tc>
          <w:tcPr>
            <w:tcW w:w="76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4"/>
                <w:szCs w:val="14"/>
                <w:color w:val="auto"/>
              </w:rPr>
            </w:pPr>
          </w:p>
        </w:tc>
        <w:tc>
          <w:tcPr>
            <w:tcW w:w="8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8"/>
              </w:rPr>
              <w:t>Fourth</w:t>
            </w:r>
          </w:p>
        </w:tc>
        <w:tc>
          <w:tcPr>
            <w:tcW w:w="220" w:type="dxa"/>
            <w:vAlign w:val="bottom"/>
          </w:tcPr>
          <w:p>
            <w:pPr>
              <w:spacing w:after="0"/>
              <w:rPr>
                <w:sz w:val="14"/>
                <w:szCs w:val="14"/>
                <w:color w:val="auto"/>
              </w:rPr>
            </w:pPr>
          </w:p>
        </w:tc>
        <w:tc>
          <w:tcPr>
            <w:tcW w:w="76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Full</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80" w:right="120" w:hanging="172"/>
        <w:spacing w:after="0" w:line="317" w:lineRule="auto"/>
        <w:tabs>
          <w:tab w:leader="none" w:pos="168"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Amounts may not total to annual earnings because each quarter and year are calculated separately based on basic and diluted weighted-average ordinary shares outstanding during that period.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the design and operation of our disclosure controls and procedures as of the end of the year ended December 31, 2020, pursuant to Rule 13a-15(b) of the Securities Exchange Act of 1934 (“the Exchange Act”). Based upon their evaluation, our Chief Executive Officer and our Chief Financial Officer concluded that our disclosure controls and procedures were effective as of the year ended December 31, 2020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Form 10-K under the caption “Report of Independent 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2020 that has materially affected, or is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Information required under this item with respect to directors is contained in our Proxy Statement for our 2021 annual general meeting of shareholders under the captions “Corporate Governance Matters” and “Proposal 1 Re-elect Director Nominees” and is incorporated herein by reference.</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under this item with respect to executive officers is contained in Part I of this Form 10-K under the caption “Information About Our Executive Officers.”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Arial" w:cs="Arial" w:eastAsia="Arial" w:hAnsi="Arial"/>
          <w:sz w:val="18"/>
          <w:szCs w:val="18"/>
          <w:u w:val="single" w:color="auto"/>
          <w:color w:val="auto"/>
        </w:rPr>
        <w:t>http://pentair.com/en/about-us/leadership/corporate-governance</w:t>
      </w:r>
      <w:r>
        <w:rPr>
          <w:rFonts w:ascii="Arial" w:cs="Arial" w:eastAsia="Arial" w:hAnsi="Arial"/>
          <w:sz w:val="18"/>
          <w:szCs w:val="18"/>
          <w:color w:val="auto"/>
        </w:rPr>
        <w:t xml:space="preserve">. We intend to satisfy the disclosure requirements under Item 5.05 of Form 8-K regarding amendments to or waivers from, Pentair’s Code of Business Conduct and Ethics by posting such information on our website at </w:t>
      </w:r>
      <w:r>
        <w:rPr>
          <w:rFonts w:ascii="Arial" w:cs="Arial" w:eastAsia="Arial" w:hAnsi="Arial"/>
          <w:sz w:val="18"/>
          <w:szCs w:val="18"/>
          <w:u w:val="single" w:color="auto"/>
          <w:color w:val="auto"/>
        </w:rPr>
        <w:t>http://pentair.com/en/about-us/leadership/corporate-governance</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contained on our website as part of, or incorporating it by reference into,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Information required under this item is contained in our Proxy Statement for our 2021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4" w:name="page85"/>
    <w:bookmarkEnd w:id="84"/>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required under this item with respect to security ownership is contained in our Proxy Statement for our 2021 annual general meeting of shareholders under the caption “Security Ownership” and is incorporated herein by reference.</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as of December 31, 2020, information about compensation plans under which our equity securities are authorized for issuance: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jc w:val="center"/>
              <w:ind w:right="293"/>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jc w:val="center"/>
              <w:ind w:right="313"/>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420" w:type="dxa"/>
            <w:vAlign w:val="bottom"/>
            <w:vMerge w:val="restart"/>
          </w:tcPr>
          <w:p>
            <w:pPr>
              <w:jc w:val="center"/>
              <w:ind w:right="230"/>
              <w:spacing w:after="0"/>
              <w:rPr>
                <w:sz w:val="20"/>
                <w:szCs w:val="20"/>
                <w:color w:val="auto"/>
              </w:rPr>
            </w:pPr>
            <w:r>
              <w:rPr>
                <w:rFonts w:ascii="Arial" w:cs="Arial" w:eastAsia="Arial" w:hAnsi="Arial"/>
                <w:sz w:val="18"/>
                <w:szCs w:val="18"/>
                <w:color w:val="auto"/>
                <w:w w:val="91"/>
              </w:rPr>
              <w:t>Number of securities to</w:t>
            </w:r>
          </w:p>
        </w:tc>
        <w:tc>
          <w:tcPr>
            <w:tcW w:w="260" w:type="dxa"/>
            <w:vAlign w:val="bottom"/>
          </w:tcPr>
          <w:p>
            <w:pPr>
              <w:spacing w:after="0"/>
              <w:rPr>
                <w:sz w:val="15"/>
                <w:szCs w:val="15"/>
                <w:color w:val="auto"/>
              </w:rPr>
            </w:pPr>
          </w:p>
        </w:tc>
        <w:tc>
          <w:tcPr>
            <w:tcW w:w="1740" w:type="dxa"/>
            <w:vAlign w:val="bottom"/>
            <w:vMerge w:val="restart"/>
          </w:tcPr>
          <w:p>
            <w:pPr>
              <w:jc w:val="center"/>
              <w:ind w:right="74"/>
              <w:spacing w:after="0"/>
              <w:rPr>
                <w:sz w:val="20"/>
                <w:szCs w:val="20"/>
                <w:color w:val="auto"/>
              </w:rPr>
            </w:pPr>
            <w:r>
              <w:rPr>
                <w:rFonts w:ascii="Arial" w:cs="Arial" w:eastAsia="Arial" w:hAnsi="Arial"/>
                <w:sz w:val="18"/>
                <w:szCs w:val="18"/>
                <w:color w:val="auto"/>
                <w:w w:val="88"/>
              </w:rPr>
              <w:t>Weighted-average</w:t>
            </w:r>
          </w:p>
        </w:tc>
        <w:tc>
          <w:tcPr>
            <w:tcW w:w="400" w:type="dxa"/>
            <w:vAlign w:val="bottom"/>
          </w:tcPr>
          <w:p>
            <w:pPr>
              <w:spacing w:after="0"/>
              <w:rPr>
                <w:sz w:val="15"/>
                <w:szCs w:val="15"/>
                <w:color w:val="auto"/>
              </w:rPr>
            </w:pPr>
          </w:p>
        </w:tc>
        <w:tc>
          <w:tcPr>
            <w:tcW w:w="2520" w:type="dxa"/>
            <w:vAlign w:val="bottom"/>
          </w:tcPr>
          <w:p>
            <w:pPr>
              <w:jc w:val="center"/>
              <w:ind w:right="293"/>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jc w:val="center"/>
              <w:ind w:right="293"/>
              <w:spacing w:after="0" w:line="176" w:lineRule="exact"/>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42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87"/>
              </w:rPr>
              <w:t>be issued upon exercise</w:t>
            </w:r>
          </w:p>
        </w:tc>
        <w:tc>
          <w:tcPr>
            <w:tcW w:w="260" w:type="dxa"/>
            <w:vAlign w:val="bottom"/>
          </w:tcPr>
          <w:p>
            <w:pPr>
              <w:spacing w:after="0"/>
              <w:rPr>
                <w:sz w:val="15"/>
                <w:szCs w:val="15"/>
                <w:color w:val="auto"/>
              </w:rPr>
            </w:pPr>
          </w:p>
        </w:tc>
        <w:tc>
          <w:tcPr>
            <w:tcW w:w="1740" w:type="dxa"/>
            <w:vAlign w:val="bottom"/>
          </w:tcPr>
          <w:p>
            <w:pPr>
              <w:jc w:val="center"/>
              <w:ind w:right="74"/>
              <w:spacing w:after="0" w:line="176" w:lineRule="exact"/>
              <w:rPr>
                <w:sz w:val="20"/>
                <w:szCs w:val="20"/>
                <w:color w:val="auto"/>
              </w:rPr>
            </w:pPr>
            <w:r>
              <w:rPr>
                <w:rFonts w:ascii="Arial" w:cs="Arial" w:eastAsia="Arial" w:hAnsi="Arial"/>
                <w:sz w:val="18"/>
                <w:szCs w:val="18"/>
                <w:color w:val="auto"/>
                <w:w w:val="90"/>
              </w:rPr>
              <w:t>exercise price of</w:t>
            </w:r>
          </w:p>
        </w:tc>
        <w:tc>
          <w:tcPr>
            <w:tcW w:w="400" w:type="dxa"/>
            <w:vAlign w:val="bottom"/>
          </w:tcPr>
          <w:p>
            <w:pPr>
              <w:spacing w:after="0"/>
              <w:rPr>
                <w:sz w:val="15"/>
                <w:szCs w:val="15"/>
                <w:color w:val="auto"/>
              </w:rPr>
            </w:pPr>
          </w:p>
        </w:tc>
        <w:tc>
          <w:tcPr>
            <w:tcW w:w="2520" w:type="dxa"/>
            <w:vAlign w:val="bottom"/>
          </w:tcPr>
          <w:p>
            <w:pPr>
              <w:jc w:val="center"/>
              <w:ind w:right="293"/>
              <w:spacing w:after="0" w:line="176" w:lineRule="exact"/>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42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1"/>
              </w:rPr>
              <w:t>of outstanding options,</w:t>
            </w:r>
          </w:p>
        </w:tc>
        <w:tc>
          <w:tcPr>
            <w:tcW w:w="260" w:type="dxa"/>
            <w:vAlign w:val="bottom"/>
          </w:tcPr>
          <w:p>
            <w:pPr>
              <w:spacing w:after="0"/>
              <w:rPr>
                <w:sz w:val="15"/>
                <w:szCs w:val="15"/>
                <w:color w:val="auto"/>
              </w:rPr>
            </w:pPr>
          </w:p>
        </w:tc>
        <w:tc>
          <w:tcPr>
            <w:tcW w:w="1740" w:type="dxa"/>
            <w:vAlign w:val="bottom"/>
          </w:tcPr>
          <w:p>
            <w:pPr>
              <w:jc w:val="center"/>
              <w:ind w:right="74"/>
              <w:spacing w:after="0" w:line="176" w:lineRule="exact"/>
              <w:rPr>
                <w:sz w:val="20"/>
                <w:szCs w:val="20"/>
                <w:color w:val="auto"/>
              </w:rPr>
            </w:pPr>
            <w:r>
              <w:rPr>
                <w:rFonts w:ascii="Arial" w:cs="Arial" w:eastAsia="Arial" w:hAnsi="Arial"/>
                <w:sz w:val="18"/>
                <w:szCs w:val="18"/>
                <w:color w:val="auto"/>
                <w:w w:val="90"/>
              </w:rPr>
              <w:t>outstanding options,</w:t>
            </w:r>
          </w:p>
        </w:tc>
        <w:tc>
          <w:tcPr>
            <w:tcW w:w="400" w:type="dxa"/>
            <w:vAlign w:val="bottom"/>
          </w:tcPr>
          <w:p>
            <w:pPr>
              <w:spacing w:after="0"/>
              <w:rPr>
                <w:sz w:val="15"/>
                <w:szCs w:val="15"/>
                <w:color w:val="auto"/>
              </w:rPr>
            </w:pPr>
          </w:p>
        </w:tc>
        <w:tc>
          <w:tcPr>
            <w:tcW w:w="2520" w:type="dxa"/>
            <w:vAlign w:val="bottom"/>
          </w:tcPr>
          <w:p>
            <w:pPr>
              <w:jc w:val="center"/>
              <w:ind w:right="293"/>
              <w:spacing w:after="0" w:line="176" w:lineRule="exact"/>
              <w:rPr>
                <w:sz w:val="20"/>
                <w:szCs w:val="20"/>
                <w:color w:val="auto"/>
              </w:rPr>
            </w:pPr>
            <w:r>
              <w:rPr>
                <w:rFonts w:ascii="Arial" w:cs="Arial" w:eastAsia="Arial" w:hAnsi="Arial"/>
                <w:sz w:val="18"/>
                <w:szCs w:val="18"/>
                <w:color w:val="auto"/>
                <w:w w:val="91"/>
              </w:rPr>
              <w:t>securities reflected in</w:t>
            </w:r>
          </w:p>
        </w:tc>
        <w:tc>
          <w:tcPr>
            <w:tcW w:w="0" w:type="dxa"/>
            <w:vAlign w:val="bottom"/>
          </w:tcPr>
          <w:p>
            <w:pPr>
              <w:spacing w:after="0"/>
              <w:rPr>
                <w:sz w:val="1"/>
                <w:szCs w:val="1"/>
                <w:color w:val="auto"/>
              </w:rPr>
            </w:pPr>
          </w:p>
        </w:tc>
      </w:tr>
      <w:tr>
        <w:trPr>
          <w:trHeight w:val="176"/>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42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0"/>
              </w:rPr>
              <w:t>warrants and rights</w:t>
            </w:r>
          </w:p>
        </w:tc>
        <w:tc>
          <w:tcPr>
            <w:tcW w:w="260" w:type="dxa"/>
            <w:vAlign w:val="bottom"/>
          </w:tcPr>
          <w:p>
            <w:pPr>
              <w:spacing w:after="0"/>
              <w:rPr>
                <w:sz w:val="15"/>
                <w:szCs w:val="15"/>
                <w:color w:val="auto"/>
              </w:rPr>
            </w:pPr>
          </w:p>
        </w:tc>
        <w:tc>
          <w:tcPr>
            <w:tcW w:w="1740" w:type="dxa"/>
            <w:vAlign w:val="bottom"/>
          </w:tcPr>
          <w:p>
            <w:pPr>
              <w:jc w:val="center"/>
              <w:ind w:right="74"/>
              <w:spacing w:after="0" w:line="176" w:lineRule="exact"/>
              <w:rPr>
                <w:sz w:val="20"/>
                <w:szCs w:val="20"/>
                <w:color w:val="auto"/>
              </w:rPr>
            </w:pPr>
            <w:r>
              <w:rPr>
                <w:rFonts w:ascii="Arial" w:cs="Arial" w:eastAsia="Arial" w:hAnsi="Arial"/>
                <w:sz w:val="18"/>
                <w:szCs w:val="18"/>
                <w:color w:val="auto"/>
                <w:w w:val="90"/>
              </w:rPr>
              <w:t>warrants and rights</w:t>
            </w:r>
          </w:p>
        </w:tc>
        <w:tc>
          <w:tcPr>
            <w:tcW w:w="400" w:type="dxa"/>
            <w:vAlign w:val="bottom"/>
          </w:tcPr>
          <w:p>
            <w:pPr>
              <w:spacing w:after="0"/>
              <w:rPr>
                <w:sz w:val="15"/>
                <w:szCs w:val="15"/>
                <w:color w:val="auto"/>
              </w:rPr>
            </w:pPr>
          </w:p>
        </w:tc>
        <w:tc>
          <w:tcPr>
            <w:tcW w:w="2520" w:type="dxa"/>
            <w:vAlign w:val="bottom"/>
          </w:tcPr>
          <w:p>
            <w:pPr>
              <w:jc w:val="center"/>
              <w:ind w:right="293"/>
              <w:spacing w:after="0" w:line="176" w:lineRule="exact"/>
              <w:rPr>
                <w:sz w:val="20"/>
                <w:szCs w:val="20"/>
                <w:color w:val="auto"/>
              </w:rPr>
            </w:pPr>
            <w:r>
              <w:rPr>
                <w:rFonts w:ascii="Arial" w:cs="Arial" w:eastAsia="Arial" w:hAnsi="Arial"/>
                <w:sz w:val="18"/>
                <w:szCs w:val="18"/>
                <w:color w:val="auto"/>
                <w:w w:val="94"/>
              </w:rPr>
              <w:t>column (a))</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0"/>
              </w:rPr>
              <w:t>(a)</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99"/>
              </w:rPr>
              <w:t>(b)</w:t>
            </w:r>
          </w:p>
        </w:tc>
        <w:tc>
          <w:tcPr>
            <w:tcW w:w="4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313"/>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w w:val="95"/>
              </w:rPr>
              <w:t>Equity compensation plans approved by security</w:t>
            </w:r>
          </w:p>
        </w:tc>
        <w:tc>
          <w:tcPr>
            <w:tcW w:w="2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2020 Share and Incentive Plan</w:t>
            </w:r>
          </w:p>
        </w:tc>
        <w:tc>
          <w:tcPr>
            <w:tcW w:w="2420" w:type="dxa"/>
            <w:vAlign w:val="bottom"/>
          </w:tcPr>
          <w:p>
            <w:pPr>
              <w:jc w:val="right"/>
              <w:ind w:right="10"/>
              <w:spacing w:after="0" w:line="230" w:lineRule="exact"/>
              <w:rPr>
                <w:sz w:val="20"/>
                <w:szCs w:val="20"/>
                <w:color w:val="auto"/>
              </w:rPr>
            </w:pPr>
            <w:r>
              <w:rPr>
                <w:rFonts w:ascii="Arial" w:cs="Arial" w:eastAsia="Arial" w:hAnsi="Arial"/>
                <w:sz w:val="18"/>
                <w:szCs w:val="18"/>
                <w:color w:val="auto"/>
              </w:rPr>
              <w:t xml:space="preserve">86,233 </w:t>
            </w:r>
            <w:r>
              <w:rPr>
                <w:rFonts w:ascii="Arial" w:cs="Arial" w:eastAsia="Arial" w:hAnsi="Arial"/>
                <w:sz w:val="23"/>
                <w:szCs w:val="23"/>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62"/>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(2)</w:t>
            </w:r>
          </w:p>
        </w:tc>
        <w:tc>
          <w:tcPr>
            <w:tcW w:w="2520" w:type="dxa"/>
            <w:vAlign w:val="bottom"/>
          </w:tcPr>
          <w:p>
            <w:pPr>
              <w:jc w:val="right"/>
              <w:ind w:right="93"/>
              <w:spacing w:after="0" w:line="230" w:lineRule="exact"/>
              <w:rPr>
                <w:sz w:val="20"/>
                <w:szCs w:val="20"/>
                <w:color w:val="auto"/>
              </w:rPr>
            </w:pPr>
            <w:r>
              <w:rPr>
                <w:rFonts w:ascii="Arial" w:cs="Arial" w:eastAsia="Arial" w:hAnsi="Arial"/>
                <w:sz w:val="18"/>
                <w:szCs w:val="18"/>
                <w:color w:val="auto"/>
              </w:rPr>
              <w:t xml:space="preserve">5,497,519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2012 Stock and Incentive Plan</w:t>
            </w:r>
          </w:p>
        </w:tc>
        <w:tc>
          <w:tcPr>
            <w:tcW w:w="2420" w:type="dxa"/>
            <w:vAlign w:val="bottom"/>
            <w:shd w:val="clear" w:color="auto" w:fill="CCEEFF"/>
          </w:tcPr>
          <w:p>
            <w:pPr>
              <w:jc w:val="right"/>
              <w:ind w:right="10"/>
              <w:spacing w:after="0" w:line="230" w:lineRule="exact"/>
              <w:rPr>
                <w:sz w:val="20"/>
                <w:szCs w:val="20"/>
                <w:color w:val="auto"/>
              </w:rPr>
            </w:pPr>
            <w:r>
              <w:rPr>
                <w:rFonts w:ascii="Arial" w:cs="Arial" w:eastAsia="Arial" w:hAnsi="Arial"/>
                <w:sz w:val="18"/>
                <w:szCs w:val="18"/>
                <w:color w:val="auto"/>
              </w:rPr>
              <w:t xml:space="preserve">4,006,791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4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w:t>
            </w:r>
          </w:p>
        </w:tc>
        <w:tc>
          <w:tcPr>
            <w:tcW w:w="2520" w:type="dxa"/>
            <w:vAlign w:val="bottom"/>
            <w:shd w:val="clear" w:color="auto" w:fill="CCEEFF"/>
          </w:tcPr>
          <w:p>
            <w:pPr>
              <w:jc w:val="right"/>
              <w:ind w:right="93"/>
              <w:spacing w:after="0" w:line="230" w:lineRule="exact"/>
              <w:rPr>
                <w:sz w:val="20"/>
                <w:szCs w:val="20"/>
                <w:color w:val="auto"/>
              </w:rPr>
            </w:pPr>
            <w:r>
              <w:rPr>
                <w:rFonts w:ascii="Arial" w:cs="Arial" w:eastAsia="Arial" w:hAnsi="Arial"/>
                <w:sz w:val="18"/>
                <w:szCs w:val="18"/>
                <w:color w:val="auto"/>
              </w:rPr>
              <w:t xml:space="preserve">400,997 </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2008 Omnibus Stock Incentive Plan</w:t>
            </w:r>
          </w:p>
        </w:tc>
        <w:tc>
          <w:tcPr>
            <w:tcW w:w="2420" w:type="dxa"/>
            <w:vAlign w:val="bottom"/>
            <w:tcBorders>
              <w:bottom w:val="single" w:sz="8" w:color="auto"/>
            </w:tcBorders>
          </w:tcPr>
          <w:p>
            <w:pPr>
              <w:jc w:val="right"/>
              <w:ind w:right="10"/>
              <w:spacing w:after="0" w:line="230" w:lineRule="exact"/>
              <w:rPr>
                <w:sz w:val="20"/>
                <w:szCs w:val="20"/>
                <w:color w:val="auto"/>
              </w:rPr>
            </w:pPr>
            <w:r>
              <w:rPr>
                <w:rFonts w:ascii="Arial" w:cs="Arial" w:eastAsia="Arial" w:hAnsi="Arial"/>
                <w:sz w:val="18"/>
                <w:szCs w:val="18"/>
                <w:color w:val="auto"/>
              </w:rPr>
              <w:t xml:space="preserve">15,616 </w:t>
            </w:r>
            <w:r>
              <w:rPr>
                <w:rFonts w:ascii="Arial" w:cs="Arial" w:eastAsia="Arial" w:hAnsi="Arial"/>
                <w:sz w:val="23"/>
                <w:szCs w:val="23"/>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ind w:right="162"/>
              <w:spacing w:after="0" w:line="230" w:lineRule="exact"/>
              <w:rPr>
                <w:sz w:val="20"/>
                <w:szCs w:val="20"/>
                <w:color w:val="auto"/>
              </w:rPr>
            </w:pPr>
            <w:r>
              <w:rPr>
                <w:rFonts w:ascii="Arial" w:cs="Arial" w:eastAsia="Arial" w:hAnsi="Arial"/>
                <w:sz w:val="18"/>
                <w:szCs w:val="18"/>
                <w:color w:val="auto"/>
              </w:rPr>
              <w:t xml:space="preserve">24.27 </w:t>
            </w:r>
            <w:r>
              <w:rPr>
                <w:rFonts w:ascii="Arial" w:cs="Arial" w:eastAsia="Arial" w:hAnsi="Arial"/>
                <w:sz w:val="23"/>
                <w:szCs w:val="23"/>
                <w:color w:val="auto"/>
                <w:vertAlign w:val="superscript"/>
              </w:rPr>
              <w:t>(2)</w:t>
            </w:r>
          </w:p>
        </w:tc>
        <w:tc>
          <w:tcPr>
            <w:tcW w:w="2520" w:type="dxa"/>
            <w:vAlign w:val="bottom"/>
            <w:tcBorders>
              <w:bottom w:val="single" w:sz="8" w:color="auto"/>
            </w:tcBorders>
          </w:tcPr>
          <w:p>
            <w:pPr>
              <w:jc w:val="right"/>
              <w:ind w:right="93"/>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4,108,640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4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(2)</w:t>
            </w:r>
          </w:p>
        </w:tc>
        <w:tc>
          <w:tcPr>
            <w:tcW w:w="2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5,898,516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Consists of 86,233 shares subject to restricted stock units.</w:t>
      </w:r>
    </w:p>
    <w:p>
      <w:pPr>
        <w:spacing w:after="0" w:line="147" w:lineRule="exact"/>
        <w:rPr>
          <w:rFonts w:ascii="Arial" w:cs="Arial" w:eastAsia="Arial" w:hAnsi="Arial"/>
          <w:sz w:val="23"/>
          <w:szCs w:val="23"/>
          <w:color w:val="auto"/>
          <w:vertAlign w:val="superscript"/>
        </w:rPr>
      </w:pPr>
    </w:p>
    <w:p>
      <w:pPr>
        <w:ind w:left="340" w:right="600" w:hanging="332"/>
        <w:spacing w:after="0" w:line="227" w:lineRule="auto"/>
        <w:tabs>
          <w:tab w:leader="none" w:pos="328"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Represents the weighted average exercise price of outstanding stock options and does not take into account outstanding restricted stock units or performance share units.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Represents securities remaining available for issuance under the 2020 Share and Incentive Plan.</w:t>
      </w:r>
    </w:p>
    <w:p>
      <w:pPr>
        <w:spacing w:after="0" w:line="147"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Consists of 3,059,184 shares subject to stock options, 588,399 shares subject to restricted stock units, and 359,208 shares subject to performance share awards.</w:t>
      </w:r>
    </w:p>
    <w:p>
      <w:pPr>
        <w:spacing w:after="0" w:line="148" w:lineRule="exact"/>
        <w:rPr>
          <w:rFonts w:ascii="Arial" w:cs="Arial" w:eastAsia="Arial" w:hAnsi="Arial"/>
          <w:sz w:val="23"/>
          <w:szCs w:val="23"/>
          <w:color w:val="auto"/>
          <w:vertAlign w:val="superscript"/>
        </w:rPr>
      </w:pPr>
    </w:p>
    <w:p>
      <w:pPr>
        <w:ind w:left="340" w:right="380" w:hanging="332"/>
        <w:spacing w:after="0" w:line="238" w:lineRule="auto"/>
        <w:tabs>
          <w:tab w:leader="none" w:pos="328" w:val="left"/>
        </w:tabs>
        <w:numPr>
          <w:ilvl w:val="0"/>
          <w:numId w:val="64"/>
        </w:numPr>
        <w:rPr>
          <w:rFonts w:ascii="Arial" w:cs="Arial" w:eastAsia="Arial" w:hAnsi="Arial"/>
          <w:sz w:val="22"/>
          <w:szCs w:val="22"/>
          <w:color w:val="auto"/>
          <w:vertAlign w:val="superscript"/>
        </w:rPr>
      </w:pPr>
      <w:r>
        <w:rPr>
          <w:rFonts w:ascii="Arial" w:cs="Arial" w:eastAsia="Arial" w:hAnsi="Arial"/>
          <w:sz w:val="17"/>
          <w:szCs w:val="17"/>
          <w:color w:val="auto"/>
        </w:rPr>
        <w:t>The 2012 Stock and Incentive Plan was terminated in 2020. Stock options, restricted stock units and performance share awards previously granted under the 2012 Stock and Incentive Plan remain outstanding, but no further options or shares may be granted under this plan.</w:t>
      </w:r>
    </w:p>
    <w:p>
      <w:pPr>
        <w:spacing w:after="0" w:line="115"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Consists of 15,616 shares subject to stock options.</w:t>
      </w:r>
    </w:p>
    <w:p>
      <w:pPr>
        <w:spacing w:after="0" w:line="147" w:lineRule="exact"/>
        <w:rPr>
          <w:rFonts w:ascii="Arial" w:cs="Arial" w:eastAsia="Arial" w:hAnsi="Arial"/>
          <w:sz w:val="23"/>
          <w:szCs w:val="23"/>
          <w:color w:val="auto"/>
          <w:vertAlign w:val="superscript"/>
        </w:rPr>
      </w:pPr>
    </w:p>
    <w:p>
      <w:pPr>
        <w:ind w:left="340" w:right="440" w:hanging="332"/>
        <w:spacing w:after="0" w:line="227" w:lineRule="auto"/>
        <w:tabs>
          <w:tab w:leader="none" w:pos="328"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The 2008 Omnibus Stock Incentive Plan was terminated in 2012. Stock options previously granted under the 2008 Omnibus Stock Incentive Plan remain outstanding, but no further options or shares may be granted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required under this item is contained in our Proxy Statement for our 2021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Information required under this item is contained in our Proxy Statement for our 2021 annual general meeting of shareholders under the caption “Proposal 3 Ratify, by Nonbinding, Advisory Vote, the Appointment of Deloitte &amp; Touche LLP as the Independent Auditor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Operations and Comprehensive Income for the years ended December 31, 2020, 2019 and 2018</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2020, 2019 and 2018</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1300" w:right="280"/>
        <w:spacing w:after="0" w:line="342" w:lineRule="auto"/>
        <w:rPr>
          <w:sz w:val="20"/>
          <w:szCs w:val="20"/>
          <w:color w:val="auto"/>
        </w:rPr>
      </w:pPr>
      <w:r>
        <w:rPr>
          <w:rFonts w:ascii="Arial" w:cs="Arial" w:eastAsia="Arial" w:hAnsi="Arial"/>
          <w:sz w:val="16"/>
          <w:szCs w:val="16"/>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exhibits of this Annual Report on Form 10-K included herein are set forth below.</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Exhibit</w:t>
      </w:r>
    </w:p>
    <w:p>
      <w:pPr>
        <w:spacing w:after="0" w:line="57" w:lineRule="exact"/>
        <w:rPr>
          <w:sz w:val="20"/>
          <w:szCs w:val="20"/>
          <w:color w:val="auto"/>
        </w:rPr>
      </w:pPr>
    </w:p>
    <w:p>
      <w:pPr>
        <w:ind w:left="1040" w:right="340" w:hanging="690"/>
        <w:spacing w:after="0" w:line="235" w:lineRule="auto"/>
        <w:tabs>
          <w:tab w:leader="none" w:pos="1020" w:val="left"/>
        </w:tabs>
        <w:rPr>
          <w:rFonts w:ascii="Arial" w:cs="Arial" w:eastAsia="Arial" w:hAnsi="Arial"/>
          <w:sz w:val="18"/>
          <w:szCs w:val="18"/>
          <w:b w:val="1"/>
          <w:bCs w:val="1"/>
          <w:color w:val="0000FF"/>
        </w:rPr>
      </w:pPr>
      <w:hyperlink r:id="rId105">
        <w:r>
          <w:rPr>
            <w:rFonts w:ascii="Arial" w:cs="Arial" w:eastAsia="Arial" w:hAnsi="Arial"/>
            <w:sz w:val="18"/>
            <w:szCs w:val="18"/>
            <w:b w:val="1"/>
            <w:bCs w:val="1"/>
            <w:u w:val="single" w:color="auto"/>
            <w:color w:val="0000FF"/>
          </w:rPr>
          <w:t>3.1</w:t>
        </w:r>
      </w:hyperlink>
      <w:r>
        <w:rPr>
          <w:rFonts w:ascii="Arial" w:cs="Arial" w:eastAsia="Arial" w:hAnsi="Arial"/>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54" w:lineRule="exact"/>
        <w:rPr>
          <w:sz w:val="20"/>
          <w:szCs w:val="20"/>
          <w:color w:val="auto"/>
        </w:rPr>
      </w:pPr>
    </w:p>
    <w:p>
      <w:pPr>
        <w:ind w:left="1040" w:right="40" w:hanging="690"/>
        <w:spacing w:after="0" w:line="237" w:lineRule="auto"/>
        <w:tabs>
          <w:tab w:leader="none" w:pos="1020" w:val="left"/>
        </w:tabs>
        <w:rPr>
          <w:rFonts w:ascii="Arial" w:cs="Arial" w:eastAsia="Arial" w:hAnsi="Arial"/>
          <w:sz w:val="18"/>
          <w:szCs w:val="18"/>
          <w:b w:val="1"/>
          <w:bCs w:val="1"/>
          <w:color w:val="0000FF"/>
        </w:rPr>
      </w:pPr>
      <w:hyperlink r:id="rId106">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24, 2012, among Pentair Finance S.A. (formerly Tyco Flow Control International Finance S.A.) (as Issuer), Pentair Ltd. (as Guarantor) and Wells Fargo Bank, National Association (as Trustee) (Incorporated by reference to Exhibit 4.1 in the Current Report on Form 8-K of Pentair Ltd. filed with the Commission on September 28, 2012 (File No. 001-11625)).</w:t>
      </w:r>
    </w:p>
    <w:p>
      <w:pPr>
        <w:spacing w:after="0" w:line="55" w:lineRule="exact"/>
        <w:rPr>
          <w:sz w:val="20"/>
          <w:szCs w:val="20"/>
          <w:color w:val="auto"/>
        </w:rPr>
      </w:pPr>
    </w:p>
    <w:p>
      <w:pPr>
        <w:jc w:val="both"/>
        <w:ind w:left="1040" w:right="200" w:hanging="690"/>
        <w:spacing w:after="0" w:line="219" w:lineRule="auto"/>
        <w:tabs>
          <w:tab w:leader="none" w:pos="1020" w:val="left"/>
        </w:tabs>
        <w:rPr>
          <w:rFonts w:ascii="Arial" w:cs="Arial" w:eastAsia="Arial" w:hAnsi="Arial"/>
          <w:sz w:val="18"/>
          <w:szCs w:val="18"/>
          <w:b w:val="1"/>
          <w:bCs w:val="1"/>
          <w:color w:val="0000FF"/>
        </w:rPr>
      </w:pPr>
      <w:hyperlink r:id="rId107">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Second Supplemental Indenture, dated as of September 24, 2012, among Pentair Finance S.A. (formerly Tyco Flow Control International Finance S.A.) (as Issuer), Pentair Ltd. (as Guarantor), Pentair, Inc. and Wells Fargo Bank, National Association (as Trustee) (Incorporated by reference to Exhibit 4.3 in the Current Report on Form 8-K of Pentair Ltd. filed with the Commission on September 28, 2012 (File No. 001-11625)).</w:t>
      </w:r>
    </w:p>
    <w:p>
      <w:pPr>
        <w:spacing w:after="0" w:line="55" w:lineRule="exact"/>
        <w:rPr>
          <w:sz w:val="20"/>
          <w:szCs w:val="20"/>
          <w:color w:val="auto"/>
        </w:rPr>
      </w:pPr>
    </w:p>
    <w:p>
      <w:pPr>
        <w:ind w:left="1040" w:hanging="690"/>
        <w:spacing w:after="0" w:line="224" w:lineRule="auto"/>
        <w:tabs>
          <w:tab w:leader="none" w:pos="1020" w:val="left"/>
        </w:tabs>
        <w:rPr>
          <w:rFonts w:ascii="Arial" w:cs="Arial" w:eastAsia="Arial" w:hAnsi="Arial"/>
          <w:sz w:val="18"/>
          <w:szCs w:val="18"/>
          <w:b w:val="1"/>
          <w:bCs w:val="1"/>
          <w:color w:val="0000FF"/>
        </w:rPr>
      </w:pPr>
      <w:hyperlink r:id="rId108">
        <w:r>
          <w:rPr>
            <w:rFonts w:ascii="Arial" w:cs="Arial" w:eastAsia="Arial" w:hAnsi="Arial"/>
            <w:sz w:val="18"/>
            <w:szCs w:val="18"/>
            <w:b w:val="1"/>
            <w:bCs w:val="1"/>
            <w:u w:val="single" w:color="auto"/>
            <w:color w:val="0000FF"/>
          </w:rPr>
          <w:t>4.3</w:t>
        </w:r>
      </w:hyperlink>
      <w:r>
        <w:rPr>
          <w:rFonts w:ascii="Arial" w:cs="Arial" w:eastAsia="Arial" w:hAnsi="Arial"/>
          <w:sz w:val="18"/>
          <w:szCs w:val="18"/>
          <w:b w:val="1"/>
          <w:bCs w:val="1"/>
          <w:color w:val="0000FF"/>
        </w:rPr>
        <w:tab/>
        <w:t>Fifth Supplemental Indenture, dated as of December 18, 2012, among Pentair Finance S.A. (as Issuer), Pentair Ltd. (as Guarantor) and Wells Fargo Bank, National Association (as Trustee) (Incorporated by reference to Exhibit 4.1 in the Current Report on Form 8-K of Pentair Ltd. filed with the Commission on December 18, 2012 (File No. 001-11625)).</w:t>
      </w:r>
    </w:p>
    <w:p>
      <w:pPr>
        <w:spacing w:after="0" w:line="55" w:lineRule="exact"/>
        <w:rPr>
          <w:sz w:val="20"/>
          <w:szCs w:val="20"/>
          <w:color w:val="auto"/>
        </w:rPr>
      </w:pPr>
    </w:p>
    <w:p>
      <w:pPr>
        <w:ind w:left="1040" w:right="20" w:hanging="690"/>
        <w:spacing w:after="0" w:line="224" w:lineRule="auto"/>
        <w:tabs>
          <w:tab w:leader="none" w:pos="1020" w:val="left"/>
        </w:tabs>
        <w:rPr>
          <w:rFonts w:ascii="Arial" w:cs="Arial" w:eastAsia="Arial" w:hAnsi="Arial"/>
          <w:sz w:val="18"/>
          <w:szCs w:val="18"/>
          <w:b w:val="1"/>
          <w:bCs w:val="1"/>
          <w:color w:val="0000FF"/>
        </w:rPr>
      </w:pPr>
      <w:hyperlink r:id="rId109">
        <w:r>
          <w:rPr>
            <w:rFonts w:ascii="Arial" w:cs="Arial" w:eastAsia="Arial" w:hAnsi="Arial"/>
            <w:sz w:val="18"/>
            <w:szCs w:val="18"/>
            <w:b w:val="1"/>
            <w:bCs w:val="1"/>
            <w:u w:val="single" w:color="auto"/>
            <w:color w:val="0000FF"/>
          </w:rPr>
          <w:t>4.4</w:t>
        </w:r>
      </w:hyperlink>
      <w:r>
        <w:rPr>
          <w:rFonts w:ascii="Arial" w:cs="Arial" w:eastAsia="Arial" w:hAnsi="Arial"/>
          <w:sz w:val="18"/>
          <w:szCs w:val="18"/>
          <w:b w:val="1"/>
          <w:bCs w:val="1"/>
          <w:color w:val="0000FF"/>
        </w:rPr>
        <w:tab/>
        <w:t>Sixth Supplemental Indenture, dated as of May 20, 2014, among Pentair Finance S.A., Pentair Ltd., Pentair Investments Switzerland GmbH, Pentair plc and Wells Fargo Bank, National Association, as trustee (Incorporated by reference to Exhibit 4.3 in the Current Report on Form 8-K of Pentair plc filed with the Commission on May 20, 2014 (File No. 001-11625)).</w:t>
      </w:r>
    </w:p>
    <w:p>
      <w:pPr>
        <w:spacing w:after="0" w:line="55" w:lineRule="exact"/>
        <w:rPr>
          <w:sz w:val="20"/>
          <w:szCs w:val="20"/>
          <w:color w:val="auto"/>
        </w:rPr>
      </w:pPr>
    </w:p>
    <w:p>
      <w:pPr>
        <w:ind w:left="1040" w:right="140" w:hanging="690"/>
        <w:spacing w:after="0" w:line="224" w:lineRule="auto"/>
        <w:tabs>
          <w:tab w:leader="none" w:pos="1020" w:val="left"/>
        </w:tabs>
        <w:rPr>
          <w:rFonts w:ascii="Arial" w:cs="Arial" w:eastAsia="Arial" w:hAnsi="Arial"/>
          <w:sz w:val="18"/>
          <w:szCs w:val="18"/>
          <w:b w:val="1"/>
          <w:bCs w:val="1"/>
          <w:color w:val="0000FF"/>
        </w:rPr>
      </w:pPr>
      <w:hyperlink r:id="rId110">
        <w:r>
          <w:rPr>
            <w:rFonts w:ascii="Arial" w:cs="Arial" w:eastAsia="Arial" w:hAnsi="Arial"/>
            <w:sz w:val="18"/>
            <w:szCs w:val="18"/>
            <w:b w:val="1"/>
            <w:bCs w:val="1"/>
            <w:u w:val="single" w:color="auto"/>
            <w:color w:val="0000FF"/>
          </w:rPr>
          <w:t>4.5</w:t>
        </w:r>
      </w:hyperlink>
      <w:r>
        <w:rPr>
          <w:rFonts w:ascii="Arial" w:cs="Arial" w:eastAsia="Arial" w:hAnsi="Arial"/>
          <w:sz w:val="18"/>
          <w:szCs w:val="18"/>
          <w:b w:val="1"/>
          <w:bCs w:val="1"/>
          <w:color w:val="0000FF"/>
        </w:rPr>
        <w:tab/>
        <w:t>Seventh Supplemental Indenture, dated as of May 26, 2017, among Pentair Finance S.A., Pentair plc, Pentair Investments Switzerland GmbH and Wells Fargo Bank, National Association as trustee (Incorporated by reference to Exhibit 4.1 to the Current Report on Form 8-K of Pentair plc filed with the Commission on May 31, 2017 (File No. 001-11625)).</w:t>
      </w:r>
    </w:p>
    <w:p>
      <w:pPr>
        <w:spacing w:after="0" w:line="55" w:lineRule="exact"/>
        <w:rPr>
          <w:sz w:val="20"/>
          <w:szCs w:val="20"/>
          <w:color w:val="auto"/>
        </w:rPr>
      </w:pPr>
    </w:p>
    <w:p>
      <w:pPr>
        <w:ind w:left="1040" w:right="140" w:hanging="690"/>
        <w:spacing w:after="0" w:line="235" w:lineRule="auto"/>
        <w:tabs>
          <w:tab w:leader="none" w:pos="1020" w:val="left"/>
        </w:tabs>
        <w:rPr>
          <w:rFonts w:ascii="Arial" w:cs="Arial" w:eastAsia="Arial" w:hAnsi="Arial"/>
          <w:sz w:val="18"/>
          <w:szCs w:val="18"/>
          <w:b w:val="1"/>
          <w:bCs w:val="1"/>
          <w:color w:val="0000FF"/>
        </w:rPr>
      </w:pPr>
      <w:hyperlink r:id="rId111">
        <w:r>
          <w:rPr>
            <w:rFonts w:ascii="Arial" w:cs="Arial" w:eastAsia="Arial" w:hAnsi="Arial"/>
            <w:sz w:val="18"/>
            <w:szCs w:val="18"/>
            <w:b w:val="1"/>
            <w:bCs w:val="1"/>
            <w:u w:val="single" w:color="auto"/>
            <w:color w:val="0000FF"/>
          </w:rPr>
          <w:t>4.6</w:t>
        </w:r>
      </w:hyperlink>
      <w:r>
        <w:rPr>
          <w:rFonts w:ascii="Arial" w:cs="Arial" w:eastAsia="Arial" w:hAnsi="Arial"/>
          <w:sz w:val="18"/>
          <w:szCs w:val="18"/>
          <w:b w:val="1"/>
          <w:bCs w:val="1"/>
          <w:color w:val="0000FF"/>
        </w:rPr>
        <w:tab/>
        <w:t>Senior Indenture, dated May 2, 2011 by and among Pentair, Inc. and Wells Fargo Bank, National Association (Incorporated by reference to Exhibit 4.5 to Pentair, Inc.’s Registration Statement on Form S-3 (Registration 333-173829)).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6" w:name="page87"/>
    <w:bookmarkEnd w:id="86"/>
    <w:p>
      <w:pPr>
        <w:ind w:left="740" w:right="60" w:hanging="690"/>
        <w:spacing w:after="0" w:line="224" w:lineRule="auto"/>
        <w:tabs>
          <w:tab w:leader="none" w:pos="720" w:val="left"/>
        </w:tabs>
        <w:rPr>
          <w:rFonts w:ascii="Arial" w:cs="Arial" w:eastAsia="Arial" w:hAnsi="Arial"/>
          <w:sz w:val="18"/>
          <w:szCs w:val="18"/>
          <w:b w:val="1"/>
          <w:bCs w:val="1"/>
          <w:color w:val="0000FF"/>
        </w:rPr>
      </w:pPr>
      <w:hyperlink r:id="rId113">
        <w:r>
          <w:rPr>
            <w:rFonts w:ascii="Arial" w:cs="Arial" w:eastAsia="Arial" w:hAnsi="Arial"/>
            <w:sz w:val="18"/>
            <w:szCs w:val="18"/>
            <w:b w:val="1"/>
            <w:bCs w:val="1"/>
            <w:u w:val="single" w:color="auto"/>
            <w:color w:val="0000FF"/>
          </w:rPr>
          <w:t>4.7</w:t>
        </w:r>
      </w:hyperlink>
      <w:r>
        <w:rPr>
          <w:rFonts w:ascii="Arial" w:cs="Arial" w:eastAsia="Arial" w:hAnsi="Arial"/>
          <w:sz w:val="18"/>
          <w:szCs w:val="18"/>
          <w:b w:val="1"/>
          <w:bCs w:val="1"/>
          <w:color w:val="0000FF"/>
        </w:rPr>
        <w:tab/>
        <w:t>First Supplemental Indenture, dated as of May 9, 2011, among Pentair, Inc., the guarantors named therein and Wells Fargo Bank, National Association (Incorporated by reference to Exhibit 4.2 in the Current Report on Form 8-K of Pentair, Inc. filed with the Commission on May 9, 2011 (File No. 000-04689)).</w:t>
      </w:r>
    </w:p>
    <w:p>
      <w:pPr>
        <w:spacing w:after="0" w:line="55" w:lineRule="exact"/>
        <w:rPr>
          <w:sz w:val="20"/>
          <w:szCs w:val="20"/>
          <w:color w:val="auto"/>
        </w:rPr>
      </w:pPr>
    </w:p>
    <w:p>
      <w:pPr>
        <w:ind w:left="740" w:right="20" w:hanging="690"/>
        <w:spacing w:after="0" w:line="224" w:lineRule="auto"/>
        <w:tabs>
          <w:tab w:leader="none" w:pos="720" w:val="left"/>
        </w:tabs>
        <w:rPr>
          <w:rFonts w:ascii="Arial" w:cs="Arial" w:eastAsia="Arial" w:hAnsi="Arial"/>
          <w:sz w:val="18"/>
          <w:szCs w:val="18"/>
          <w:b w:val="1"/>
          <w:bCs w:val="1"/>
          <w:color w:val="0000FF"/>
        </w:rPr>
      </w:pPr>
      <w:hyperlink r:id="rId114">
        <w:r>
          <w:rPr>
            <w:rFonts w:ascii="Arial" w:cs="Arial" w:eastAsia="Arial" w:hAnsi="Arial"/>
            <w:sz w:val="18"/>
            <w:szCs w:val="18"/>
            <w:b w:val="1"/>
            <w:bCs w:val="1"/>
            <w:u w:val="single" w:color="auto"/>
            <w:color w:val="0000FF"/>
          </w:rPr>
          <w:t>4.8</w:t>
        </w:r>
      </w:hyperlink>
      <w:r>
        <w:rPr>
          <w:rFonts w:ascii="Arial" w:cs="Arial" w:eastAsia="Arial" w:hAnsi="Arial"/>
          <w:sz w:val="18"/>
          <w:szCs w:val="18"/>
          <w:b w:val="1"/>
          <w:bCs w:val="1"/>
          <w:color w:val="0000FF"/>
        </w:rPr>
        <w:tab/>
        <w:t>Third Supplemental Indenture, dated October 1, 2012, among Pentair Ltd., Pentair, Inc. and Wells Fargo Bank, National Association, as trustee (Incorporated by reference to Exhibit 4.1 in the Current Report on Form 8-K of Pentair Ltd. filed with the Commission on October 1, 2012 (File No. 001-11625)).</w:t>
      </w:r>
    </w:p>
    <w:p>
      <w:pPr>
        <w:spacing w:after="0" w:line="55" w:lineRule="exact"/>
        <w:rPr>
          <w:sz w:val="20"/>
          <w:szCs w:val="20"/>
          <w:color w:val="auto"/>
        </w:rPr>
      </w:pPr>
    </w:p>
    <w:p>
      <w:pPr>
        <w:ind w:left="740" w:right="40" w:hanging="690"/>
        <w:spacing w:after="0" w:line="224" w:lineRule="auto"/>
        <w:tabs>
          <w:tab w:leader="none" w:pos="720" w:val="left"/>
        </w:tabs>
        <w:rPr>
          <w:rFonts w:ascii="Arial" w:cs="Arial" w:eastAsia="Arial" w:hAnsi="Arial"/>
          <w:sz w:val="18"/>
          <w:szCs w:val="18"/>
          <w:b w:val="1"/>
          <w:bCs w:val="1"/>
          <w:color w:val="0000FF"/>
        </w:rPr>
      </w:pPr>
      <w:hyperlink r:id="rId115">
        <w:r>
          <w:rPr>
            <w:rFonts w:ascii="Arial" w:cs="Arial" w:eastAsia="Arial" w:hAnsi="Arial"/>
            <w:sz w:val="18"/>
            <w:szCs w:val="18"/>
            <w:b w:val="1"/>
            <w:bCs w:val="1"/>
            <w:u w:val="single" w:color="auto"/>
            <w:color w:val="0000FF"/>
          </w:rPr>
          <w:t>4.9</w:t>
        </w:r>
      </w:hyperlink>
      <w:r>
        <w:rPr>
          <w:rFonts w:ascii="Arial" w:cs="Arial" w:eastAsia="Arial" w:hAnsi="Arial"/>
          <w:sz w:val="18"/>
          <w:szCs w:val="18"/>
          <w:b w:val="1"/>
          <w:bCs w:val="1"/>
          <w:color w:val="0000FF"/>
        </w:rPr>
        <w:tab/>
        <w:t>Fourth Supplemental Indenture, dated as of December 17, 2012, among Pentair, Inc. (as Issuer), Pentair Ltd. (as Guarantor) and Wells Fargo Bank, National Association (as Trustee) (Incorporated by reference to Exhibit 4.2 in the Current Report on Form 8-K of Pentair Ltd. filed with the Commission on December 18, 2012 (File No. 001-11625)).</w:t>
      </w:r>
    </w:p>
    <w:p>
      <w:pPr>
        <w:spacing w:after="0" w:line="55" w:lineRule="exact"/>
        <w:rPr>
          <w:sz w:val="20"/>
          <w:szCs w:val="20"/>
          <w:color w:val="auto"/>
        </w:rPr>
      </w:pPr>
    </w:p>
    <w:p>
      <w:pPr>
        <w:jc w:val="both"/>
        <w:ind w:left="740" w:right="120" w:hanging="735"/>
        <w:spacing w:after="0" w:line="224" w:lineRule="auto"/>
        <w:tabs>
          <w:tab w:leader="none" w:pos="720" w:val="left"/>
        </w:tabs>
        <w:rPr>
          <w:rFonts w:ascii="Arial" w:cs="Arial" w:eastAsia="Arial" w:hAnsi="Arial"/>
          <w:sz w:val="18"/>
          <w:szCs w:val="18"/>
          <w:b w:val="1"/>
          <w:bCs w:val="1"/>
          <w:color w:val="0000FF"/>
        </w:rPr>
      </w:pPr>
      <w:hyperlink r:id="rId116">
        <w:r>
          <w:rPr>
            <w:rFonts w:ascii="Arial" w:cs="Arial" w:eastAsia="Arial" w:hAnsi="Arial"/>
            <w:sz w:val="18"/>
            <w:szCs w:val="18"/>
            <w:b w:val="1"/>
            <w:bCs w:val="1"/>
            <w:u w:val="single" w:color="auto"/>
            <w:color w:val="0000FF"/>
          </w:rPr>
          <w:t>4.10</w:t>
        </w:r>
      </w:hyperlink>
      <w:r>
        <w:rPr>
          <w:rFonts w:ascii="Arial" w:cs="Arial" w:eastAsia="Arial" w:hAnsi="Arial"/>
          <w:sz w:val="18"/>
          <w:szCs w:val="18"/>
          <w:b w:val="1"/>
          <w:bCs w:val="1"/>
          <w:color w:val="0000FF"/>
        </w:rPr>
        <w:tab/>
        <w:t>Fifth Supplemental Indenture, dated as of May 20, 2014, among Pentair, Inc., Pentair Ltd., Pentair Investments Switzerland GmbH, Pentair plc and Wells Fargo Bank, National Association, as trustee (Incorporated by reference to Exhibit 4.2 in the Current Report on Form 8-K of Pentair plc filed with the Commission on May 20, 2014 (File No. 001-11625)).</w:t>
      </w:r>
    </w:p>
    <w:p>
      <w:pPr>
        <w:spacing w:after="0" w:line="55" w:lineRule="exact"/>
        <w:rPr>
          <w:sz w:val="20"/>
          <w:szCs w:val="20"/>
          <w:color w:val="auto"/>
        </w:rPr>
      </w:pPr>
    </w:p>
    <w:p>
      <w:pPr>
        <w:ind w:left="740" w:hanging="730"/>
        <w:spacing w:after="0" w:line="224" w:lineRule="auto"/>
        <w:tabs>
          <w:tab w:leader="none" w:pos="720" w:val="left"/>
        </w:tabs>
        <w:rPr>
          <w:rFonts w:ascii="Arial" w:cs="Arial" w:eastAsia="Arial" w:hAnsi="Arial"/>
          <w:sz w:val="18"/>
          <w:szCs w:val="18"/>
          <w:b w:val="1"/>
          <w:bCs w:val="1"/>
          <w:color w:val="0000FF"/>
        </w:rPr>
      </w:pPr>
      <w:hyperlink r:id="rId117">
        <w:r>
          <w:rPr>
            <w:rFonts w:ascii="Arial" w:cs="Arial" w:eastAsia="Arial" w:hAnsi="Arial"/>
            <w:sz w:val="18"/>
            <w:szCs w:val="18"/>
            <w:b w:val="1"/>
            <w:bCs w:val="1"/>
            <w:u w:val="single" w:color="auto"/>
            <w:color w:val="0000FF"/>
          </w:rPr>
          <w:t>4.11</w:t>
        </w:r>
      </w:hyperlink>
      <w:r>
        <w:rPr>
          <w:rFonts w:ascii="Arial" w:cs="Arial" w:eastAsia="Arial" w:hAnsi="Arial"/>
          <w:sz w:val="18"/>
          <w:szCs w:val="18"/>
          <w:b w:val="1"/>
          <w:bCs w:val="1"/>
          <w:color w:val="0000FF"/>
        </w:rPr>
        <w:tab/>
        <w:t>Sixth Supplemental Indenture, dated as of May 26, 2017, among Pentair, Inc., Pentair plc, Pentair Investments Switzerland GmbH and Wells Fargo Bank, National Association, as trustee (Incorporated by reference to Exhibit 4.2 to the Current Report on Form 8-K of Pentair plc filed with the Commission on May 31, 2017 (File No. 001-11625)).</w:t>
      </w:r>
    </w:p>
    <w:p>
      <w:pPr>
        <w:spacing w:after="0" w:line="55" w:lineRule="exact"/>
        <w:rPr>
          <w:sz w:val="20"/>
          <w:szCs w:val="20"/>
          <w:color w:val="auto"/>
        </w:rPr>
      </w:pPr>
    </w:p>
    <w:p>
      <w:pPr>
        <w:ind w:left="740" w:right="20" w:hanging="735"/>
        <w:spacing w:after="0" w:line="224" w:lineRule="auto"/>
        <w:tabs>
          <w:tab w:leader="none" w:pos="720" w:val="left"/>
        </w:tabs>
        <w:rPr>
          <w:rFonts w:ascii="Arial" w:cs="Arial" w:eastAsia="Arial" w:hAnsi="Arial"/>
          <w:sz w:val="18"/>
          <w:szCs w:val="18"/>
          <w:b w:val="1"/>
          <w:bCs w:val="1"/>
          <w:color w:val="0000FF"/>
        </w:rPr>
      </w:pPr>
      <w:hyperlink r:id="rId118">
        <w:r>
          <w:rPr>
            <w:rFonts w:ascii="Arial" w:cs="Arial" w:eastAsia="Arial" w:hAnsi="Arial"/>
            <w:sz w:val="18"/>
            <w:szCs w:val="18"/>
            <w:b w:val="1"/>
            <w:bCs w:val="1"/>
            <w:u w:val="single" w:color="auto"/>
            <w:color w:val="0000FF"/>
          </w:rPr>
          <w:t>4.12</w:t>
        </w:r>
      </w:hyperlink>
      <w:r>
        <w:rPr>
          <w:rFonts w:ascii="Arial" w:cs="Arial" w:eastAsia="Arial" w:hAnsi="Arial"/>
          <w:sz w:val="18"/>
          <w:szCs w:val="18"/>
          <w:b w:val="1"/>
          <w:bCs w:val="1"/>
          <w:color w:val="0000FF"/>
        </w:rPr>
        <w:tab/>
        <w:t>Credit Agreement, dated as of April 25, 2018, among Pentair plc, Pentair Investments Switzerland GmbH, Pentair Finance S.à r.l., Pentair, Inc. and the lenders and agents party thereto (Incorporated by reference to Exhibit 4.1 to the Current Report on Form 8-K of Pentair plc filed with the Commission on April 30, 2018) (File No. 001-11625)).</w:t>
      </w:r>
    </w:p>
    <w:p>
      <w:pPr>
        <w:spacing w:after="0" w:line="55" w:lineRule="exact"/>
        <w:rPr>
          <w:sz w:val="20"/>
          <w:szCs w:val="20"/>
          <w:color w:val="auto"/>
        </w:rPr>
      </w:pPr>
    </w:p>
    <w:p>
      <w:pPr>
        <w:jc w:val="both"/>
        <w:ind w:left="740" w:right="120" w:hanging="735"/>
        <w:spacing w:after="0" w:line="259" w:lineRule="auto"/>
        <w:tabs>
          <w:tab w:leader="none" w:pos="720" w:val="left"/>
        </w:tabs>
        <w:rPr>
          <w:rFonts w:ascii="Arial" w:cs="Arial" w:eastAsia="Arial" w:hAnsi="Arial"/>
          <w:sz w:val="18"/>
          <w:szCs w:val="18"/>
          <w:b w:val="1"/>
          <w:bCs w:val="1"/>
          <w:color w:val="0000FF"/>
        </w:rPr>
      </w:pPr>
      <w:hyperlink r:id="rId119">
        <w:r>
          <w:rPr>
            <w:rFonts w:ascii="Arial" w:cs="Arial" w:eastAsia="Arial" w:hAnsi="Arial"/>
            <w:sz w:val="18"/>
            <w:szCs w:val="18"/>
            <w:b w:val="1"/>
            <w:bCs w:val="1"/>
            <w:u w:val="single" w:color="auto"/>
            <w:color w:val="0000FF"/>
          </w:rPr>
          <w:t>4.13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Amendment No. 1, dated as of December 2, 2019, to Credit Agreement, dated as of April 15, 2018, among Pentair plc, Pentair Investments Switzerland GmbH, Pentair Finance S.à r.l., Pentair, Inc. and the lenders and agents party thereto (Incorporated by reference to Exhibit 4.1 to the Current Report on Form 8-K of Pentair plc filed with the Commission on December 6, 2019) (File No. 001-11625)).</w:t>
      </w:r>
    </w:p>
    <w:p>
      <w:pPr>
        <w:spacing w:after="0" w:line="39" w:lineRule="exact"/>
        <w:rPr>
          <w:sz w:val="20"/>
          <w:szCs w:val="20"/>
          <w:color w:val="auto"/>
        </w:rPr>
      </w:pPr>
    </w:p>
    <w:p>
      <w:pPr>
        <w:ind w:left="740" w:right="20" w:hanging="735"/>
        <w:spacing w:after="0" w:line="237" w:lineRule="auto"/>
        <w:tabs>
          <w:tab w:leader="none" w:pos="720" w:val="left"/>
        </w:tabs>
        <w:rPr>
          <w:rFonts w:ascii="Arial" w:cs="Arial" w:eastAsia="Arial" w:hAnsi="Arial"/>
          <w:sz w:val="18"/>
          <w:szCs w:val="18"/>
          <w:b w:val="1"/>
          <w:bCs w:val="1"/>
          <w:color w:val="0000FF"/>
        </w:rPr>
      </w:pPr>
      <w:hyperlink r:id="rId120">
        <w:r>
          <w:rPr>
            <w:rFonts w:ascii="Arial" w:cs="Arial" w:eastAsia="Arial" w:hAnsi="Arial"/>
            <w:sz w:val="18"/>
            <w:szCs w:val="18"/>
            <w:b w:val="1"/>
            <w:bCs w:val="1"/>
            <w:u w:val="single" w:color="auto"/>
            <w:color w:val="0000FF"/>
          </w:rPr>
          <w:t>4.14</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p>
      <w:pPr>
        <w:spacing w:after="0" w:line="55" w:lineRule="exact"/>
        <w:rPr>
          <w:sz w:val="20"/>
          <w:szCs w:val="20"/>
          <w:color w:val="auto"/>
        </w:rPr>
      </w:pPr>
    </w:p>
    <w:p>
      <w:pPr>
        <w:ind w:left="740" w:right="120" w:hanging="735"/>
        <w:spacing w:after="0" w:line="219" w:lineRule="auto"/>
        <w:tabs>
          <w:tab w:leader="none" w:pos="720" w:val="left"/>
        </w:tabs>
        <w:rPr>
          <w:rFonts w:ascii="Arial" w:cs="Arial" w:eastAsia="Arial" w:hAnsi="Arial"/>
          <w:sz w:val="18"/>
          <w:szCs w:val="18"/>
          <w:b w:val="1"/>
          <w:bCs w:val="1"/>
          <w:color w:val="0000FF"/>
        </w:rPr>
      </w:pPr>
      <w:hyperlink r:id="rId121">
        <w:r>
          <w:rPr>
            <w:rFonts w:ascii="Arial" w:cs="Arial" w:eastAsia="Arial" w:hAnsi="Arial"/>
            <w:sz w:val="18"/>
            <w:szCs w:val="18"/>
            <w:b w:val="1"/>
            <w:bCs w:val="1"/>
            <w:u w:val="single" w:color="auto"/>
            <w:color w:val="0000FF"/>
          </w:rPr>
          <w:t>4.15</w:t>
        </w:r>
      </w:hyperlink>
      <w:r>
        <w:rPr>
          <w:rFonts w:ascii="Arial" w:cs="Arial" w:eastAsia="Arial" w:hAnsi="Arial"/>
          <w:sz w:val="18"/>
          <w:szCs w:val="18"/>
          <w:b w:val="1"/>
          <w:bCs w:val="1"/>
          <w:color w:val="0000FF"/>
        </w:rPr>
        <w:tab/>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55" w:lineRule="exact"/>
        <w:rPr>
          <w:sz w:val="20"/>
          <w:szCs w:val="20"/>
          <w:color w:val="auto"/>
        </w:rPr>
      </w:pPr>
    </w:p>
    <w:p>
      <w:pPr>
        <w:jc w:val="both"/>
        <w:ind w:left="740" w:right="180" w:hanging="735"/>
        <w:spacing w:after="0" w:line="224" w:lineRule="auto"/>
        <w:tabs>
          <w:tab w:leader="none" w:pos="720" w:val="left"/>
        </w:tabs>
        <w:rPr>
          <w:rFonts w:ascii="Arial" w:cs="Arial" w:eastAsia="Arial" w:hAnsi="Arial"/>
          <w:sz w:val="18"/>
          <w:szCs w:val="18"/>
          <w:b w:val="1"/>
          <w:bCs w:val="1"/>
          <w:color w:val="0000FF"/>
        </w:rPr>
      </w:pPr>
      <w:hyperlink r:id="rId122">
        <w:r>
          <w:rPr>
            <w:rFonts w:ascii="Arial" w:cs="Arial" w:eastAsia="Arial" w:hAnsi="Arial"/>
            <w:sz w:val="18"/>
            <w:szCs w:val="18"/>
            <w:b w:val="1"/>
            <w:bCs w:val="1"/>
            <w:u w:val="single" w:color="auto"/>
            <w:color w:val="0000FF"/>
          </w:rPr>
          <w:t>4.16</w:t>
        </w:r>
      </w:hyperlink>
      <w:r>
        <w:rPr>
          <w:rFonts w:ascii="Arial" w:cs="Arial" w:eastAsia="Arial" w:hAnsi="Arial"/>
          <w:sz w:val="18"/>
          <w:szCs w:val="18"/>
          <w:b w:val="1"/>
          <w:bCs w:val="1"/>
          <w:color w:val="0000FF"/>
        </w:rPr>
        <w:tab/>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p>
      <w:pPr>
        <w:spacing w:after="0" w:line="55" w:lineRule="exact"/>
        <w:rPr>
          <w:sz w:val="20"/>
          <w:szCs w:val="20"/>
          <w:color w:val="auto"/>
        </w:rPr>
      </w:pPr>
    </w:p>
    <w:p>
      <w:pPr>
        <w:ind w:left="740" w:right="220" w:hanging="735"/>
        <w:spacing w:after="0" w:line="259" w:lineRule="auto"/>
        <w:tabs>
          <w:tab w:leader="none" w:pos="720" w:val="left"/>
        </w:tabs>
        <w:rPr>
          <w:rFonts w:ascii="Arial" w:cs="Arial" w:eastAsia="Arial" w:hAnsi="Arial"/>
          <w:sz w:val="18"/>
          <w:szCs w:val="18"/>
          <w:b w:val="1"/>
          <w:bCs w:val="1"/>
          <w:color w:val="0000FF"/>
        </w:rPr>
      </w:pPr>
      <w:hyperlink r:id="rId123">
        <w:r>
          <w:rPr>
            <w:rFonts w:ascii="Arial" w:cs="Arial" w:eastAsia="Arial" w:hAnsi="Arial"/>
            <w:sz w:val="18"/>
            <w:szCs w:val="18"/>
            <w:b w:val="1"/>
            <w:bCs w:val="1"/>
            <w:u w:val="single" w:color="auto"/>
            <w:color w:val="0000FF"/>
          </w:rPr>
          <w:t>4.17</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p>
      <w:pPr>
        <w:spacing w:after="0" w:line="39" w:lineRule="exact"/>
        <w:rPr>
          <w:sz w:val="20"/>
          <w:szCs w:val="20"/>
          <w:color w:val="auto"/>
        </w:rPr>
      </w:pPr>
    </w:p>
    <w:p>
      <w:pPr>
        <w:ind w:left="740" w:right="20" w:hanging="735"/>
        <w:spacing w:after="0" w:line="259" w:lineRule="auto"/>
        <w:tabs>
          <w:tab w:leader="none" w:pos="720" w:val="left"/>
        </w:tabs>
        <w:rPr>
          <w:rFonts w:ascii="Arial" w:cs="Arial" w:eastAsia="Arial" w:hAnsi="Arial"/>
          <w:sz w:val="18"/>
          <w:szCs w:val="18"/>
          <w:b w:val="1"/>
          <w:bCs w:val="1"/>
          <w:color w:val="0000FF"/>
        </w:rPr>
      </w:pPr>
      <w:hyperlink r:id="rId124">
        <w:r>
          <w:rPr>
            <w:rFonts w:ascii="Arial" w:cs="Arial" w:eastAsia="Arial" w:hAnsi="Arial"/>
            <w:sz w:val="18"/>
            <w:szCs w:val="18"/>
            <w:b w:val="1"/>
            <w:bCs w:val="1"/>
            <w:u w:val="single" w:color="auto"/>
            <w:color w:val="0000FF"/>
          </w:rPr>
          <w:t>4.18</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Seventh Supplemental Indenture, dated as of June 22, 2020, among Pentair Finance S.à r.l. (as Issuer), Pentair plc (as Parent and Guarantor), Pentair Investments Switzerland GmbH (as Guarantor) and U.S. Bank National Association (as Trustee) (Incorporated by reference to Exhibit 4.2 to the Quarterly Report on Form 10-Q of Pentair plc filed with the Commission on July 23, 2020 (File No. 001-11625)).</w:t>
      </w:r>
    </w:p>
    <w:p>
      <w:pPr>
        <w:spacing w:after="0" w:line="39" w:lineRule="exact"/>
        <w:rPr>
          <w:sz w:val="20"/>
          <w:szCs w:val="20"/>
          <w:color w:val="auto"/>
        </w:rPr>
      </w:pPr>
    </w:p>
    <w:p>
      <w:pPr>
        <w:ind w:left="740" w:right="140" w:hanging="735"/>
        <w:spacing w:after="0" w:line="219" w:lineRule="auto"/>
        <w:tabs>
          <w:tab w:leader="none" w:pos="720" w:val="left"/>
        </w:tabs>
        <w:rPr>
          <w:rFonts w:ascii="Arial" w:cs="Arial" w:eastAsia="Arial" w:hAnsi="Arial"/>
          <w:sz w:val="18"/>
          <w:szCs w:val="18"/>
          <w:b w:val="1"/>
          <w:bCs w:val="1"/>
          <w:color w:val="0000FF"/>
        </w:rPr>
      </w:pPr>
      <w:hyperlink r:id="rId125">
        <w:r>
          <w:rPr>
            <w:rFonts w:ascii="Arial" w:cs="Arial" w:eastAsia="Arial" w:hAnsi="Arial"/>
            <w:sz w:val="18"/>
            <w:szCs w:val="18"/>
            <w:b w:val="1"/>
            <w:bCs w:val="1"/>
            <w:u w:val="single" w:color="auto"/>
            <w:color w:val="0000FF"/>
          </w:rPr>
          <w:t>4.19</w:t>
        </w:r>
      </w:hyperlink>
      <w:r>
        <w:rPr>
          <w:rFonts w:ascii="Arial" w:cs="Arial" w:eastAsia="Arial" w:hAnsi="Arial"/>
          <w:sz w:val="18"/>
          <w:szCs w:val="18"/>
          <w:b w:val="1"/>
          <w:bCs w:val="1"/>
          <w:color w:val="0000FF"/>
        </w:rPr>
        <w:tab/>
        <w:t>Eighth Supplemental Indenture, dated as of June 22, 2020, among Pentair Finance S.à r.l. (as Issuer), Pentair plc (as Successor Parent Guarantor), Pentair Investments Switzerland GmbH (as Guarantor) and Wells Fargo Bank National Association (as Trustee) (Incorporated by reference to Exhibit 4.1 to the Quarterly Report on Form 10-Q of Pentair plc filed with the Commission on July 23, 2020 (File No. 001-11625)).</w:t>
      </w:r>
    </w:p>
    <w:p>
      <w:pPr>
        <w:spacing w:after="0" w:line="55" w:lineRule="exact"/>
        <w:rPr>
          <w:sz w:val="20"/>
          <w:szCs w:val="20"/>
          <w:color w:val="auto"/>
        </w:rPr>
      </w:pPr>
    </w:p>
    <w:p>
      <w:pPr>
        <w:spacing w:after="0"/>
        <w:tabs>
          <w:tab w:leader="none" w:pos="720" w:val="left"/>
        </w:tabs>
        <w:rPr>
          <w:rFonts w:ascii="Arial" w:cs="Arial" w:eastAsia="Arial" w:hAnsi="Arial"/>
          <w:sz w:val="18"/>
          <w:szCs w:val="18"/>
          <w:b w:val="1"/>
          <w:bCs w:val="1"/>
          <w:color w:val="0000FF"/>
        </w:rPr>
      </w:pPr>
      <w:hyperlink w:anchor="page92">
        <w:r>
          <w:rPr>
            <w:rFonts w:ascii="Arial" w:cs="Arial" w:eastAsia="Arial" w:hAnsi="Arial"/>
            <w:sz w:val="18"/>
            <w:szCs w:val="18"/>
            <w:b w:val="1"/>
            <w:bCs w:val="1"/>
            <w:u w:val="single" w:color="auto"/>
            <w:color w:val="0000FF"/>
          </w:rPr>
          <w:t>4.20</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Description of Securities.</w:t>
      </w:r>
    </w:p>
    <w:p>
      <w:pPr>
        <w:spacing w:after="0" w:line="77" w:lineRule="exact"/>
        <w:rPr>
          <w:sz w:val="20"/>
          <w:szCs w:val="20"/>
          <w:color w:val="auto"/>
        </w:rPr>
      </w:pPr>
    </w:p>
    <w:p>
      <w:pPr>
        <w:spacing w:after="0"/>
        <w:tabs>
          <w:tab w:leader="none" w:pos="720" w:val="left"/>
        </w:tabs>
        <w:rPr>
          <w:rFonts w:ascii="Arial" w:cs="Arial" w:eastAsia="Arial" w:hAnsi="Arial"/>
          <w:sz w:val="18"/>
          <w:szCs w:val="18"/>
          <w:b w:val="1"/>
          <w:bCs w:val="1"/>
          <w:color w:val="0000FF"/>
        </w:rPr>
      </w:pPr>
      <w:hyperlink r:id="rId126">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Tax Matters Agreement, dated as of April 27, 2018, by and between Pentair plc and nVent Electric plc (Incorporated by reference to Exhibit</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2.2 to the Current Report on Form 8-K of Pentair plc filed with the Commission on April 30, 2018 (File No. 001-11625)).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20" w:top="1026"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28">
              <w:r>
                <w:rPr>
                  <w:rFonts w:ascii="Arial" w:cs="Arial" w:eastAsia="Arial" w:hAnsi="Arial"/>
                  <w:sz w:val="18"/>
                  <w:szCs w:val="18"/>
                  <w:b w:val="1"/>
                  <w:bCs w:val="1"/>
                  <w:u w:val="single" w:color="auto"/>
                  <w:color w:val="0000FF"/>
                  <w:w w:val="91"/>
                </w:rPr>
                <w:t>10.2</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2"/>
              </w:rPr>
              <w:t>Pentair plc 2012 Stock and Incentive Plan, as amended and restated effective as of January 1, 2017. (Incorporated by reference to Exhibit</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10.2 to the Annual Report on Form 10-K of Pentair plc for the year ended December 31, 2016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29">
              <w:r>
                <w:rPr>
                  <w:rFonts w:ascii="Arial" w:cs="Arial" w:eastAsia="Arial" w:hAnsi="Arial"/>
                  <w:sz w:val="18"/>
                  <w:szCs w:val="18"/>
                  <w:b w:val="1"/>
                  <w:bCs w:val="1"/>
                  <w:u w:val="single" w:color="auto"/>
                  <w:color w:val="0000FF"/>
                  <w:w w:val="91"/>
                </w:rPr>
                <w:t>10.3</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4"/>
              </w:rPr>
              <w:t>Form of Executive Officer Stock Option Grant Agreement for grants made prior to January 1, 2017 (Incorporated by reference to Exhibit</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10.7 in the Current Report on Form 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0">
              <w:r>
                <w:rPr>
                  <w:rFonts w:ascii="Arial" w:cs="Arial" w:eastAsia="Arial" w:hAnsi="Arial"/>
                  <w:sz w:val="18"/>
                  <w:szCs w:val="18"/>
                  <w:b w:val="1"/>
                  <w:bCs w:val="1"/>
                  <w:u w:val="single" w:color="auto"/>
                  <w:color w:val="0000FF"/>
                  <w:w w:val="91"/>
                </w:rPr>
                <w:t>10.4</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2"/>
              </w:rPr>
              <w:t>Form of Non-Employee Director Stock Option Grant Agreement (Incorporated by reference to Exhibit 10.10 in the Current Report on Form</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1">
              <w:r>
                <w:rPr>
                  <w:rFonts w:ascii="Arial" w:cs="Arial" w:eastAsia="Arial" w:hAnsi="Arial"/>
                  <w:sz w:val="18"/>
                  <w:szCs w:val="18"/>
                  <w:b w:val="1"/>
                  <w:bCs w:val="1"/>
                  <w:u w:val="single" w:color="auto"/>
                  <w:color w:val="0000FF"/>
                  <w:w w:val="91"/>
                </w:rPr>
                <w:t>10.5</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4"/>
              </w:rPr>
              <w:t>Pentair plc 2008 Omnibus Stock Incentive Plan, as amended and restated effective as of January 1, 2017 (Incorporated by reference to</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Exhibit 10.9 to the Annual Report on Form 10-K of Pentair plc for the year ended December 31, 2016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2">
              <w:r>
                <w:rPr>
                  <w:rFonts w:ascii="Arial" w:cs="Arial" w:eastAsia="Arial" w:hAnsi="Arial"/>
                  <w:sz w:val="18"/>
                  <w:szCs w:val="18"/>
                  <w:b w:val="1"/>
                  <w:bCs w:val="1"/>
                  <w:u w:val="single" w:color="auto"/>
                  <w:color w:val="0000FF"/>
                  <w:w w:val="91"/>
                </w:rPr>
                <w:t>10.6</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2"/>
              </w:rPr>
              <w:t>Form of Assignment and Assumption Agreement, among Pentair, Inc., Pentair Ltd. and the executive officers of Pentair Ltd. relating to Key</w:t>
            </w:r>
          </w:p>
        </w:tc>
      </w:tr>
      <w:tr>
        <w:trPr>
          <w:trHeight w:val="175"/>
        </w:trPr>
        <w:tc>
          <w:tcPr>
            <w:tcW w:w="860" w:type="dxa"/>
            <w:vAlign w:val="bottom"/>
          </w:tcPr>
          <w:p>
            <w:pPr>
              <w:spacing w:after="0"/>
              <w:rPr>
                <w:sz w:val="15"/>
                <w:szCs w:val="15"/>
                <w:color w:val="auto"/>
              </w:rPr>
            </w:pPr>
          </w:p>
        </w:tc>
        <w:tc>
          <w:tcPr>
            <w:tcW w:w="10380" w:type="dxa"/>
            <w:vAlign w:val="bottom"/>
          </w:tcPr>
          <w:p>
            <w:pPr>
              <w:ind w:left="180"/>
              <w:spacing w:after="0" w:line="176" w:lineRule="exact"/>
              <w:rPr>
                <w:sz w:val="20"/>
                <w:szCs w:val="20"/>
                <w:color w:val="auto"/>
              </w:rPr>
            </w:pPr>
            <w:r>
              <w:rPr>
                <w:rFonts w:ascii="Arial" w:cs="Arial" w:eastAsia="Arial" w:hAnsi="Arial"/>
                <w:sz w:val="18"/>
                <w:szCs w:val="18"/>
                <w:color w:val="auto"/>
                <w:w w:val="91"/>
              </w:rPr>
              <w:t>Executive Employment and Severance Agreement (Incorporated by reference to Exhibit 10.12 in the Current Report on Form 8-K of Pentair</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Ltd. filed with the Commission on October 1, 2012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3">
              <w:r>
                <w:rPr>
                  <w:rFonts w:ascii="Arial" w:cs="Arial" w:eastAsia="Arial" w:hAnsi="Arial"/>
                  <w:sz w:val="18"/>
                  <w:szCs w:val="18"/>
                  <w:b w:val="1"/>
                  <w:bCs w:val="1"/>
                  <w:u w:val="single" w:color="auto"/>
                  <w:color w:val="0000FF"/>
                  <w:w w:val="91"/>
                </w:rPr>
                <w:t>10.7</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7"/>
              </w:rPr>
              <w:t>Form of Key Executive Employment and Severance Agreement for John L. Stauch (Incorporated by reference to Exhibit 10.1 in the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Quarterly Report on Form 10-Q of Pentair plc for the quarter ended June 30, 2018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4">
              <w:r>
                <w:rPr>
                  <w:rFonts w:ascii="Arial" w:cs="Arial" w:eastAsia="Arial" w:hAnsi="Arial"/>
                  <w:sz w:val="18"/>
                  <w:szCs w:val="18"/>
                  <w:b w:val="1"/>
                  <w:bCs w:val="1"/>
                  <w:u w:val="single" w:color="auto"/>
                  <w:color w:val="0000FF"/>
                  <w:w w:val="91"/>
                </w:rPr>
                <w:t>10.8</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8"/>
              </w:rPr>
              <w:t>Form of Key Executive Employment and Severance Agreement for John H. Jacko (Incorporated by reference to Exhibit 10.2 in the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Quarterly Report on Form 10-Q of Pentair plc for the quarter ended June 30, 2018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91"/>
              </w:rPr>
            </w:pPr>
            <w:hyperlink r:id="rId135">
              <w:r>
                <w:rPr>
                  <w:rFonts w:ascii="Arial" w:cs="Arial" w:eastAsia="Arial" w:hAnsi="Arial"/>
                  <w:sz w:val="18"/>
                  <w:szCs w:val="18"/>
                  <w:b w:val="1"/>
                  <w:bCs w:val="1"/>
                  <w:u w:val="single" w:color="auto"/>
                  <w:color w:val="0000FF"/>
                  <w:w w:val="91"/>
                </w:rPr>
                <w:t>10.9</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6"/>
              </w:rPr>
              <w:t>Form of Key Executive Employment and Severance Agreement for Karla C. Robertson, Kelly A. Baker, Philip M. Rolchigo, Robert P.</w:t>
            </w:r>
          </w:p>
        </w:tc>
      </w:tr>
      <w:tr>
        <w:trPr>
          <w:trHeight w:val="176"/>
        </w:trPr>
        <w:tc>
          <w:tcPr>
            <w:tcW w:w="860" w:type="dxa"/>
            <w:vAlign w:val="bottom"/>
          </w:tcPr>
          <w:p>
            <w:pPr>
              <w:spacing w:after="0"/>
              <w:rPr>
                <w:sz w:val="15"/>
                <w:szCs w:val="15"/>
                <w:color w:val="auto"/>
              </w:rPr>
            </w:pPr>
          </w:p>
        </w:tc>
        <w:tc>
          <w:tcPr>
            <w:tcW w:w="10380" w:type="dxa"/>
            <w:vAlign w:val="bottom"/>
          </w:tcPr>
          <w:p>
            <w:pPr>
              <w:ind w:left="180"/>
              <w:spacing w:after="0" w:line="176" w:lineRule="exact"/>
              <w:rPr>
                <w:sz w:val="20"/>
                <w:szCs w:val="20"/>
                <w:color w:val="auto"/>
              </w:rPr>
            </w:pPr>
            <w:r>
              <w:rPr>
                <w:rFonts w:ascii="Arial" w:cs="Arial" w:eastAsia="Arial" w:hAnsi="Arial"/>
                <w:sz w:val="18"/>
                <w:szCs w:val="18"/>
                <w:color w:val="auto"/>
                <w:w w:val="93"/>
              </w:rPr>
              <w:t>Fishman, Jerome O. Pedretti, Mario R. D’Ovidio and Stephen J. Pilla (Incorporated by reference to Exhibit 10.3 in the Quarterly Report on</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Form 10-Q of Pentair plc for the quarter ended June 30, 2018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36">
              <w:r>
                <w:rPr>
                  <w:rFonts w:ascii="Arial" w:cs="Arial" w:eastAsia="Arial" w:hAnsi="Arial"/>
                  <w:sz w:val="18"/>
                  <w:szCs w:val="18"/>
                  <w:b w:val="1"/>
                  <w:bCs w:val="1"/>
                  <w:u w:val="single" w:color="auto"/>
                  <w:color w:val="0000FF"/>
                  <w:w w:val="88"/>
                </w:rPr>
                <w:t>10.10</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4"/>
              </w:rPr>
              <w:t>Pentair plc Compensation Plan for Non-Employee Directors, as amended and restated (Incorporated by reference to Exhibit 10.6 in the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r>
      <w:tr>
        <w:trPr>
          <w:trHeight w:val="283"/>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w:anchor="page100">
              <w:r>
                <w:rPr>
                  <w:rFonts w:ascii="Arial" w:cs="Arial" w:eastAsia="Arial" w:hAnsi="Arial"/>
                  <w:sz w:val="18"/>
                  <w:szCs w:val="18"/>
                  <w:b w:val="1"/>
                  <w:bCs w:val="1"/>
                  <w:u w:val="single" w:color="auto"/>
                  <w:color w:val="0000FF"/>
                  <w:w w:val="88"/>
                </w:rPr>
                <w:t>10.11</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rPr>
              <w:t>Pentair plc Employee Stock Purchase and Bonus Plan, as amended and restated effective as of January 1, 2021.</w:t>
            </w:r>
          </w:p>
        </w:tc>
      </w:tr>
      <w:tr>
        <w:trPr>
          <w:trHeight w:val="230"/>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37">
              <w:r>
                <w:rPr>
                  <w:rFonts w:ascii="Arial" w:cs="Arial" w:eastAsia="Arial" w:hAnsi="Arial"/>
                  <w:sz w:val="18"/>
                  <w:szCs w:val="18"/>
                  <w:b w:val="1"/>
                  <w:bCs w:val="1"/>
                  <w:u w:val="single" w:color="auto"/>
                  <w:color w:val="0000FF"/>
                  <w:w w:val="88"/>
                </w:rPr>
                <w:t>10.12</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0"/>
              </w:rPr>
              <w:t>Pentair, Inc. Non-Qualified Deferred Compensation Plan, as amended and restated (Incorporated by reference to Exhibit 10.17 to the Annual</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Report on Form 10-K of Pentair plc for the year ended December 31, 2018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38">
              <w:r>
                <w:rPr>
                  <w:rFonts w:ascii="Arial" w:cs="Arial" w:eastAsia="Arial" w:hAnsi="Arial"/>
                  <w:sz w:val="18"/>
                  <w:szCs w:val="18"/>
                  <w:b w:val="1"/>
                  <w:bCs w:val="1"/>
                  <w:u w:val="single" w:color="auto"/>
                  <w:color w:val="0000FF"/>
                  <w:w w:val="88"/>
                </w:rPr>
                <w:t>10.13</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7"/>
              </w:rPr>
              <w:t>Trust Agreement for Pentair, Inc. Non-Qualified Deferred Compensation Plan between Pentair, Inc. and Fidelity Management Trust</w:t>
            </w:r>
          </w:p>
        </w:tc>
      </w:tr>
      <w:tr>
        <w:trPr>
          <w:trHeight w:val="176"/>
        </w:trPr>
        <w:tc>
          <w:tcPr>
            <w:tcW w:w="860" w:type="dxa"/>
            <w:vAlign w:val="bottom"/>
          </w:tcPr>
          <w:p>
            <w:pPr>
              <w:spacing w:after="0"/>
              <w:rPr>
                <w:sz w:val="15"/>
                <w:szCs w:val="15"/>
                <w:color w:val="auto"/>
              </w:rPr>
            </w:pPr>
          </w:p>
        </w:tc>
        <w:tc>
          <w:tcPr>
            <w:tcW w:w="10380" w:type="dxa"/>
            <w:vAlign w:val="bottom"/>
          </w:tcPr>
          <w:p>
            <w:pPr>
              <w:ind w:left="180"/>
              <w:spacing w:after="0" w:line="176" w:lineRule="exact"/>
              <w:rPr>
                <w:sz w:val="20"/>
                <w:szCs w:val="20"/>
                <w:color w:val="auto"/>
              </w:rPr>
            </w:pPr>
            <w:r>
              <w:rPr>
                <w:rFonts w:ascii="Arial" w:cs="Arial" w:eastAsia="Arial" w:hAnsi="Arial"/>
                <w:sz w:val="18"/>
                <w:szCs w:val="18"/>
                <w:color w:val="auto"/>
                <w:w w:val="95"/>
              </w:rPr>
              <w:t>Company (Incorporated by reference to Exhibit 10.18 contained in the Annual Report on Form 10-K of Pentair, Inc. for the year ended</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December 31, 1995 (File No. 000-04689)).*</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39">
              <w:r>
                <w:rPr>
                  <w:rFonts w:ascii="Arial" w:cs="Arial" w:eastAsia="Arial" w:hAnsi="Arial"/>
                  <w:sz w:val="18"/>
                  <w:szCs w:val="18"/>
                  <w:b w:val="1"/>
                  <w:bCs w:val="1"/>
                  <w:u w:val="single" w:color="auto"/>
                  <w:color w:val="0000FF"/>
                  <w:w w:val="88"/>
                </w:rPr>
                <w:t>10.14</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3"/>
              </w:rPr>
              <w:t>Pentair, Inc. Supplemental Executive Retirement Plan effective January 1, 2009, as amended and restated (Incorporated by reference to</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w w:val="99"/>
              </w:rPr>
              <w:t>Exhibit 10.13 in the Current Report on Form 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40">
              <w:r>
                <w:rPr>
                  <w:rFonts w:ascii="Arial" w:cs="Arial" w:eastAsia="Arial" w:hAnsi="Arial"/>
                  <w:sz w:val="18"/>
                  <w:szCs w:val="18"/>
                  <w:b w:val="1"/>
                  <w:bCs w:val="1"/>
                  <w:u w:val="single" w:color="auto"/>
                  <w:color w:val="0000FF"/>
                  <w:w w:val="88"/>
                </w:rPr>
                <w:t>10.15</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1"/>
              </w:rPr>
              <w:t>Pentair, Inc. Restoration Plan effective January 1, 2009, as amended and restated (Incorporated by reference to Exhibit 10.14 in the Current</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41">
              <w:r>
                <w:rPr>
                  <w:rFonts w:ascii="Arial" w:cs="Arial" w:eastAsia="Arial" w:hAnsi="Arial"/>
                  <w:sz w:val="18"/>
                  <w:szCs w:val="18"/>
                  <w:b w:val="1"/>
                  <w:bCs w:val="1"/>
                  <w:u w:val="single" w:color="auto"/>
                  <w:color w:val="0000FF"/>
                  <w:w w:val="88"/>
                </w:rPr>
                <w:t>10.16</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7"/>
              </w:rPr>
              <w:t>Form of Deed of Indemnification for directors and executive officers of Pentair plc (Incorporated by reference to Exhibit 10.15 in the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42">
              <w:r>
                <w:rPr>
                  <w:rFonts w:ascii="Arial" w:cs="Arial" w:eastAsia="Arial" w:hAnsi="Arial"/>
                  <w:sz w:val="18"/>
                  <w:szCs w:val="18"/>
                  <w:b w:val="1"/>
                  <w:bCs w:val="1"/>
                  <w:u w:val="single" w:color="auto"/>
                  <w:color w:val="0000FF"/>
                  <w:w w:val="88"/>
                </w:rPr>
                <w:t>10.17</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5"/>
              </w:rPr>
              <w:t>Form of Indemnification Agreement for directors and executive officers of Pentair plc (Incorporated by reference to Exhibit 10.16 in the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r>
      <w:tr>
        <w:trPr>
          <w:trHeight w:val="229"/>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43">
              <w:r>
                <w:rPr>
                  <w:rFonts w:ascii="Arial" w:cs="Arial" w:eastAsia="Arial" w:hAnsi="Arial"/>
                  <w:sz w:val="18"/>
                  <w:szCs w:val="18"/>
                  <w:b w:val="1"/>
                  <w:bCs w:val="1"/>
                  <w:u w:val="single" w:color="auto"/>
                  <w:color w:val="0000FF"/>
                  <w:w w:val="88"/>
                </w:rPr>
                <w:t>10.18</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2"/>
              </w:rPr>
              <w:t>Form of Executive Officer Key Talent Award Agreement for grants made prior to May 5, 2020 (Incorporated by reference to Exhibit 10.2 to</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the Quarterly Report on Form 10-Q of Pentair plc for the quarter ended March 31, 2018 (File No. 001-11625)).*</w:t>
            </w:r>
          </w:p>
        </w:tc>
      </w:tr>
      <w:tr>
        <w:trPr>
          <w:trHeight w:val="256"/>
        </w:trPr>
        <w:tc>
          <w:tcPr>
            <w:tcW w:w="860" w:type="dxa"/>
            <w:vAlign w:val="bottom"/>
          </w:tcPr>
          <w:p>
            <w:pPr>
              <w:jc w:val="center"/>
              <w:spacing w:after="0"/>
              <w:rPr>
                <w:rFonts w:ascii="Arial" w:cs="Arial" w:eastAsia="Arial" w:hAnsi="Arial"/>
                <w:sz w:val="18"/>
                <w:szCs w:val="18"/>
                <w:b w:val="1"/>
                <w:bCs w:val="1"/>
                <w:u w:val="single" w:color="auto"/>
                <w:color w:val="0000FF"/>
                <w:w w:val="88"/>
              </w:rPr>
            </w:pPr>
            <w:hyperlink r:id="rId144">
              <w:r>
                <w:rPr>
                  <w:rFonts w:ascii="Arial" w:cs="Arial" w:eastAsia="Arial" w:hAnsi="Arial"/>
                  <w:sz w:val="18"/>
                  <w:szCs w:val="18"/>
                  <w:b w:val="1"/>
                  <w:bCs w:val="1"/>
                  <w:u w:val="single" w:color="auto"/>
                  <w:color w:val="0000FF"/>
                  <w:w w:val="88"/>
                </w:rPr>
                <w:t>10.19</w:t>
              </w:r>
            </w:hyperlink>
          </w:p>
        </w:tc>
        <w:tc>
          <w:tcPr>
            <w:tcW w:w="10380" w:type="dxa"/>
            <w:vAlign w:val="bottom"/>
          </w:tcPr>
          <w:p>
            <w:pPr>
              <w:ind w:left="180"/>
              <w:spacing w:after="0"/>
              <w:rPr>
                <w:sz w:val="20"/>
                <w:szCs w:val="20"/>
                <w:color w:val="auto"/>
              </w:rPr>
            </w:pPr>
            <w:r>
              <w:rPr>
                <w:rFonts w:ascii="Arial" w:cs="Arial" w:eastAsia="Arial" w:hAnsi="Arial"/>
                <w:sz w:val="18"/>
                <w:szCs w:val="18"/>
                <w:color w:val="auto"/>
                <w:w w:val="96"/>
              </w:rPr>
              <w:t>Form of Executive Officer Stock Option Grant Agreement for grants made on or after January 1, 2017 and prior to February 26, 2018</w:t>
            </w:r>
          </w:p>
        </w:tc>
      </w:tr>
      <w:tr>
        <w:trPr>
          <w:trHeight w:val="175"/>
        </w:trPr>
        <w:tc>
          <w:tcPr>
            <w:tcW w:w="860" w:type="dxa"/>
            <w:vAlign w:val="bottom"/>
          </w:tcPr>
          <w:p>
            <w:pPr>
              <w:spacing w:after="0"/>
              <w:rPr>
                <w:sz w:val="15"/>
                <w:szCs w:val="15"/>
                <w:color w:val="auto"/>
              </w:rPr>
            </w:pPr>
          </w:p>
        </w:tc>
        <w:tc>
          <w:tcPr>
            <w:tcW w:w="10380" w:type="dxa"/>
            <w:vAlign w:val="bottom"/>
          </w:tcPr>
          <w:p>
            <w:pPr>
              <w:ind w:left="180"/>
              <w:spacing w:after="0" w:line="176" w:lineRule="exact"/>
              <w:rPr>
                <w:sz w:val="20"/>
                <w:szCs w:val="20"/>
                <w:color w:val="auto"/>
              </w:rPr>
            </w:pPr>
            <w:r>
              <w:rPr>
                <w:rFonts w:ascii="Arial" w:cs="Arial" w:eastAsia="Arial" w:hAnsi="Arial"/>
                <w:sz w:val="18"/>
                <w:szCs w:val="18"/>
                <w:color w:val="auto"/>
                <w:w w:val="93"/>
              </w:rPr>
              <w:t>(Incorporated by reference to Exhibit 10.31 to the Annual Report on Form 10-K of Pentair plc for the year ended December 31, 2016 (File</w:t>
            </w:r>
          </w:p>
        </w:tc>
      </w:tr>
      <w:tr>
        <w:trPr>
          <w:trHeight w:val="230"/>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Arial" w:cs="Arial" w:eastAsia="Arial" w:hAnsi="Arial"/>
                <w:sz w:val="18"/>
                <w:szCs w:val="18"/>
                <w:color w:val="auto"/>
              </w:rPr>
              <w:t>No. 001-11625)).*</w:t>
            </w:r>
          </w:p>
        </w:tc>
      </w:tr>
      <w:tr>
        <w:trPr>
          <w:trHeight w:val="944"/>
        </w:trPr>
        <w:tc>
          <w:tcPr>
            <w:tcW w:w="860" w:type="dxa"/>
            <w:vAlign w:val="bottom"/>
          </w:tcPr>
          <w:p>
            <w:pPr>
              <w:spacing w:after="0"/>
              <w:rPr>
                <w:sz w:val="24"/>
                <w:szCs w:val="24"/>
                <w:color w:val="auto"/>
              </w:rPr>
            </w:pPr>
          </w:p>
        </w:tc>
        <w:tc>
          <w:tcPr>
            <w:tcW w:w="10380" w:type="dxa"/>
            <w:vAlign w:val="bottom"/>
          </w:tcPr>
          <w:p>
            <w:pPr>
              <w:ind w:left="4680"/>
              <w:spacing w:after="0"/>
              <w:rPr>
                <w:sz w:val="20"/>
                <w:szCs w:val="20"/>
                <w:color w:val="auto"/>
              </w:rPr>
            </w:pPr>
            <w:r>
              <w:rPr>
                <w:rFonts w:ascii="Arial" w:cs="Arial" w:eastAsia="Arial" w:hAnsi="Arial"/>
                <w:sz w:val="18"/>
                <w:szCs w:val="18"/>
                <w:color w:val="auto"/>
              </w:rPr>
              <w:t>85</w:t>
            </w:r>
          </w:p>
        </w:tc>
      </w:tr>
      <w:tr>
        <w:trPr>
          <w:trHeight w:val="115"/>
        </w:trPr>
        <w:tc>
          <w:tcPr>
            <w:tcW w:w="860" w:type="dxa"/>
            <w:vAlign w:val="bottom"/>
            <w:tcBorders>
              <w:bottom w:val="single" w:sz="8" w:color="9A9A9A"/>
            </w:tcBorders>
          </w:tcPr>
          <w:p>
            <w:pPr>
              <w:spacing w:after="0"/>
              <w:rPr>
                <w:sz w:val="10"/>
                <w:szCs w:val="10"/>
                <w:color w:val="auto"/>
              </w:rPr>
            </w:pPr>
          </w:p>
        </w:tc>
        <w:tc>
          <w:tcPr>
            <w:tcW w:w="10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8" w:name="page89"/>
    <w:bookmarkEnd w:id="88"/>
    <w:p>
      <w:pPr>
        <w:jc w:val="both"/>
        <w:ind w:left="780" w:right="100" w:hanging="780"/>
        <w:spacing w:after="0" w:line="224" w:lineRule="auto"/>
        <w:tabs>
          <w:tab w:leader="none" w:pos="760" w:val="left"/>
        </w:tabs>
        <w:rPr>
          <w:rFonts w:ascii="Arial" w:cs="Arial" w:eastAsia="Arial" w:hAnsi="Arial"/>
          <w:sz w:val="18"/>
          <w:szCs w:val="18"/>
          <w:b w:val="1"/>
          <w:bCs w:val="1"/>
          <w:color w:val="0000FF"/>
        </w:rPr>
      </w:pPr>
      <w:hyperlink r:id="rId147">
        <w:r>
          <w:rPr>
            <w:rFonts w:ascii="Arial" w:cs="Arial" w:eastAsia="Arial" w:hAnsi="Arial"/>
            <w:sz w:val="18"/>
            <w:szCs w:val="18"/>
            <w:b w:val="1"/>
            <w:bCs w:val="1"/>
            <w:u w:val="single" w:color="auto"/>
            <w:color w:val="0000FF"/>
          </w:rPr>
          <w:t>10.20</w:t>
        </w:r>
      </w:hyperlink>
      <w:r>
        <w:rPr>
          <w:rFonts w:ascii="Arial" w:cs="Arial" w:eastAsia="Arial" w:hAnsi="Arial"/>
          <w:sz w:val="18"/>
          <w:szCs w:val="18"/>
          <w:b w:val="1"/>
          <w:bCs w:val="1"/>
          <w:color w:val="0000FF"/>
        </w:rPr>
        <w:tab/>
        <w:t>Form of Executive Officer Restricted Stock Unit Award Agreement for grants made on or after February 26, 2018 and prior to May 5, 2020 (Incorporated by reference to Exhibit 10.3 to the Quarterly Report on Form 10-Q of Pentair plc for the quarter ended March 31, 2018 (File No. 001-11625)).*</w:t>
      </w:r>
    </w:p>
    <w:p>
      <w:pPr>
        <w:spacing w:after="0" w:line="55" w:lineRule="exact"/>
        <w:rPr>
          <w:sz w:val="20"/>
          <w:szCs w:val="20"/>
          <w:color w:val="auto"/>
        </w:rPr>
      </w:pPr>
    </w:p>
    <w:p>
      <w:pPr>
        <w:ind w:left="780" w:right="180" w:hanging="780"/>
        <w:spacing w:after="0" w:line="224" w:lineRule="auto"/>
        <w:tabs>
          <w:tab w:leader="none" w:pos="760" w:val="left"/>
        </w:tabs>
        <w:rPr>
          <w:rFonts w:ascii="Arial" w:cs="Arial" w:eastAsia="Arial" w:hAnsi="Arial"/>
          <w:sz w:val="18"/>
          <w:szCs w:val="18"/>
          <w:b w:val="1"/>
          <w:bCs w:val="1"/>
          <w:color w:val="0000FF"/>
        </w:rPr>
      </w:pPr>
      <w:hyperlink r:id="rId148">
        <w:r>
          <w:rPr>
            <w:rFonts w:ascii="Arial" w:cs="Arial" w:eastAsia="Arial" w:hAnsi="Arial"/>
            <w:sz w:val="18"/>
            <w:szCs w:val="18"/>
            <w:b w:val="1"/>
            <w:bCs w:val="1"/>
            <w:u w:val="single" w:color="auto"/>
            <w:color w:val="0000FF"/>
          </w:rPr>
          <w:t>10.21</w:t>
        </w:r>
      </w:hyperlink>
      <w:r>
        <w:rPr>
          <w:rFonts w:ascii="Arial" w:cs="Arial" w:eastAsia="Arial" w:hAnsi="Arial"/>
          <w:sz w:val="18"/>
          <w:szCs w:val="18"/>
          <w:b w:val="1"/>
          <w:bCs w:val="1"/>
          <w:color w:val="0000FF"/>
        </w:rPr>
        <w:tab/>
        <w:t>Form of Executive Officer Stock Option Award Agreement for grants made on or after February 26, 2018 and prior to May 5, 2020 (Incorporated by reference to Exhibit 10.4 to the Quarterly Report on Form 10-Q of Pentair plc for the quarter ended March 31, 2018 (File No. 001-11625)).*</w:t>
      </w:r>
    </w:p>
    <w:p>
      <w:pPr>
        <w:spacing w:after="0" w:line="55" w:lineRule="exact"/>
        <w:rPr>
          <w:sz w:val="20"/>
          <w:szCs w:val="20"/>
          <w:color w:val="auto"/>
        </w:rPr>
      </w:pPr>
    </w:p>
    <w:p>
      <w:pPr>
        <w:jc w:val="both"/>
        <w:ind w:left="780" w:right="80" w:hanging="780"/>
        <w:spacing w:after="0" w:line="224" w:lineRule="auto"/>
        <w:tabs>
          <w:tab w:leader="none" w:pos="760" w:val="left"/>
        </w:tabs>
        <w:rPr>
          <w:rFonts w:ascii="Arial" w:cs="Arial" w:eastAsia="Arial" w:hAnsi="Arial"/>
          <w:sz w:val="18"/>
          <w:szCs w:val="18"/>
          <w:b w:val="1"/>
          <w:bCs w:val="1"/>
          <w:color w:val="0000FF"/>
        </w:rPr>
      </w:pPr>
      <w:hyperlink r:id="rId149">
        <w:r>
          <w:rPr>
            <w:rFonts w:ascii="Arial" w:cs="Arial" w:eastAsia="Arial" w:hAnsi="Arial"/>
            <w:sz w:val="18"/>
            <w:szCs w:val="18"/>
            <w:b w:val="1"/>
            <w:bCs w:val="1"/>
            <w:u w:val="single" w:color="auto"/>
            <w:color w:val="0000FF"/>
          </w:rPr>
          <w:t>10.22</w:t>
        </w:r>
      </w:hyperlink>
      <w:r>
        <w:rPr>
          <w:rFonts w:ascii="Arial" w:cs="Arial" w:eastAsia="Arial" w:hAnsi="Arial"/>
          <w:sz w:val="18"/>
          <w:szCs w:val="18"/>
          <w:b w:val="1"/>
          <w:bCs w:val="1"/>
          <w:color w:val="0000FF"/>
        </w:rPr>
        <w:tab/>
        <w:t>Form of Executive Officer Performance Stock Unit Award Agreement for grants made on or after February 26, 2018 and prior to January 1, 2019 (Incorporated by reference to Exhibit 10.5 to the Quarterly Report on Form 10-Q of Pentair plc for the quarter ended March 31, 2018 (File No. 001-11625)).*</w:t>
      </w:r>
    </w:p>
    <w:p>
      <w:pPr>
        <w:spacing w:after="0" w:line="55" w:lineRule="exact"/>
        <w:rPr>
          <w:sz w:val="20"/>
          <w:szCs w:val="20"/>
          <w:color w:val="auto"/>
        </w:rPr>
      </w:pPr>
    </w:p>
    <w:p>
      <w:pPr>
        <w:ind w:left="780" w:right="80" w:hanging="780"/>
        <w:spacing w:after="0" w:line="224" w:lineRule="auto"/>
        <w:tabs>
          <w:tab w:leader="none" w:pos="760" w:val="left"/>
        </w:tabs>
        <w:rPr>
          <w:rFonts w:ascii="Arial" w:cs="Arial" w:eastAsia="Arial" w:hAnsi="Arial"/>
          <w:sz w:val="18"/>
          <w:szCs w:val="18"/>
          <w:b w:val="1"/>
          <w:bCs w:val="1"/>
          <w:color w:val="0000FF"/>
        </w:rPr>
      </w:pPr>
      <w:hyperlink r:id="rId150">
        <w:r>
          <w:rPr>
            <w:rFonts w:ascii="Arial" w:cs="Arial" w:eastAsia="Arial" w:hAnsi="Arial"/>
            <w:sz w:val="18"/>
            <w:szCs w:val="18"/>
            <w:b w:val="1"/>
            <w:bCs w:val="1"/>
            <w:u w:val="single" w:color="auto"/>
            <w:color w:val="0000FF"/>
          </w:rPr>
          <w:t>10.23</w:t>
        </w:r>
      </w:hyperlink>
      <w:r>
        <w:rPr>
          <w:rFonts w:ascii="Arial" w:cs="Arial" w:eastAsia="Arial" w:hAnsi="Arial"/>
          <w:sz w:val="18"/>
          <w:szCs w:val="18"/>
          <w:b w:val="1"/>
          <w:bCs w:val="1"/>
          <w:color w:val="0000FF"/>
        </w:rPr>
        <w:tab/>
        <w:t>Form of Executive Officer Performance Stock Unit Award Agreement for grants made on or after January 1, 2019 and prior to May 5, 2020 (Incorporated by reference to Exhibit 10.32 to the Annual Report on Form 10-K of Pentair plc for the year ended December 31, 2018 (File No. 001-11625)).*</w:t>
      </w:r>
    </w:p>
    <w:p>
      <w:pPr>
        <w:spacing w:after="0" w:line="55" w:lineRule="exact"/>
        <w:rPr>
          <w:sz w:val="20"/>
          <w:szCs w:val="20"/>
          <w:color w:val="auto"/>
        </w:rPr>
      </w:pPr>
    </w:p>
    <w:p>
      <w:pPr>
        <w:ind w:left="780" w:right="300" w:hanging="780"/>
        <w:spacing w:after="0" w:line="235" w:lineRule="auto"/>
        <w:tabs>
          <w:tab w:leader="none" w:pos="760" w:val="left"/>
        </w:tabs>
        <w:rPr>
          <w:rFonts w:ascii="Arial" w:cs="Arial" w:eastAsia="Arial" w:hAnsi="Arial"/>
          <w:sz w:val="18"/>
          <w:szCs w:val="18"/>
          <w:b w:val="1"/>
          <w:bCs w:val="1"/>
          <w:color w:val="0000FF"/>
        </w:rPr>
      </w:pPr>
      <w:hyperlink r:id="rId151">
        <w:r>
          <w:rPr>
            <w:rFonts w:ascii="Arial" w:cs="Arial" w:eastAsia="Arial" w:hAnsi="Arial"/>
            <w:sz w:val="18"/>
            <w:szCs w:val="18"/>
            <w:b w:val="1"/>
            <w:bCs w:val="1"/>
            <w:u w:val="single" w:color="auto"/>
            <w:color w:val="0000FF"/>
          </w:rPr>
          <w:t>10.24</w:t>
        </w:r>
      </w:hyperlink>
      <w:r>
        <w:rPr>
          <w:rFonts w:ascii="Arial" w:cs="Arial" w:eastAsia="Arial" w:hAnsi="Arial"/>
          <w:sz w:val="18"/>
          <w:szCs w:val="18"/>
          <w:b w:val="1"/>
          <w:bCs w:val="1"/>
          <w:color w:val="0000FF"/>
        </w:rPr>
        <w:tab/>
        <w:t>Pentair plc 2020 Share and Incentive Plan, effective as of May 5, 2020 (Incorporated by reference to Appendix B to the Definitive Proxy Statement on Schedule 14A of Pentair plc filed on March 20, 2020 (File No. 001-11625)).*</w:t>
      </w:r>
    </w:p>
    <w:p>
      <w:pPr>
        <w:spacing w:after="0" w:line="54" w:lineRule="exact"/>
        <w:rPr>
          <w:sz w:val="20"/>
          <w:szCs w:val="20"/>
          <w:color w:val="auto"/>
        </w:rPr>
      </w:pPr>
    </w:p>
    <w:p>
      <w:pPr>
        <w:ind w:left="780" w:right="80" w:hanging="780"/>
        <w:spacing w:after="0" w:line="261" w:lineRule="auto"/>
        <w:tabs>
          <w:tab w:leader="none" w:pos="760" w:val="left"/>
        </w:tabs>
        <w:rPr>
          <w:rFonts w:ascii="Arial" w:cs="Arial" w:eastAsia="Arial" w:hAnsi="Arial"/>
          <w:sz w:val="18"/>
          <w:szCs w:val="18"/>
          <w:b w:val="1"/>
          <w:bCs w:val="1"/>
          <w:color w:val="0000FF"/>
        </w:rPr>
      </w:pPr>
      <w:hyperlink r:id="rId152">
        <w:r>
          <w:rPr>
            <w:rFonts w:ascii="Arial" w:cs="Arial" w:eastAsia="Arial" w:hAnsi="Arial"/>
            <w:sz w:val="18"/>
            <w:szCs w:val="18"/>
            <w:b w:val="1"/>
            <w:bCs w:val="1"/>
            <w:u w:val="single" w:color="auto"/>
            <w:color w:val="0000FF"/>
          </w:rPr>
          <w:t>10.25</w:t>
        </w:r>
      </w:hyperlink>
      <w:r>
        <w:rPr>
          <w:rFonts w:ascii="Arial" w:cs="Arial" w:eastAsia="Arial" w:hAnsi="Arial"/>
          <w:sz w:val="18"/>
          <w:szCs w:val="18"/>
          <w:b w:val="1"/>
          <w:bCs w:val="1"/>
          <w:color w:val="0000FF"/>
        </w:rPr>
        <w:tab/>
        <w:t>Form of Employee Restricted Stock Unit Award Agreement under the Pentair plc 2020 Share and Incentive Plan (Incorporated by reference to Exhibit 99.1 to the Registration Statement on Form S-8 of Pentair plc (Reg. No. 333-238544)).*</w:t>
      </w:r>
    </w:p>
    <w:p>
      <w:pPr>
        <w:spacing w:after="0" w:line="63" w:lineRule="exact"/>
        <w:rPr>
          <w:sz w:val="20"/>
          <w:szCs w:val="20"/>
          <w:color w:val="auto"/>
        </w:rPr>
      </w:pPr>
    </w:p>
    <w:p>
      <w:pPr>
        <w:ind w:left="780" w:hanging="780"/>
        <w:spacing w:after="0" w:line="261" w:lineRule="auto"/>
        <w:tabs>
          <w:tab w:leader="none" w:pos="760" w:val="left"/>
        </w:tabs>
        <w:rPr>
          <w:rFonts w:ascii="Arial" w:cs="Arial" w:eastAsia="Arial" w:hAnsi="Arial"/>
          <w:sz w:val="18"/>
          <w:szCs w:val="18"/>
          <w:b w:val="1"/>
          <w:bCs w:val="1"/>
          <w:color w:val="0000FF"/>
        </w:rPr>
      </w:pPr>
      <w:hyperlink r:id="rId153">
        <w:r>
          <w:rPr>
            <w:rFonts w:ascii="Arial" w:cs="Arial" w:eastAsia="Arial" w:hAnsi="Arial"/>
            <w:sz w:val="18"/>
            <w:szCs w:val="18"/>
            <w:b w:val="1"/>
            <w:bCs w:val="1"/>
            <w:u w:val="single" w:color="auto"/>
            <w:color w:val="0000FF"/>
          </w:rPr>
          <w:t>10.26</w:t>
        </w:r>
      </w:hyperlink>
      <w:r>
        <w:rPr>
          <w:rFonts w:ascii="Arial" w:cs="Arial" w:eastAsia="Arial" w:hAnsi="Arial"/>
          <w:sz w:val="18"/>
          <w:szCs w:val="18"/>
          <w:b w:val="1"/>
          <w:bCs w:val="1"/>
          <w:color w:val="0000FF"/>
        </w:rPr>
        <w:tab/>
        <w:t>Form of Non-Employee Director Restricted Stock Unit Award Agreement under the Pentair plc 2020 Share and Incentive Plan (Incorporated by reference to Exhibit 99.2 to the Registration Statement on Form S-8 of Pentair plc (Reg. No. 333-238544)).*</w:t>
      </w:r>
    </w:p>
    <w:p>
      <w:pPr>
        <w:spacing w:after="0" w:line="63" w:lineRule="exact"/>
        <w:rPr>
          <w:sz w:val="20"/>
          <w:szCs w:val="20"/>
          <w:color w:val="auto"/>
        </w:rPr>
      </w:pPr>
    </w:p>
    <w:p>
      <w:pPr>
        <w:ind w:left="780" w:right="40" w:hanging="780"/>
        <w:spacing w:after="0" w:line="235" w:lineRule="auto"/>
        <w:tabs>
          <w:tab w:leader="none" w:pos="760" w:val="left"/>
        </w:tabs>
        <w:rPr>
          <w:rFonts w:ascii="Arial" w:cs="Arial" w:eastAsia="Arial" w:hAnsi="Arial"/>
          <w:sz w:val="18"/>
          <w:szCs w:val="18"/>
          <w:b w:val="1"/>
          <w:bCs w:val="1"/>
          <w:color w:val="0000FF"/>
        </w:rPr>
      </w:pPr>
      <w:hyperlink r:id="rId154">
        <w:r>
          <w:rPr>
            <w:rFonts w:ascii="Arial" w:cs="Arial" w:eastAsia="Arial" w:hAnsi="Arial"/>
            <w:sz w:val="18"/>
            <w:szCs w:val="18"/>
            <w:b w:val="1"/>
            <w:bCs w:val="1"/>
            <w:u w:val="single" w:color="auto"/>
            <w:color w:val="0000FF"/>
          </w:rPr>
          <w:t>10.27</w:t>
        </w:r>
      </w:hyperlink>
      <w:r>
        <w:rPr>
          <w:rFonts w:ascii="Arial" w:cs="Arial" w:eastAsia="Arial" w:hAnsi="Arial"/>
          <w:sz w:val="18"/>
          <w:szCs w:val="18"/>
          <w:b w:val="1"/>
          <w:bCs w:val="1"/>
          <w:color w:val="0000FF"/>
        </w:rPr>
        <w:tab/>
        <w:t>Form of Key Talent Award Agreement under the Pentair plc 2020 Share and Incentive Plan (Incorporated by reference to Exhibit 99.3 to the Registration Statement on Form S-8 of Pentair plc (Reg. No. 333-238544)).*</w:t>
      </w:r>
    </w:p>
    <w:p>
      <w:pPr>
        <w:spacing w:after="0" w:line="54" w:lineRule="exact"/>
        <w:rPr>
          <w:sz w:val="20"/>
          <w:szCs w:val="20"/>
          <w:color w:val="auto"/>
        </w:rPr>
      </w:pPr>
    </w:p>
    <w:p>
      <w:pPr>
        <w:ind w:left="780" w:right="140" w:hanging="780"/>
        <w:spacing w:after="0" w:line="235" w:lineRule="auto"/>
        <w:tabs>
          <w:tab w:leader="none" w:pos="760" w:val="left"/>
        </w:tabs>
        <w:rPr>
          <w:rFonts w:ascii="Arial" w:cs="Arial" w:eastAsia="Arial" w:hAnsi="Arial"/>
          <w:sz w:val="18"/>
          <w:szCs w:val="18"/>
          <w:b w:val="1"/>
          <w:bCs w:val="1"/>
          <w:color w:val="0000FF"/>
        </w:rPr>
      </w:pPr>
      <w:hyperlink r:id="rId155">
        <w:r>
          <w:rPr>
            <w:rFonts w:ascii="Arial" w:cs="Arial" w:eastAsia="Arial" w:hAnsi="Arial"/>
            <w:sz w:val="18"/>
            <w:szCs w:val="18"/>
            <w:b w:val="1"/>
            <w:bCs w:val="1"/>
            <w:u w:val="single" w:color="auto"/>
            <w:color w:val="0000FF"/>
          </w:rPr>
          <w:t>10.28</w:t>
        </w:r>
      </w:hyperlink>
      <w:r>
        <w:rPr>
          <w:rFonts w:ascii="Arial" w:cs="Arial" w:eastAsia="Arial" w:hAnsi="Arial"/>
          <w:sz w:val="18"/>
          <w:szCs w:val="18"/>
          <w:b w:val="1"/>
          <w:bCs w:val="1"/>
          <w:color w:val="0000FF"/>
        </w:rPr>
        <w:tab/>
        <w:t>Form of Stock Option Award Agreement under the Pentair plc 2020 Share and Incentive Plan (Incorporated by reference to Exhibit 99.4 to the Registration Statement on Form S-8 of Pentair plc (Reg. No. 333-238544)).*</w:t>
      </w:r>
    </w:p>
    <w:p>
      <w:pPr>
        <w:spacing w:after="0" w:line="54" w:lineRule="exact"/>
        <w:rPr>
          <w:sz w:val="20"/>
          <w:szCs w:val="20"/>
          <w:color w:val="auto"/>
        </w:rPr>
      </w:pPr>
    </w:p>
    <w:p>
      <w:pPr>
        <w:ind w:left="780" w:right="480" w:hanging="780"/>
        <w:spacing w:after="0" w:line="261" w:lineRule="auto"/>
        <w:tabs>
          <w:tab w:leader="none" w:pos="760" w:val="left"/>
        </w:tabs>
        <w:rPr>
          <w:rFonts w:ascii="Arial" w:cs="Arial" w:eastAsia="Arial" w:hAnsi="Arial"/>
          <w:sz w:val="18"/>
          <w:szCs w:val="18"/>
          <w:b w:val="1"/>
          <w:bCs w:val="1"/>
          <w:color w:val="0000FF"/>
        </w:rPr>
      </w:pPr>
      <w:hyperlink r:id="rId156">
        <w:r>
          <w:rPr>
            <w:rFonts w:ascii="Arial" w:cs="Arial" w:eastAsia="Arial" w:hAnsi="Arial"/>
            <w:sz w:val="18"/>
            <w:szCs w:val="18"/>
            <w:b w:val="1"/>
            <w:bCs w:val="1"/>
            <w:u w:val="single" w:color="auto"/>
            <w:color w:val="0000FF"/>
          </w:rPr>
          <w:t>10.29</w:t>
        </w:r>
      </w:hyperlink>
      <w:r>
        <w:rPr>
          <w:rFonts w:ascii="Arial" w:cs="Arial" w:eastAsia="Arial" w:hAnsi="Arial"/>
          <w:sz w:val="18"/>
          <w:szCs w:val="18"/>
          <w:b w:val="1"/>
          <w:bCs w:val="1"/>
          <w:color w:val="0000FF"/>
        </w:rPr>
        <w:tab/>
        <w:t>Form of Performance Share Unit Award Agreement under the Pentair plc 2020 Share and Incentive Plan (Incorporated by reference to Exhibit 99.5 to the Registration Statement on Form S-8 of Pentair plc (Reg. No. 333-238544)).*</w:t>
      </w:r>
    </w:p>
    <w:p>
      <w:pPr>
        <w:spacing w:after="0" w:line="63" w:lineRule="exact"/>
        <w:rPr>
          <w:sz w:val="20"/>
          <w:szCs w:val="20"/>
          <w:color w:val="auto"/>
        </w:rPr>
      </w:pPr>
    </w:p>
    <w:p>
      <w:pPr>
        <w:spacing w:after="0"/>
        <w:tabs>
          <w:tab w:leader="none" w:pos="760" w:val="left"/>
        </w:tabs>
        <w:rPr>
          <w:rFonts w:ascii="Arial" w:cs="Arial" w:eastAsia="Arial" w:hAnsi="Arial"/>
          <w:sz w:val="18"/>
          <w:szCs w:val="18"/>
          <w:b w:val="1"/>
          <w:bCs w:val="1"/>
          <w:color w:val="0000FF"/>
        </w:rPr>
      </w:pPr>
      <w:hyperlink w:anchor="page109">
        <w:r>
          <w:rPr>
            <w:rFonts w:ascii="Arial" w:cs="Arial" w:eastAsia="Arial" w:hAnsi="Arial"/>
            <w:sz w:val="18"/>
            <w:szCs w:val="18"/>
            <w:b w:val="1"/>
            <w:bCs w:val="1"/>
            <w:u w:val="single" w:color="auto"/>
            <w:color w:val="0000FF"/>
          </w:rPr>
          <w:t>10.30</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Executive Officer Severance Plan.*</w:t>
      </w:r>
    </w:p>
    <w:p>
      <w:pPr>
        <w:spacing w:after="0" w:line="77" w:lineRule="exact"/>
        <w:rPr>
          <w:sz w:val="20"/>
          <w:szCs w:val="20"/>
          <w:color w:val="auto"/>
        </w:rPr>
      </w:pPr>
    </w:p>
    <w:p>
      <w:pPr>
        <w:spacing w:after="0"/>
        <w:tabs>
          <w:tab w:leader="none" w:pos="760" w:val="left"/>
        </w:tabs>
        <w:rPr>
          <w:rFonts w:ascii="Arial" w:cs="Arial" w:eastAsia="Arial" w:hAnsi="Arial"/>
          <w:sz w:val="18"/>
          <w:szCs w:val="18"/>
          <w:b w:val="1"/>
          <w:bCs w:val="1"/>
          <w:color w:val="0000FF"/>
        </w:rPr>
      </w:pPr>
      <w:hyperlink w:anchor="page125">
        <w:r>
          <w:rPr>
            <w:rFonts w:ascii="Arial" w:cs="Arial" w:eastAsia="Arial" w:hAnsi="Arial"/>
            <w:sz w:val="18"/>
            <w:szCs w:val="18"/>
            <w:b w:val="1"/>
            <w:bCs w:val="1"/>
            <w:u w:val="single" w:color="auto"/>
            <w:color w:val="0000FF"/>
          </w:rPr>
          <w:t>10.31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Amendment No. 1 to the Pentair plc 2020 Share and Incentive Plan.*</w:t>
      </w:r>
    </w:p>
    <w:p>
      <w:pPr>
        <w:spacing w:after="0" w:line="77" w:lineRule="exact"/>
        <w:rPr>
          <w:sz w:val="20"/>
          <w:szCs w:val="20"/>
          <w:color w:val="auto"/>
        </w:rPr>
      </w:pPr>
    </w:p>
    <w:p>
      <w:pPr>
        <w:ind w:left="780" w:right="200" w:hanging="780"/>
        <w:spacing w:after="0" w:line="324" w:lineRule="auto"/>
        <w:tabs>
          <w:tab w:leader="none" w:pos="760" w:val="left"/>
        </w:tabs>
        <w:rPr>
          <w:rFonts w:ascii="Arial" w:cs="Arial" w:eastAsia="Arial" w:hAnsi="Arial"/>
          <w:sz w:val="18"/>
          <w:szCs w:val="18"/>
          <w:b w:val="1"/>
          <w:bCs w:val="1"/>
          <w:color w:val="0000FF"/>
        </w:rPr>
      </w:pPr>
      <w:hyperlink w:anchor="page126">
        <w:r>
          <w:rPr>
            <w:rFonts w:ascii="Arial" w:cs="Arial" w:eastAsia="Arial" w:hAnsi="Arial"/>
            <w:sz w:val="18"/>
            <w:szCs w:val="18"/>
            <w:b w:val="1"/>
            <w:bCs w:val="1"/>
            <w:u w:val="single" w:color="auto"/>
            <w:color w:val="0000FF"/>
          </w:rPr>
          <w:t>10.32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Amendment to Key Executive Employment and Severance Agreement, as of January 1, 2021, for John L. Stauch, John H. Jacko, Karla C. Robertson, Kelly A. Baker, Philip M. Rolchigo, Robert P. Fishman, Jerome O. Pedretti, Mario R. D’Ovidio and Stephen J. Pilla.*</w:t>
      </w:r>
    </w:p>
    <w:p>
      <w:pPr>
        <w:spacing w:after="0" w:line="16" w:lineRule="exact"/>
        <w:rPr>
          <w:sz w:val="20"/>
          <w:szCs w:val="20"/>
          <w:color w:val="auto"/>
        </w:rPr>
      </w:pPr>
    </w:p>
    <w:p>
      <w:pPr>
        <w:spacing w:after="0"/>
        <w:tabs>
          <w:tab w:leader="none" w:pos="760" w:val="left"/>
        </w:tabs>
        <w:rPr>
          <w:rFonts w:ascii="Arial" w:cs="Arial" w:eastAsia="Arial" w:hAnsi="Arial"/>
          <w:sz w:val="18"/>
          <w:szCs w:val="18"/>
          <w:b w:val="1"/>
          <w:bCs w:val="1"/>
          <w:color w:val="0000FF"/>
        </w:rPr>
      </w:pPr>
      <w:hyperlink w:anchor="page129">
        <w:r>
          <w:rPr>
            <w:rFonts w:ascii="Arial" w:cs="Arial" w:eastAsia="Arial" w:hAnsi="Arial"/>
            <w:sz w:val="18"/>
            <w:szCs w:val="18"/>
            <w:b w:val="1"/>
            <w:bCs w:val="1"/>
            <w:u w:val="single" w:color="auto"/>
            <w:color w:val="0000FF"/>
          </w:rPr>
          <w:t>10.33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Separation Agreement, effective December 31, 2020, between Karl Frykman and Pentair Water Pool and Spa, Inc.*</w:t>
      </w:r>
    </w:p>
    <w:p>
      <w:pPr>
        <w:spacing w:after="0" w:line="108" w:lineRule="exact"/>
        <w:rPr>
          <w:sz w:val="20"/>
          <w:szCs w:val="20"/>
          <w:color w:val="auto"/>
        </w:rPr>
      </w:pPr>
    </w:p>
    <w:p>
      <w:pPr>
        <w:ind w:left="780" w:hanging="670"/>
        <w:spacing w:after="0"/>
        <w:tabs>
          <w:tab w:leader="none" w:pos="780" w:val="left"/>
        </w:tabs>
        <w:numPr>
          <w:ilvl w:val="0"/>
          <w:numId w:val="65"/>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Pentair plc subsidiaries.</w:t>
      </w:r>
    </w:p>
    <w:p>
      <w:pPr>
        <w:spacing w:after="0" w:line="90" w:lineRule="exact"/>
        <w:rPr>
          <w:rFonts w:ascii="Arial" w:cs="Arial" w:eastAsia="Arial" w:hAnsi="Arial"/>
          <w:sz w:val="18"/>
          <w:szCs w:val="18"/>
          <w:b w:val="1"/>
          <w:bCs w:val="1"/>
          <w:u w:val="single" w:color="auto"/>
          <w:color w:val="0000FF"/>
        </w:rPr>
      </w:pPr>
    </w:p>
    <w:p>
      <w:pPr>
        <w:ind w:left="780" w:right="400" w:hanging="670"/>
        <w:spacing w:after="0" w:line="261" w:lineRule="auto"/>
        <w:tabs>
          <w:tab w:leader="none" w:pos="780" w:val="left"/>
        </w:tabs>
        <w:numPr>
          <w:ilvl w:val="0"/>
          <w:numId w:val="65"/>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September 30, 2020 (File No. 001-11625)).</w:t>
      </w:r>
    </w:p>
    <w:p>
      <w:pPr>
        <w:spacing w:after="0" w:line="49" w:lineRule="exact"/>
        <w:rPr>
          <w:rFonts w:ascii="Arial" w:cs="Arial" w:eastAsia="Arial" w:hAnsi="Arial"/>
          <w:sz w:val="18"/>
          <w:szCs w:val="18"/>
          <w:b w:val="1"/>
          <w:bCs w:val="1"/>
          <w:u w:val="single" w:color="auto"/>
          <w:color w:val="0000FF"/>
        </w:rPr>
      </w:pPr>
    </w:p>
    <w:p>
      <w:pPr>
        <w:ind w:left="780" w:hanging="670"/>
        <w:spacing w:after="0"/>
        <w:tabs>
          <w:tab w:leader="none" w:pos="780" w:val="left"/>
        </w:tabs>
        <w:numPr>
          <w:ilvl w:val="0"/>
          <w:numId w:val="65"/>
        </w:numPr>
        <w:rPr>
          <w:rFonts w:ascii="Arial" w:cs="Arial" w:eastAsia="Arial" w:hAnsi="Arial"/>
          <w:sz w:val="18"/>
          <w:szCs w:val="18"/>
          <w:b w:val="1"/>
          <w:bCs w:val="1"/>
          <w:u w:val="single" w:color="auto"/>
          <w:color w:val="0000FF"/>
        </w:rPr>
      </w:pPr>
      <w:r>
        <w:rPr>
          <w:rFonts w:ascii="Arial" w:cs="Arial" w:eastAsia="Arial" w:hAnsi="Arial"/>
          <w:sz w:val="18"/>
          <w:szCs w:val="18"/>
          <w:color w:val="auto"/>
        </w:rPr>
        <w:t>Consent of Independent Registered Public Accounting Firm — Deloitte &amp; Touche LLP.</w:t>
      </w:r>
    </w:p>
    <w:p>
      <w:pPr>
        <w:spacing w:after="0" w:line="76" w:lineRule="exact"/>
        <w:rPr>
          <w:rFonts w:ascii="Arial" w:cs="Arial" w:eastAsia="Arial" w:hAnsi="Arial"/>
          <w:sz w:val="18"/>
          <w:szCs w:val="18"/>
          <w:b w:val="1"/>
          <w:bCs w:val="1"/>
          <w:u w:val="single" w:color="auto"/>
          <w:color w:val="0000FF"/>
        </w:rPr>
      </w:pPr>
    </w:p>
    <w:p>
      <w:pPr>
        <w:ind w:left="780" w:hanging="670"/>
        <w:spacing w:after="0"/>
        <w:tabs>
          <w:tab w:leader="none" w:pos="780" w:val="left"/>
        </w:tabs>
        <w:numPr>
          <w:ilvl w:val="0"/>
          <w:numId w:val="65"/>
        </w:numPr>
        <w:rPr>
          <w:rFonts w:ascii="Arial" w:cs="Arial" w:eastAsia="Arial" w:hAnsi="Arial"/>
          <w:sz w:val="18"/>
          <w:szCs w:val="18"/>
          <w:b w:val="1"/>
          <w:bCs w:val="1"/>
          <w:u w:val="single" w:color="auto"/>
          <w:color w:val="0000FF"/>
        </w:rPr>
      </w:pPr>
      <w:r>
        <w:rPr>
          <w:rFonts w:ascii="Arial" w:cs="Arial" w:eastAsia="Arial" w:hAnsi="Arial"/>
          <w:sz w:val="18"/>
          <w:szCs w:val="18"/>
          <w:color w:val="auto"/>
        </w:rPr>
        <w:t>Power of attorney.</w:t>
      </w:r>
    </w:p>
    <w:p>
      <w:pPr>
        <w:spacing w:after="0" w:line="73"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w:anchor="page147">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77"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w:anchor="page148">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77" w:lineRule="exact"/>
        <w:rPr>
          <w:sz w:val="20"/>
          <w:szCs w:val="20"/>
          <w:color w:val="auto"/>
        </w:rPr>
      </w:pPr>
    </w:p>
    <w:p>
      <w:pPr>
        <w:ind w:left="780" w:hanging="735"/>
        <w:spacing w:after="0" w:line="235" w:lineRule="auto"/>
        <w:tabs>
          <w:tab w:leader="none" w:pos="760" w:val="left"/>
        </w:tabs>
        <w:rPr>
          <w:rFonts w:ascii="Arial" w:cs="Arial" w:eastAsia="Arial" w:hAnsi="Arial"/>
          <w:sz w:val="18"/>
          <w:szCs w:val="18"/>
          <w:b w:val="1"/>
          <w:bCs w:val="1"/>
          <w:color w:val="0000FF"/>
        </w:rPr>
      </w:pPr>
      <w:hyperlink w:anchor="page149">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54" w:lineRule="exact"/>
        <w:rPr>
          <w:sz w:val="20"/>
          <w:szCs w:val="20"/>
          <w:color w:val="auto"/>
        </w:rPr>
      </w:pPr>
    </w:p>
    <w:p>
      <w:pPr>
        <w:ind w:left="780" w:right="60" w:hanging="735"/>
        <w:spacing w:after="0" w:line="235" w:lineRule="auto"/>
        <w:tabs>
          <w:tab w:leader="none" w:pos="760" w:val="left"/>
        </w:tabs>
        <w:rPr>
          <w:rFonts w:ascii="Arial" w:cs="Arial" w:eastAsia="Arial" w:hAnsi="Arial"/>
          <w:sz w:val="18"/>
          <w:szCs w:val="18"/>
          <w:b w:val="1"/>
          <w:bCs w:val="1"/>
          <w:color w:val="0000FF"/>
        </w:rPr>
      </w:pPr>
      <w:hyperlink w:anchor="page150">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580" w:top="1026" w:right="399" w:bottom="1440" w:gutter="0" w:footer="0" w:header="0"/>
        </w:sectPr>
      </w:pPr>
    </w:p>
    <w:bookmarkStart w:id="89" w:name="page90"/>
    <w:bookmarkEnd w:id="89"/>
    <w:p>
      <w:pPr>
        <w:ind w:left="1040" w:hanging="715"/>
        <w:spacing w:after="0" w:line="241" w:lineRule="auto"/>
        <w:tabs>
          <w:tab w:leader="none" w:pos="104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following materials from Pentair plc’s Annual Report on Form 10-K for the year ended December 31, 2020 are filed herewith, formatted in iXBRL (Inline Extensible Business Reporting Language): (i) the Consolidated Statements of Operations and Comprehensive Income for the years ended December 31, 2020, 2019 and 2018, (ii) the Consolidated Balance Sheets as of December 31, 2020 and 2019, (iii) the Consolidated Statements of Cash Flows for the years ended December 31, 2020, 2019 and 2018, (iv) the Consolidated Statements of Changes in Equity for the years ended December 31, 2020, 2019 and 2018 and (v) the Notes to the Consolidated Financial Statements. The instance document does not appear in the interactive data file because its XBRL tags are embedded within the Inline XBRL document.</w:t>
      </w:r>
    </w:p>
    <w:p>
      <w:pPr>
        <w:spacing w:after="0" w:line="52" w:lineRule="exact"/>
        <w:rPr>
          <w:sz w:val="20"/>
          <w:szCs w:val="20"/>
          <w:color w:val="auto"/>
        </w:rPr>
      </w:pPr>
    </w:p>
    <w:p>
      <w:pPr>
        <w:ind w:left="20" w:right="3540" w:firstLine="305"/>
        <w:spacing w:after="0" w:line="434" w:lineRule="auto"/>
        <w:tabs>
          <w:tab w:leader="none" w:pos="1032"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0" w:right="4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16, 2021.</w:t>
      </w:r>
    </w:p>
    <w:p>
      <w:pPr>
        <w:spacing w:after="0" w:line="8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PENTAIR PLC</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31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P. Fishman</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Chief Financial Officer and</w:t>
      </w:r>
    </w:p>
    <w:p>
      <w:pPr>
        <w:ind w:left="5660"/>
        <w:spacing w:after="0"/>
        <w:rPr>
          <w:sz w:val="20"/>
          <w:szCs w:val="20"/>
          <w:color w:val="auto"/>
        </w:rPr>
      </w:pPr>
      <w:r>
        <w:rPr>
          <w:rFonts w:ascii="Arial" w:cs="Arial" w:eastAsia="Arial" w:hAnsi="Arial"/>
          <w:sz w:val="18"/>
          <w:szCs w:val="18"/>
          <w:color w:val="auto"/>
        </w:rPr>
        <w:t>Chief Accounting Officer</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16,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9"/>
              </w:rPr>
              <w:t>Signature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8"/>
                <w:szCs w:val="18"/>
                <w:color w:val="auto"/>
                <w:w w:val="92"/>
              </w:rPr>
              <w:t>/s/ John L. Stauch</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8"/>
                <w:szCs w:val="18"/>
                <w:color w:val="auto"/>
                <w:w w:val="89"/>
              </w:rPr>
              <w:t>John L. Stauch</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360" w:type="dxa"/>
            <w:vAlign w:val="bottom"/>
            <w:vMerge w:val="restart"/>
          </w:tcPr>
          <w:p>
            <w:pPr>
              <w:ind w:left="1180"/>
              <w:spacing w:after="0"/>
              <w:rPr>
                <w:sz w:val="20"/>
                <w:szCs w:val="20"/>
                <w:color w:val="auto"/>
              </w:rPr>
            </w:pPr>
            <w:r>
              <w:rPr>
                <w:rFonts w:ascii="Arial" w:cs="Arial" w:eastAsia="Arial" w:hAnsi="Arial"/>
                <w:sz w:val="18"/>
                <w:szCs w:val="18"/>
                <w:color w:val="auto"/>
                <w:w w:val="83"/>
              </w:rPr>
              <w:t>/s/</w:t>
            </w:r>
          </w:p>
        </w:tc>
        <w:tc>
          <w:tcPr>
            <w:tcW w:w="3220" w:type="dxa"/>
            <w:vAlign w:val="bottom"/>
            <w:gridSpan w:val="3"/>
            <w:vMerge w:val="restart"/>
          </w:tcPr>
          <w:p>
            <w:pPr>
              <w:ind w:left="80"/>
              <w:spacing w:after="0"/>
              <w:rPr>
                <w:sz w:val="20"/>
                <w:szCs w:val="20"/>
                <w:color w:val="auto"/>
              </w:rPr>
            </w:pPr>
            <w:r>
              <w:rPr>
                <w:rFonts w:ascii="Arial" w:cs="Arial" w:eastAsia="Arial" w:hAnsi="Arial"/>
                <w:sz w:val="18"/>
                <w:szCs w:val="18"/>
                <w:color w:val="auto"/>
              </w:rPr>
              <w:t>Robert P. Fishman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 and</w:t>
            </w:r>
          </w:p>
        </w:tc>
        <w:tc>
          <w:tcPr>
            <w:tcW w:w="0" w:type="dxa"/>
            <w:vAlign w:val="bottom"/>
          </w:tcPr>
          <w:p>
            <w:pPr>
              <w:spacing w:after="0"/>
              <w:rPr>
                <w:sz w:val="1"/>
                <w:szCs w:val="1"/>
                <w:color w:val="auto"/>
              </w:rPr>
            </w:pPr>
          </w:p>
        </w:tc>
      </w:tr>
      <w:tr>
        <w:trPr>
          <w:trHeight w:val="229"/>
        </w:trPr>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322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Arial" w:cs="Arial" w:eastAsia="Arial" w:hAnsi="Arial"/>
                <w:sz w:val="18"/>
                <w:szCs w:val="18"/>
                <w:color w:val="auto"/>
                <w:w w:val="87"/>
              </w:rPr>
              <w:t>Robert P. Fishman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Arial" w:cs="Arial" w:eastAsia="Arial" w:hAnsi="Arial"/>
                <w:sz w:val="18"/>
                <w:szCs w:val="18"/>
                <w:color w:val="auto"/>
                <w:w w:val="90"/>
              </w:rPr>
              <w:t>Mona Abutaleb Stephenson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00"/>
              <w:spacing w:after="0"/>
              <w:rPr>
                <w:sz w:val="20"/>
                <w:szCs w:val="20"/>
                <w:color w:val="auto"/>
              </w:rPr>
            </w:pPr>
            <w:r>
              <w:rPr>
                <w:rFonts w:ascii="Arial" w:cs="Arial" w:eastAsia="Arial" w:hAnsi="Arial"/>
                <w:sz w:val="18"/>
                <w:szCs w:val="18"/>
                <w:color w:val="auto"/>
                <w:w w:val="95"/>
              </w:rPr>
              <w:t>Glynis A. Bryan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2"/>
              </w:rPr>
              <w:t>T. Michael Glenn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1"/>
              </w:rPr>
              <w:t>Theodore L. Harris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David A. Jones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3"/>
              </w:rPr>
              <w:t>Gregory E. Knight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88"/>
              </w:rPr>
              <w:t>Michael T. Speetzen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7"/>
              </w:rPr>
              <w:t>Billie I. Williamson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jc w:val="center"/>
              <w:ind w:right="1300"/>
              <w:spacing w:after="0"/>
              <w:rPr>
                <w:sz w:val="20"/>
                <w:szCs w:val="20"/>
                <w:color w:val="auto"/>
              </w:rPr>
            </w:pPr>
            <w:r>
              <w:rPr>
                <w:rFonts w:ascii="Arial" w:cs="Arial" w:eastAsia="Arial" w:hAnsi="Arial"/>
                <w:sz w:val="18"/>
                <w:szCs w:val="18"/>
                <w:color w:val="auto"/>
                <w:w w:val="90"/>
              </w:rPr>
              <w:t>/s/ Karla C. Robertson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2"/>
          </w:tcPr>
          <w:p>
            <w:pPr>
              <w:jc w:val="center"/>
              <w:ind w:right="1540"/>
              <w:spacing w:after="0"/>
              <w:rPr>
                <w:sz w:val="20"/>
                <w:szCs w:val="20"/>
                <w:color w:val="auto"/>
              </w:rPr>
            </w:pPr>
            <w:r>
              <w:rPr>
                <w:rFonts w:ascii="Arial" w:cs="Arial" w:eastAsia="Arial" w:hAnsi="Arial"/>
                <w:sz w:val="18"/>
                <w:szCs w:val="18"/>
                <w:color w:val="auto"/>
                <w:w w:val="91"/>
              </w:rPr>
              <w:t>Karla C. Robertson</w:t>
            </w: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center"/>
              <w:ind w:right="1540"/>
              <w:spacing w:after="0"/>
              <w:rPr>
                <w:sz w:val="20"/>
                <w:szCs w:val="20"/>
                <w:color w:val="auto"/>
              </w:rPr>
            </w:pPr>
            <w:r>
              <w:rPr>
                <w:rFonts w:ascii="Arial" w:cs="Arial" w:eastAsia="Arial" w:hAnsi="Arial"/>
                <w:sz w:val="18"/>
                <w:szCs w:val="18"/>
                <w:color w:val="auto"/>
                <w:w w:val="95"/>
              </w:rPr>
              <w:t>Attorney-in-fact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243"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spacing w:after="0" w:line="147" w:lineRule="exact"/>
        <w:rPr>
          <w:sz w:val="20"/>
          <w:szCs w:val="20"/>
          <w:color w:val="auto"/>
        </w:rPr>
      </w:pPr>
    </w:p>
    <w:p>
      <w:pPr>
        <w:ind w:right="240" w:firstLine="648"/>
        <w:spacing w:after="0" w:line="271" w:lineRule="auto"/>
        <w:rPr>
          <w:sz w:val="20"/>
          <w:szCs w:val="20"/>
          <w:color w:val="auto"/>
        </w:rPr>
      </w:pPr>
      <w:r>
        <w:rPr>
          <w:rFonts w:ascii="Arial" w:cs="Arial" w:eastAsia="Arial" w:hAnsi="Arial"/>
          <w:sz w:val="16"/>
          <w:szCs w:val="16"/>
          <w:color w:val="auto"/>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2020 annual general meeting of shareholders to authorize the board of directors to issue up to a maximum of 33% of Pentair’s issued ordinary share capital as of March 6, 2020 (an aggregate nominal amount of $553,194 or 55,319,480 shares), for a period to expire 18 months from the approval, or November 6,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restrictions to which the ordinary shares are subject are prescribed in the Pentair Articles.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2020 annual general meeting of shareholders to authorize Pentair to opt out of preemption rights with respect to the allotment of equity securities up to a maximum of 10% of Pentair’s issued ordinary share capital as of March 6, 2020 (an aggregate nominal amount of $167,634 or 16,763,478 shares), provided that any amount above 5% of Pentair’s issued ordinary share capital as of March 6, 2020 (an aggregate nominal amount of $83,817 or 8,381,739 shares) is to be used only for the purpose of an acquisition or a specific capital investment. This approval will expire 18 months from the date of the approval, or November 6,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spacing w:after="0" w:line="13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 accounting practice. The relevant financial statements must be filed in the Companies Registration Office (the official public registry for companies in Ireland).</w:t>
      </w:r>
    </w:p>
    <w:p>
      <w:pPr>
        <w:sectPr>
          <w:pgSz w:w="11900" w:h="16838" w:orient="portrait"/>
          <w:cols w:equalWidth="0" w:num="1">
            <w:col w:w="11240"/>
          </w:cols>
          <w:pgMar w:left="320" w:top="121" w:right="339" w:bottom="1440" w:gutter="0" w:footer="0" w:header="0"/>
        </w:sectPr>
      </w:pPr>
    </w:p>
    <w:bookmarkStart w:id="92" w:name="page93"/>
    <w:bookmarkEnd w:id="92"/>
    <w:p>
      <w:pPr>
        <w:ind w:right="20" w:firstLine="648"/>
        <w:spacing w:after="0" w:line="279" w:lineRule="auto"/>
        <w:rPr>
          <w:sz w:val="20"/>
          <w:szCs w:val="20"/>
          <w:color w:val="auto"/>
        </w:rPr>
      </w:pPr>
      <w:r>
        <w:rPr>
          <w:rFonts w:ascii="Arial" w:cs="Arial" w:eastAsia="Arial" w:hAnsi="Arial"/>
          <w:sz w:val="16"/>
          <w:szCs w:val="16"/>
          <w:color w:val="auto"/>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spacing w:after="0" w:line="11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directors of Pentair may deduct from any dividend payable to any shareholder any amounts payable by such shareholder to Pentair in relation to the ordinary shares of Pentair.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Shares</w:t>
      </w:r>
    </w:p>
    <w:p>
      <w:pPr>
        <w:spacing w:after="0" w:line="175"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and Redemptions by Pentair</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spacing w:after="0" w:line="133" w:lineRule="exact"/>
        <w:rPr>
          <w:sz w:val="20"/>
          <w:szCs w:val="20"/>
          <w:color w:val="auto"/>
        </w:rPr>
      </w:pPr>
    </w:p>
    <w:p>
      <w:pPr>
        <w:ind w:right="60" w:firstLine="648"/>
        <w:spacing w:after="0" w:line="291" w:lineRule="auto"/>
        <w:rPr>
          <w:sz w:val="20"/>
          <w:szCs w:val="20"/>
          <w:color w:val="auto"/>
        </w:rPr>
      </w:pPr>
      <w:r>
        <w:rPr>
          <w:rFonts w:ascii="Arial" w:cs="Arial" w:eastAsia="Arial" w:hAnsi="Arial"/>
          <w:sz w:val="17"/>
          <w:szCs w:val="17"/>
          <w:color w:val="auto"/>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spacing w:after="0" w:line="10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by Subsidiaries of Pentair</w:t>
      </w:r>
    </w:p>
    <w:p>
      <w:pPr>
        <w:spacing w:after="0" w:line="17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resolution of the shareholders before the contract is entered into. The person whose Pentair ordinary shares are to be bought back</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73" w:right="379" w:bottom="1440" w:gutter="0" w:footer="0" w:header="0"/>
        </w:sectPr>
      </w:pPr>
    </w:p>
    <w:bookmarkStart w:id="93" w:name="page94"/>
    <w:bookmarkEnd w:id="93"/>
    <w:p>
      <w:pPr>
        <w:ind w:right="100"/>
        <w:spacing w:after="0" w:line="261" w:lineRule="auto"/>
        <w:rPr>
          <w:sz w:val="20"/>
          <w:szCs w:val="20"/>
          <w:color w:val="auto"/>
        </w:rPr>
      </w:pPr>
      <w:r>
        <w:rPr>
          <w:rFonts w:ascii="Arial" w:cs="Arial" w:eastAsia="Arial" w:hAnsi="Arial"/>
          <w:sz w:val="18"/>
          <w:szCs w:val="18"/>
          <w:color w:val="auto"/>
        </w:rPr>
        <w:t>cannot vote in favor of the special resolution and, for at least 21 days prior to the special resolution being passed, the purchase contract must be on display or must be available for inspection by shareholders at the registered office of Pentair.</w:t>
      </w:r>
    </w:p>
    <w:p>
      <w:pPr>
        <w:spacing w:after="0" w:line="130"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spacing w:after="0" w:line="15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7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7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89" w:lineRule="exact"/>
        <w:rPr>
          <w:sz w:val="20"/>
          <w:szCs w:val="20"/>
          <w:color w:val="auto"/>
        </w:rPr>
      </w:pPr>
    </w:p>
    <w:p>
      <w:pPr>
        <w:ind w:right="880" w:firstLine="648"/>
        <w:spacing w:after="0" w:line="291" w:lineRule="auto"/>
        <w:rPr>
          <w:sz w:val="20"/>
          <w:szCs w:val="20"/>
          <w:color w:val="auto"/>
        </w:rPr>
      </w:pPr>
      <w:r>
        <w:rPr>
          <w:rFonts w:ascii="Arial" w:cs="Arial" w:eastAsia="Arial" w:hAnsi="Arial"/>
          <w:sz w:val="17"/>
          <w:szCs w:val="17"/>
          <w:color w:val="auto"/>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7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ordinary share is entitled to one vote on each matter properly brought before the shareholders. At any meeting of Pentair, all resolutions will be decided on a poll.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Treasury shares or Pentair ordinary shares that are held by subsidiaries of Pentair are not entitled to be voted at general meetings of shareholders.</w:t>
      </w:r>
    </w:p>
    <w:p>
      <w:pPr>
        <w:spacing w:after="0" w:line="20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Irish company law requires special resolutions of the shareholders at a general meeting to approve certain matters. Examples of matters requiring special resolutions include:</w:t>
      </w:r>
    </w:p>
    <w:p>
      <w:pPr>
        <w:spacing w:after="0" w:line="130"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amending the Pentair Articles;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a change of name of Pentair;</w:t>
      </w:r>
    </w:p>
    <w:p>
      <w:pPr>
        <w:spacing w:after="0" w:line="184" w:lineRule="exact"/>
        <w:rPr>
          <w:rFonts w:ascii="Arial" w:cs="Arial" w:eastAsia="Arial" w:hAnsi="Arial"/>
          <w:sz w:val="18"/>
          <w:szCs w:val="18"/>
          <w:color w:val="auto"/>
        </w:rPr>
      </w:pPr>
    </w:p>
    <w:p>
      <w:pPr>
        <w:ind w:left="980" w:right="120" w:hanging="324"/>
        <w:spacing w:after="0" w:line="261" w:lineRule="auto"/>
        <w:tabs>
          <w:tab w:leader="none" w:pos="9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re-registration of Pentair from a public limited company to a private company;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Pentair Articles do not provide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73" w:right="359" w:bottom="1440" w:gutter="0" w:footer="0" w:header="0"/>
        </w:sectPr>
      </w:pPr>
    </w:p>
    <w:bookmarkStart w:id="94" w:name="page95"/>
    <w:bookmarkEnd w:id="94"/>
    <w:p>
      <w:pPr>
        <w:ind w:left="980" w:hanging="324"/>
        <w:spacing w:after="0"/>
        <w:tabs>
          <w:tab w:leader="none" w:pos="980" w:val="left"/>
        </w:tabs>
        <w:numPr>
          <w:ilvl w:val="0"/>
          <w:numId w:val="69"/>
        </w:numPr>
        <w:rPr>
          <w:rFonts w:ascii="Arial" w:cs="Arial" w:eastAsia="Arial" w:hAnsi="Arial"/>
          <w:sz w:val="22"/>
          <w:szCs w:val="22"/>
          <w:color w:val="auto"/>
        </w:rPr>
      </w:pPr>
      <w:r>
        <w:rPr>
          <w:rFonts w:ascii="Arial" w:cs="Arial" w:eastAsia="Arial" w:hAnsi="Arial"/>
          <w:sz w:val="18"/>
          <w:szCs w:val="18"/>
          <w:color w:val="auto"/>
        </w:rPr>
        <w:t>purchase of Pentair shares off-market;</w:t>
      </w:r>
    </w:p>
    <w:p>
      <w:pPr>
        <w:spacing w:after="0" w:line="161" w:lineRule="exact"/>
        <w:rPr>
          <w:rFonts w:ascii="Arial" w:cs="Arial" w:eastAsia="Arial" w:hAnsi="Arial"/>
          <w:sz w:val="22"/>
          <w:szCs w:val="22"/>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resolving that Pentair be wound up by the Irish courts;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setting the re-issue price of treasury shares;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cross-border merger pursuant to Directive (EU) 2017/1132 of 14 June 2017 relating to certain aspects of company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7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Irish public limited company may be acquired in a number of ways, including:</w:t>
      </w:r>
    </w:p>
    <w:p>
      <w:pPr>
        <w:spacing w:after="0" w:line="171" w:lineRule="exact"/>
        <w:rPr>
          <w:sz w:val="20"/>
          <w:szCs w:val="20"/>
          <w:color w:val="auto"/>
        </w:rPr>
      </w:pPr>
    </w:p>
    <w:p>
      <w:pPr>
        <w:jc w:val="both"/>
        <w:ind w:left="980" w:right="140" w:hanging="324"/>
        <w:spacing w:after="0" w:line="248" w:lineRule="auto"/>
        <w:tabs>
          <w:tab w:leader="none" w:pos="9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41" w:lineRule="exact"/>
        <w:rPr>
          <w:rFonts w:ascii="Arial" w:cs="Arial" w:eastAsia="Arial" w:hAnsi="Arial"/>
          <w:sz w:val="18"/>
          <w:szCs w:val="18"/>
          <w:color w:val="auto"/>
        </w:rPr>
      </w:pPr>
    </w:p>
    <w:p>
      <w:pPr>
        <w:ind w:left="980" w:right="20" w:hanging="324"/>
        <w:spacing w:after="0" w:line="241" w:lineRule="auto"/>
        <w:tabs>
          <w:tab w:leader="none" w:pos="9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spacing w:after="0" w:line="162" w:lineRule="exact"/>
        <w:rPr>
          <w:rFonts w:ascii="Arial" w:cs="Arial" w:eastAsia="Arial" w:hAnsi="Arial"/>
          <w:sz w:val="18"/>
          <w:szCs w:val="18"/>
          <w:color w:val="auto"/>
        </w:rPr>
      </w:pPr>
    </w:p>
    <w:p>
      <w:pPr>
        <w:ind w:left="980" w:right="60" w:hanging="324"/>
        <w:spacing w:after="0" w:line="262" w:lineRule="auto"/>
        <w:tabs>
          <w:tab w:leader="none" w:pos="97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78" w:right="379" w:bottom="1440" w:gutter="0" w:footer="0" w:header="0"/>
        </w:sectPr>
      </w:pPr>
    </w:p>
    <w:bookmarkStart w:id="95" w:name="page96"/>
    <w:bookmarkEnd w:id="95"/>
    <w:p>
      <w:pPr>
        <w:ind w:firstLine="648"/>
        <w:spacing w:after="0" w:line="257" w:lineRule="auto"/>
        <w:rPr>
          <w:sz w:val="20"/>
          <w:szCs w:val="20"/>
          <w:color w:val="auto"/>
        </w:rPr>
      </w:pPr>
      <w:r>
        <w:rPr>
          <w:rFonts w:ascii="Arial" w:cs="Arial" w:eastAsia="Arial" w:hAnsi="Arial"/>
          <w:sz w:val="17"/>
          <w:szCs w:val="17"/>
          <w:color w:val="auto"/>
        </w:rPr>
        <w:t>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 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 subject to certain restrictions, as prescribed by the Companies Act, as follows:</w:t>
      </w:r>
    </w:p>
    <w:p>
      <w:pPr>
        <w:spacing w:after="0" w:line="135" w:lineRule="exact"/>
        <w:rPr>
          <w:sz w:val="20"/>
          <w:szCs w:val="20"/>
          <w:color w:val="auto"/>
        </w:rPr>
      </w:pPr>
    </w:p>
    <w:p>
      <w:pPr>
        <w:ind w:left="980" w:right="20" w:hanging="324"/>
        <w:spacing w:after="0" w:line="261"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payment shall be made of any sums due from Pentair on those shares, whether in respect of capital or otherwise.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court may also order that shares subject to any of these restrictions be sold with the restrictions terminating upon the completion of the sale.</w:t>
      </w:r>
    </w:p>
    <w:p>
      <w:pPr>
        <w:spacing w:after="0" w:line="194"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In the event Pentair is in an offer period pursuant to the Irish Takeover Rules (as defined below), accelerated disclosure provisions apply for persons holding an interest in Pentair securities of 1% or more.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Takeover Rules and Substantial Acquisition Rules</w:t>
      </w:r>
    </w:p>
    <w:p>
      <w:pPr>
        <w:spacing w:after="0" w:line="171" w:lineRule="exact"/>
        <w:rPr>
          <w:sz w:val="20"/>
          <w:szCs w:val="20"/>
          <w:color w:val="auto"/>
        </w:rPr>
      </w:pPr>
    </w:p>
    <w:p>
      <w:pPr>
        <w:jc w:val="both"/>
        <w:ind w:right="80" w:firstLine="648"/>
        <w:spacing w:after="0" w:line="294" w:lineRule="auto"/>
        <w:rPr>
          <w:sz w:val="20"/>
          <w:szCs w:val="20"/>
          <w:color w:val="auto"/>
        </w:rPr>
      </w:pPr>
      <w:r>
        <w:rPr>
          <w:rFonts w:ascii="Arial" w:cs="Arial" w:eastAsia="Arial" w:hAnsi="Arial"/>
          <w:sz w:val="16"/>
          <w:szCs w:val="16"/>
          <w:color w:val="auto"/>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Principles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Takeover Rules are built on the following General Principles which will apply to any transaction regulated by the Panel:</w:t>
      </w:r>
    </w:p>
    <w:p>
      <w:pPr>
        <w:spacing w:after="0" w:line="171" w:lineRule="exact"/>
        <w:rPr>
          <w:sz w:val="20"/>
          <w:szCs w:val="20"/>
          <w:color w:val="auto"/>
        </w:rPr>
      </w:pPr>
    </w:p>
    <w:p>
      <w:pPr>
        <w:ind w:left="980" w:right="80" w:hanging="324"/>
        <w:spacing w:after="0" w:line="261"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of an offer, all holders of security of the target company should be afforded equivalent treatment and, if a person acquires control of a company, the other holders of securities must be protected;</w:t>
      </w:r>
    </w:p>
    <w:p>
      <w:pPr>
        <w:spacing w:after="0" w:line="130" w:lineRule="exact"/>
        <w:rPr>
          <w:rFonts w:ascii="Arial" w:cs="Arial" w:eastAsia="Arial" w:hAnsi="Arial"/>
          <w:sz w:val="18"/>
          <w:szCs w:val="18"/>
          <w:color w:val="auto"/>
        </w:rPr>
      </w:pPr>
    </w:p>
    <w:p>
      <w:pPr>
        <w:ind w:left="980" w:right="380" w:hanging="324"/>
        <w:spacing w:after="0" w:line="294" w:lineRule="auto"/>
        <w:tabs>
          <w:tab w:leader="none" w:pos="9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0" w:lineRule="exact"/>
        <w:rPr>
          <w:rFonts w:ascii="Arial" w:cs="Arial" w:eastAsia="Arial" w:hAnsi="Arial"/>
          <w:sz w:val="16"/>
          <w:szCs w:val="16"/>
          <w:color w:val="auto"/>
        </w:rPr>
      </w:pPr>
    </w:p>
    <w:p>
      <w:pPr>
        <w:ind w:left="980" w:right="840" w:hanging="324"/>
        <w:spacing w:after="0" w:line="261"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spacing w:after="0" w:line="130" w:lineRule="exact"/>
        <w:rPr>
          <w:rFonts w:ascii="Arial" w:cs="Arial" w:eastAsia="Arial" w:hAnsi="Arial"/>
          <w:sz w:val="18"/>
          <w:szCs w:val="18"/>
          <w:color w:val="auto"/>
        </w:rPr>
      </w:pPr>
    </w:p>
    <w:p>
      <w:pPr>
        <w:ind w:left="980" w:right="80" w:hanging="324"/>
        <w:spacing w:after="0" w:line="291" w:lineRule="auto"/>
        <w:tabs>
          <w:tab w:leader="none" w:pos="9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6" w:lineRule="exact"/>
        <w:rPr>
          <w:rFonts w:ascii="Arial" w:cs="Arial" w:eastAsia="Arial" w:hAnsi="Arial"/>
          <w:sz w:val="17"/>
          <w:szCs w:val="17"/>
          <w:color w:val="auto"/>
        </w:rPr>
      </w:pPr>
    </w:p>
    <w:p>
      <w:pPr>
        <w:ind w:left="980" w:right="40" w:hanging="324"/>
        <w:spacing w:after="0" w:line="261"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71"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773"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Mandatory Bid</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Bid; Requirements to Make a Cash Offer and Minimum Price Requirements</w:t>
      </w:r>
    </w:p>
    <w:p>
      <w:pPr>
        <w:spacing w:after="0" w:line="171"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0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offer period will generally commence from the date of the first announcement of the offer or proposed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Acquisition Rules</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Frustrating Action</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spacing w:after="0" w:line="149"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action is approved by Pentair’s shareholders at a general meeting; 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Panel has given its consent, where: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satisfied the action would not constitute frustrating action;</w:t>
      </w:r>
    </w:p>
    <w:p>
      <w:pPr>
        <w:spacing w:after="0" w:line="171" w:lineRule="exact"/>
        <w:rPr>
          <w:rFonts w:ascii="Arial" w:cs="Arial" w:eastAsia="Arial" w:hAnsi="Arial"/>
          <w:sz w:val="18"/>
          <w:szCs w:val="18"/>
          <w:color w:val="auto"/>
        </w:rPr>
      </w:pPr>
    </w:p>
    <w:p>
      <w:pPr>
        <w:ind w:left="980" w:right="60" w:hanging="324"/>
        <w:spacing w:after="0" w:line="261"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Pentair shareholders that hold 50% of the voting rights state in writing that they approve the proposed action and would vote in favor of it at a general meeting;</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action is taken in accordance with a contract entered into prior to the announcement of the offer;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97" w:name="page98"/>
    <w:bookmarkEnd w:id="97"/>
    <w:p>
      <w:pPr>
        <w:ind w:left="980" w:right="80" w:hanging="324"/>
        <w:spacing w:after="0" w:line="232" w:lineRule="auto"/>
        <w:tabs>
          <w:tab w:leader="none" w:pos="975" w:val="left"/>
        </w:tabs>
        <w:numPr>
          <w:ilvl w:val="0"/>
          <w:numId w:val="74"/>
        </w:numPr>
        <w:rPr>
          <w:rFonts w:ascii="Arial" w:cs="Arial" w:eastAsia="Arial" w:hAnsi="Arial"/>
          <w:sz w:val="22"/>
          <w:szCs w:val="22"/>
          <w:color w:val="auto"/>
        </w:rPr>
      </w:pPr>
      <w:r>
        <w:rPr>
          <w:rFonts w:ascii="Arial" w:cs="Arial" w:eastAsia="Arial" w:hAnsi="Arial"/>
          <w:sz w:val="18"/>
          <w:szCs w:val="18"/>
          <w:color w:val="auto"/>
        </w:rPr>
        <w:t>the decision to take such action was made before the announcement of the offer and either has been at least partially implemented or is in the ordinary course of business.</w:t>
      </w:r>
    </w:p>
    <w:p>
      <w:pPr>
        <w:spacing w:after="0" w:line="149" w:lineRule="exact"/>
        <w:rPr>
          <w:sz w:val="20"/>
          <w:szCs w:val="20"/>
          <w:color w:val="auto"/>
        </w:rPr>
      </w:pPr>
    </w:p>
    <w:p>
      <w:pPr>
        <w:ind w:right="180" w:firstLine="648"/>
        <w:spacing w:after="0" w:line="324" w:lineRule="auto"/>
        <w:rPr>
          <w:sz w:val="20"/>
          <w:szCs w:val="20"/>
          <w:color w:val="auto"/>
        </w:rPr>
      </w:pPr>
      <w:r>
        <w:rPr>
          <w:rFonts w:ascii="Arial" w:cs="Arial" w:eastAsia="Arial" w:hAnsi="Arial"/>
          <w:sz w:val="16"/>
          <w:szCs w:val="16"/>
          <w:color w:val="auto"/>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75"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w:t>
      </w:r>
    </w:p>
    <w:p>
      <w:pPr>
        <w:spacing w:after="0" w:line="147"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Pentair ordinary shares have no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the ordinary shares offered hereby are issued, they will be duly and validly issued,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7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person who also holds such shares beneficially through a depository or other nominee is not registered in Pentair’s official share register, as the depository or other nominee remains the record holder of any such shares.</w:t>
      </w:r>
    </w:p>
    <w:p>
      <w:pPr>
        <w:spacing w:after="0" w:line="16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spacing w:after="0" w:line="14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spacing w:after="0" w:line="15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Pentair Articles delegate to Pentair’s secretary or assistant secretary (or their nominees) the authority to execute an instrument of transfer on behalf of a transferring party.</w:t>
      </w:r>
    </w:p>
    <w:p>
      <w:pPr>
        <w:spacing w:after="0" w:line="144"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In order to help ensure that the official share register is regularly updated to reflect trading of Pentair ordinary shares occurring through normal electronic systems, Pentair intends to regularly produce any required instruments of transfer in connection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800" w:right="379" w:bottom="1440" w:gutter="0" w:footer="0" w:header="0"/>
        </w:sectPr>
      </w:pPr>
    </w:p>
    <w:bookmarkStart w:id="98" w:name="page99"/>
    <w:bookmarkEnd w:id="98"/>
    <w:p>
      <w:pPr>
        <w:spacing w:after="0" w:line="276" w:lineRule="auto"/>
        <w:rPr>
          <w:sz w:val="20"/>
          <w:szCs w:val="20"/>
          <w:color w:val="auto"/>
        </w:rPr>
      </w:pPr>
      <w:r>
        <w:rPr>
          <w:rFonts w:ascii="Arial" w:cs="Arial" w:eastAsia="Arial" w:hAnsi="Arial"/>
          <w:sz w:val="16"/>
          <w:szCs w:val="16"/>
          <w:color w:val="auto"/>
        </w:rPr>
        <w:t>with any transactions for which it pays stamp duty (subject to the reimbursement and set-off rights described above). In the event that 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suspend registration of transfers from time to time, not exceeding 30 days in aggregate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7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STOCK PURCHASE AND BONUS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as of January 1, 2021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HISTORY AND BACKGROUND</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In connection with the merger of Pentair, Inc. with and into a wholly-owned subsidiary of Tyco Flow Control International Ltd. (to be renamed Pentair Ltd., and referred to herein as the “Company”), which occurred on September 28, 2012 (the “Merger”), the Company adopted this Employee Stock Purchase and Bonus Plan (the “Plan”), effective September 28, 2012, to provide to employees of the Company and its designated divisions and subsidiaries the opportunity to purchase shares of the Company’s common stock after the Merger. The Plan is also considered a successor plan to the following pre-Merger plans: the Pentair, Inc. Employee Stock Purchase and Bonus Plan (effective March 1, 1977).</w:t>
      </w:r>
    </w:p>
    <w:p>
      <w:pPr>
        <w:spacing w:after="0" w:line="15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Plan was amended and restated effective May 1, 2013, to reflect certain administrative changes made to the operation of the Plan.</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Plan was further amended and restated effective as of the consummation of the merger of Pentair Ltd. with and into Pentair plc to reflect the assumption of this Plan by Pentair plc and the applicability of the Plan to ordinary shares of Pentair plc, rather than common shares of Pentair Ltd., following such merger.</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Plan was further amended and restated effective as of November 17, 2017 to reflect certain administrative changes made to the Plan.</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Plan was further amended and restated effective as of January 1, 2019 to suspend the International Stock Purchase and Bonus Plan (which was previously attached to the Plan as Appendix A) and to make certain other administrative changes.</w:t>
      </w:r>
    </w:p>
    <w:p>
      <w:pPr>
        <w:spacing w:after="0" w:line="18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The Plan is now amended and restated effective January 1, 2021 to modify the time period for which the contribution limits under the Plan apply and, subject to the approval of the Plan by the Pentair plc shareholders at the 2021 Annual General Meeting of Shareholders, to extend the term of the Plan until the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anniversary of such approval.</w:t>
      </w:r>
    </w:p>
    <w:p>
      <w:pPr>
        <w:spacing w:after="0" w:line="7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following sections of the Plan shall apply to the U.S. and Canadian employees of the Company and its participating divisions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Unless the context clearly requires otherwise, when capitalized the terms listed below shall have the following meanings when used in this Section or other parts of the Plan.</w:t>
      </w:r>
    </w:p>
    <w:p>
      <w:pPr>
        <w:sectPr>
          <w:pgSz w:w="11900" w:h="16838" w:orient="portrait"/>
          <w:cols w:equalWidth="0" w:num="1">
            <w:col w:w="11240"/>
          </w:cols>
          <w:pgMar w:left="320" w:top="126" w:right="339" w:bottom="1440" w:gutter="0" w:footer="0" w:header="0"/>
        </w:sectPr>
      </w:pPr>
    </w:p>
    <w:bookmarkStart w:id="100" w:name="page101"/>
    <w:bookmarkEnd w:id="100"/>
    <w:p>
      <w:pPr>
        <w:jc w:val="both"/>
        <w:ind w:firstLine="656"/>
        <w:spacing w:after="0" w:line="289" w:lineRule="auto"/>
        <w:tabs>
          <w:tab w:leader="none" w:pos="1264"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“Account” </w:t>
      </w:r>
      <w:r>
        <w:rPr>
          <w:rFonts w:ascii="Arial" w:cs="Arial" w:eastAsia="Arial" w:hAnsi="Arial"/>
          <w:sz w:val="19"/>
          <w:szCs w:val="19"/>
          <w:color w:val="auto"/>
        </w:rPr>
        <w:t>is an account established with the Plan Agent and into which Stock purchased with accumulated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contributions, employer matching contributions made on behalf of a Participant, and cash dividends paid with respect to such Stock (as applicable), are held on behalf of each Participant under the Plan. A Participant’s rights with respect to his or her Account shall be subject to the terms and conditions established by the Plan Agent from time to time.</w:t>
      </w:r>
    </w:p>
    <w:p>
      <w:pPr>
        <w:spacing w:after="0" w:line="135" w:lineRule="exact"/>
        <w:rPr>
          <w:rFonts w:ascii="Arial" w:cs="Arial" w:eastAsia="Arial" w:hAnsi="Arial"/>
          <w:sz w:val="19"/>
          <w:szCs w:val="19"/>
          <w:color w:val="auto"/>
        </w:rPr>
      </w:pPr>
    </w:p>
    <w:p>
      <w:pPr>
        <w:jc w:val="both"/>
        <w:ind w:firstLine="656"/>
        <w:spacing w:after="0" w:line="237" w:lineRule="auto"/>
        <w:tabs>
          <w:tab w:leader="none" w:pos="1202"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“Affiliated Company” </w:t>
      </w:r>
      <w:r>
        <w:rPr>
          <w:rFonts w:ascii="Arial" w:cs="Arial" w:eastAsia="Arial" w:hAnsi="Arial"/>
          <w:sz w:val="22"/>
          <w:szCs w:val="22"/>
          <w:color w:val="auto"/>
        </w:rPr>
        <w:t>is (a) any corporation or business located in and organized under the laws of 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which is a member of a controlled group of corporations or businesses (within the meaning of Code section 414(b) or (c)) that includes the Company, but only during the periods such affiliation exists, or (b) any other entity in which the Company may have a significant ownership interest, and which the Plan Administrator determines shall be an Affiliated Company for purposes of the Plan.</w:t>
      </w:r>
    </w:p>
    <w:p>
      <w:pPr>
        <w:spacing w:after="0" w:line="181"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is the Internal Revenue Code of 1986, as amended.</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Pentair plc, an Irish company.</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24"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“Compensation” </w:t>
      </w:r>
      <w:r>
        <w:rPr>
          <w:rFonts w:ascii="Arial" w:cs="Arial" w:eastAsia="Arial" w:hAnsi="Arial"/>
          <w:sz w:val="22"/>
          <w:szCs w:val="22"/>
          <w:color w:val="auto"/>
        </w:rPr>
        <w:t>is a Participant’s base wages or salary (i.e., exclusive of overtime or bonus payments)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thereof, including, by way of example, vacation, jury duty or shift differential pay, paid to or on behalf of a Participant for services rendered to the Company or a Participating Employer.</w:t>
      </w:r>
    </w:p>
    <w:p>
      <w:pPr>
        <w:spacing w:after="0" w:line="176"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“Eligible Employee” </w:t>
      </w:r>
      <w:r>
        <w:rPr>
          <w:rFonts w:ascii="Arial" w:cs="Arial" w:eastAsia="Arial" w:hAnsi="Arial"/>
          <w:sz w:val="22"/>
          <w:szCs w:val="22"/>
          <w:color w:val="auto"/>
        </w:rPr>
        <w:t>is an Employee, except those Employees:</w:t>
      </w:r>
    </w:p>
    <w:p>
      <w:pPr>
        <w:spacing w:after="0" w:line="212" w:lineRule="exact"/>
        <w:rPr>
          <w:rFonts w:ascii="Arial" w:cs="Arial" w:eastAsia="Arial" w:hAnsi="Arial"/>
          <w:sz w:val="22"/>
          <w:szCs w:val="22"/>
          <w:color w:val="auto"/>
        </w:rPr>
      </w:pPr>
    </w:p>
    <w:p>
      <w:pPr>
        <w:jc w:val="both"/>
        <w:ind w:left="660" w:firstLine="644"/>
        <w:spacing w:after="0" w:line="238" w:lineRule="auto"/>
        <w:tabs>
          <w:tab w:leader="none" w:pos="1799" w:val="left"/>
        </w:tabs>
        <w:numPr>
          <w:ilvl w:val="1"/>
          <w:numId w:val="75"/>
        </w:numPr>
        <w:rPr>
          <w:rFonts w:ascii="Arial" w:cs="Arial" w:eastAsia="Arial" w:hAnsi="Arial"/>
          <w:sz w:val="22"/>
          <w:szCs w:val="22"/>
          <w:color w:val="auto"/>
        </w:rPr>
      </w:pPr>
      <w:r>
        <w:rPr>
          <w:rFonts w:ascii="Arial" w:cs="Arial" w:eastAsia="Arial" w:hAnsi="Arial"/>
          <w:sz w:val="22"/>
          <w:szCs w:val="22"/>
          <w:color w:val="auto"/>
        </w:rPr>
        <w:t>who are included in a unit of Employees covered by a collective bargaining agreement between Employee representatives and a Participating Employer, unless and to the extent such agreement provides that such Employees shall be covered by the Plan, or the Participating Employer and the Plan Administrator have otherwise agreed to extend coverage under the Plan to such Employees;</w:t>
      </w:r>
    </w:p>
    <w:p>
      <w:pPr>
        <w:spacing w:after="0" w:line="184" w:lineRule="exact"/>
        <w:rPr>
          <w:rFonts w:ascii="Arial" w:cs="Arial" w:eastAsia="Arial" w:hAnsi="Arial"/>
          <w:sz w:val="22"/>
          <w:szCs w:val="22"/>
          <w:color w:val="auto"/>
        </w:rPr>
      </w:pPr>
    </w:p>
    <w:p>
      <w:pPr>
        <w:ind w:left="660" w:firstLine="644"/>
        <w:spacing w:after="0" w:line="250" w:lineRule="auto"/>
        <w:tabs>
          <w:tab w:leader="none" w:pos="1788" w:val="left"/>
        </w:tabs>
        <w:numPr>
          <w:ilvl w:val="1"/>
          <w:numId w:val="75"/>
        </w:numPr>
        <w:rPr>
          <w:rFonts w:ascii="Arial" w:cs="Arial" w:eastAsia="Arial" w:hAnsi="Arial"/>
          <w:sz w:val="22"/>
          <w:szCs w:val="22"/>
          <w:color w:val="auto"/>
        </w:rPr>
      </w:pPr>
      <w:r>
        <w:rPr>
          <w:rFonts w:ascii="Arial" w:cs="Arial" w:eastAsia="Arial" w:hAnsi="Arial"/>
          <w:sz w:val="22"/>
          <w:szCs w:val="22"/>
          <w:color w:val="auto"/>
        </w:rPr>
        <w:t>who, as determined by the Plan Administrator in its sole discretion, are not regular or permanent full- or part-time Employees, including, without limitation interns or other temporary Employees;</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whose Employer is not a Participating Employer; or</w:t>
      </w:r>
    </w:p>
    <w:p>
      <w:pPr>
        <w:spacing w:after="0" w:line="206" w:lineRule="exact"/>
        <w:rPr>
          <w:rFonts w:ascii="Arial" w:cs="Arial" w:eastAsia="Arial" w:hAnsi="Arial"/>
          <w:sz w:val="22"/>
          <w:szCs w:val="22"/>
          <w:color w:val="auto"/>
        </w:rPr>
      </w:pPr>
    </w:p>
    <w:p>
      <w:pPr>
        <w:jc w:val="both"/>
        <w:ind w:left="660" w:firstLine="644"/>
        <w:spacing w:after="0" w:line="238" w:lineRule="auto"/>
        <w:tabs>
          <w:tab w:leader="none" w:pos="1921" w:val="left"/>
        </w:tabs>
        <w:numPr>
          <w:ilvl w:val="1"/>
          <w:numId w:val="75"/>
        </w:numPr>
        <w:rPr>
          <w:rFonts w:ascii="Arial" w:cs="Arial" w:eastAsia="Arial" w:hAnsi="Arial"/>
          <w:sz w:val="22"/>
          <w:szCs w:val="22"/>
          <w:color w:val="auto"/>
        </w:rPr>
      </w:pPr>
      <w:r>
        <w:rPr>
          <w:rFonts w:ascii="Arial" w:cs="Arial" w:eastAsia="Arial" w:hAnsi="Arial"/>
          <w:sz w:val="22"/>
          <w:szCs w:val="22"/>
          <w:color w:val="auto"/>
        </w:rPr>
        <w:t>who are not treated as Employees by the Company or a Participating Employer for purposes of the Plan even though they may be so treated or considered under applicable law, including Code section 414(n), the Federal Insurance Contribution Act or the Fair Labor Standards Act (e.g., individuals treated as employees of a third party or as self-employed).</w:t>
      </w:r>
    </w:p>
    <w:p>
      <w:pPr>
        <w:spacing w:after="0" w:line="178"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is an individual who is an employee of the Company or an Affiliated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101" w:name="page102"/>
    <w:bookmarkEnd w:id="101"/>
    <w:p>
      <w:pPr>
        <w:ind w:firstLine="656"/>
        <w:spacing w:after="0" w:line="256" w:lineRule="auto"/>
        <w:tabs>
          <w:tab w:leader="none" w:pos="1278"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is an Eligible Employee who has met the age requirement for Plan participation and properly</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completed and submitted the authorization form necessary for participation.</w:t>
      </w:r>
    </w:p>
    <w:p>
      <w:pPr>
        <w:spacing w:after="0" w:line="162" w:lineRule="exact"/>
        <w:rPr>
          <w:rFonts w:ascii="Arial" w:cs="Arial" w:eastAsia="Arial" w:hAnsi="Arial"/>
          <w:sz w:val="22"/>
          <w:szCs w:val="22"/>
          <w:color w:val="auto"/>
        </w:rPr>
      </w:pPr>
    </w:p>
    <w:p>
      <w:pPr>
        <w:jc w:val="both"/>
        <w:ind w:firstLine="656"/>
        <w:spacing w:after="0" w:line="283" w:lineRule="auto"/>
        <w:tabs>
          <w:tab w:leader="none" w:pos="1127"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 xml:space="preserve">“Participating Employer” </w:t>
      </w:r>
      <w:r>
        <w:rPr>
          <w:rFonts w:ascii="Arial" w:cs="Arial" w:eastAsia="Arial" w:hAnsi="Arial"/>
          <w:sz w:val="19"/>
          <w:szCs w:val="19"/>
          <w:color w:val="auto"/>
        </w:rPr>
        <w:t>is an Affiliated Company that is making, or has agreed to make, contributions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with respect to some or all of its Eligible Employees, but only during the period such agreement to contribute remains in effect. The Company must approve each Participating Employer, except that any entity that is considered a Participating Employer under the Plan immediately prior to the Restatement Effective Date automatically shall be considered a Participating Employer hereunder on the Restatement Effective Date without further action by the Company or such employer.</w:t>
      </w:r>
    </w:p>
    <w:p>
      <w:pPr>
        <w:spacing w:after="0" w:line="142" w:lineRule="exact"/>
        <w:rPr>
          <w:rFonts w:ascii="Arial" w:cs="Arial" w:eastAsia="Arial" w:hAnsi="Arial"/>
          <w:sz w:val="19"/>
          <w:szCs w:val="19"/>
          <w:color w:val="auto"/>
        </w:rPr>
      </w:pPr>
    </w:p>
    <w:p>
      <w:pPr>
        <w:ind w:firstLine="656"/>
        <w:spacing w:after="0" w:line="256" w:lineRule="auto"/>
        <w:tabs>
          <w:tab w:leader="none" w:pos="1278"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is the Pentair plc Employee Stock Purchase and Bonus Plan as described in this plan document and as it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amended from time to time.</w:t>
      </w:r>
    </w:p>
    <w:p>
      <w:pPr>
        <w:spacing w:after="0" w:line="162" w:lineRule="exact"/>
        <w:rPr>
          <w:rFonts w:ascii="Arial" w:cs="Arial" w:eastAsia="Arial" w:hAnsi="Arial"/>
          <w:sz w:val="22"/>
          <w:szCs w:val="22"/>
          <w:color w:val="auto"/>
        </w:rPr>
      </w:pPr>
    </w:p>
    <w:p>
      <w:pPr>
        <w:ind w:firstLine="656"/>
        <w:spacing w:after="0" w:line="334" w:lineRule="auto"/>
        <w:tabs>
          <w:tab w:leader="none" w:pos="1227"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 xml:space="preserve">“Plan Administrator” </w:t>
      </w:r>
      <w:r>
        <w:rPr>
          <w:rFonts w:ascii="Arial" w:cs="Arial" w:eastAsia="Arial" w:hAnsi="Arial"/>
          <w:sz w:val="19"/>
          <w:szCs w:val="19"/>
          <w:color w:val="auto"/>
        </w:rPr>
        <w:t>is the Company, and may include an employee or committee of employees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any subsidiary thereof that has been appointed by the Company to serve as the plan administrator of the Plan.</w:t>
      </w:r>
    </w:p>
    <w:p>
      <w:pPr>
        <w:spacing w:after="0" w:line="93" w:lineRule="exact"/>
        <w:rPr>
          <w:rFonts w:ascii="Arial" w:cs="Arial" w:eastAsia="Arial" w:hAnsi="Arial"/>
          <w:sz w:val="19"/>
          <w:szCs w:val="19"/>
          <w:color w:val="auto"/>
        </w:rPr>
      </w:pPr>
    </w:p>
    <w:p>
      <w:pPr>
        <w:jc w:val="both"/>
        <w:ind w:firstLine="656"/>
        <w:spacing w:after="0" w:line="243" w:lineRule="auto"/>
        <w:tabs>
          <w:tab w:leader="none" w:pos="1256"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“Plan Agent” </w:t>
      </w:r>
      <w:r>
        <w:rPr>
          <w:rFonts w:ascii="Arial" w:cs="Arial" w:eastAsia="Arial" w:hAnsi="Arial"/>
          <w:sz w:val="22"/>
          <w:szCs w:val="22"/>
          <w:color w:val="auto"/>
        </w:rPr>
        <w:t>is the financial services firm or other entity duly appointed by the Plan Administrator to (i)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funds contributed by Participants and Participating Employers, (ii) purchase shares of Stock with funds contributed by Participants and Participating Employers, and (iii) maintain Participant Accounts.</w:t>
      </w:r>
    </w:p>
    <w:p>
      <w:pPr>
        <w:spacing w:after="0" w:line="176" w:lineRule="exact"/>
        <w:rPr>
          <w:rFonts w:ascii="Arial" w:cs="Arial" w:eastAsia="Arial" w:hAnsi="Arial"/>
          <w:sz w:val="22"/>
          <w:szCs w:val="22"/>
          <w:color w:val="auto"/>
        </w:rPr>
      </w:pPr>
    </w:p>
    <w:p>
      <w:pPr>
        <w:ind w:firstLine="656"/>
        <w:spacing w:after="0" w:line="256" w:lineRule="auto"/>
        <w:tabs>
          <w:tab w:leader="none" w:pos="1251"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“Prospectus” </w:t>
      </w:r>
      <w:r>
        <w:rPr>
          <w:rFonts w:ascii="Arial" w:cs="Arial" w:eastAsia="Arial" w:hAnsi="Arial"/>
          <w:sz w:val="22"/>
          <w:szCs w:val="22"/>
          <w:color w:val="auto"/>
        </w:rPr>
        <w:t>is the prospectus, as in effect from time to time, which describes the Plan and which is delivered to</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Participants with respect to the purchase of Stock under the Plan.</w:t>
      </w:r>
    </w:p>
    <w:p>
      <w:pPr>
        <w:spacing w:after="0" w:line="162" w:lineRule="exact"/>
        <w:rPr>
          <w:rFonts w:ascii="Arial" w:cs="Arial" w:eastAsia="Arial" w:hAnsi="Arial"/>
          <w:sz w:val="22"/>
          <w:szCs w:val="22"/>
          <w:color w:val="auto"/>
        </w:rPr>
      </w:pPr>
    </w:p>
    <w:p>
      <w:pPr>
        <w:ind w:left="1240" w:hanging="584"/>
        <w:spacing w:after="0"/>
        <w:tabs>
          <w:tab w:leader="none" w:pos="1240"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 xml:space="preserve">“Restatement Effective Date” </w:t>
      </w:r>
      <w:r>
        <w:rPr>
          <w:rFonts w:ascii="Arial" w:cs="Arial" w:eastAsia="Arial" w:hAnsi="Arial"/>
          <w:sz w:val="19"/>
          <w:szCs w:val="19"/>
          <w:color w:val="auto"/>
        </w:rPr>
        <w:t>is November 17, 2017, the date this amended and restated Plan became effective.</w:t>
      </w:r>
    </w:p>
    <w:p>
      <w:pPr>
        <w:spacing w:after="0" w:line="240" w:lineRule="exact"/>
        <w:rPr>
          <w:rFonts w:ascii="Arial" w:cs="Arial" w:eastAsia="Arial" w:hAnsi="Arial"/>
          <w:sz w:val="19"/>
          <w:szCs w:val="19"/>
          <w:color w:val="auto"/>
        </w:rPr>
      </w:pPr>
    </w:p>
    <w:p>
      <w:pPr>
        <w:ind w:left="1240" w:hanging="584"/>
        <w:spacing w:after="0"/>
        <w:tabs>
          <w:tab w:leader="none" w:pos="1240"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is the ordinary shares of Pentair plc, nominal value $0.01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All Eligible Employees of a Participating Employer may elect to participate in the Plan after the Restatement Effective Date upon the attainment of age eighteen (18). Notwithstanding the foregoing, all Participants in the Plan as of the date immediately preceding the Restatement Effective Date automatically shall be considered Participants hereunder on the Restatement Effective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Plan participation is voluntary and Eligible Employees do not automatically become Participants upon meeting the Plan’s eligibility requirements, except as set forth in Section 3.1. An Eligible Employee, who has met the Plan’s eligibility requirements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102" w:name="page103"/>
    <w:bookmarkEnd w:id="102"/>
    <w:p>
      <w:pPr>
        <w:jc w:val="both"/>
        <w:spacing w:after="0" w:line="287" w:lineRule="auto"/>
        <w:rPr>
          <w:sz w:val="20"/>
          <w:szCs w:val="20"/>
          <w:color w:val="auto"/>
        </w:rPr>
      </w:pPr>
      <w:r>
        <w:rPr>
          <w:rFonts w:ascii="Arial" w:cs="Arial" w:eastAsia="Arial" w:hAnsi="Arial"/>
          <w:sz w:val="19"/>
          <w:szCs w:val="19"/>
          <w:color w:val="auto"/>
        </w:rPr>
        <w:t>described in Section 3, may commence Plan participation after the Restatement Effective Date by delivering an authorization for deductions from such individual’s Compensation, in accordance with procedures established by the Plan Administrator. Notwithstanding the foregoing, the deduction authorization in effect for each Participant in the Plan as of the Restatement Effective Date automatically shall be given effect hereunder on and after the Restatement Effective Date.</w:t>
      </w:r>
    </w:p>
    <w:p>
      <w:pPr>
        <w:spacing w:after="0" w:line="13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u w:val="single" w:color="auto"/>
          <w:color w:val="auto"/>
        </w:rPr>
        <w:t>Withdrawal from Participation</w:t>
      </w:r>
      <w:r>
        <w:rPr>
          <w:rFonts w:ascii="Arial" w:cs="Arial" w:eastAsia="Arial" w:hAnsi="Arial"/>
          <w:sz w:val="22"/>
          <w:szCs w:val="22"/>
          <w:color w:val="auto"/>
        </w:rPr>
        <w:t>. A Participant may elect to cease participation under the Plan at any time, even though he or she remains an Eligible Employee of the Company or a Participating Employer, by giving written notice of withdrawal in accordance with procedures established by the Plan Administrator. Such an individual may elect to resume participation in the Plan at any time in accordance with procedures established by Plan Administrator, provided he or she is an Eligible Employee at the time participation resumes.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CONTRIBUTIONS</w:t>
      </w:r>
    </w:p>
    <w:p>
      <w:pPr>
        <w:spacing w:after="0" w:line="1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u w:val="single" w:color="auto"/>
          <w:color w:val="auto"/>
        </w:rPr>
        <w:t>Participant Contributions</w:t>
      </w:r>
      <w:r>
        <w:rPr>
          <w:rFonts w:ascii="Arial" w:cs="Arial" w:eastAsia="Arial" w:hAnsi="Arial"/>
          <w:sz w:val="21"/>
          <w:szCs w:val="21"/>
          <w:color w:val="auto"/>
        </w:rPr>
        <w:t>. A Participant may authorize his or her employer to make a deduction from each paycheck for purposes of purchasing Stock as a percentage of Compensation, in accordance with Section 4.1. The minimum deduction allowed is 0.01% of Compensation per month; the maximum deduction allowed is 15% of such Participant’s Compensation (up to a maximum payroll deduction per consecutive 12 month period of US$9,000 for Participants that are employed in the United States and CA$11,000 for Participants that are employed in Canada, which may be implemented on an annual, per month or per payroll period basis as determined by the Company). A Participant may change the amount of his or her payroll deduction at any time in accordance with procedures established by the Plan Administrator, and such change shall be effective as soon as practicable thereafter. Until such contributions are transferred to the Plan Agent for purposes of purchasing Stock under the Plan at the time or times determined by the Plan Administrator and in accordance with Section 6, the amounts so collected may be commingled with the general assets of the Company and used for general purposes and no interest shall be paid in connection with such amounts.</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Employer Bonus Contribution</w:t>
      </w:r>
      <w:r>
        <w:rPr>
          <w:rFonts w:ascii="Arial" w:cs="Arial" w:eastAsia="Arial" w:hAnsi="Arial"/>
          <w:sz w:val="19"/>
          <w:szCs w:val="19"/>
          <w:color w:val="auto"/>
        </w:rPr>
        <w:t>. At the time or times determined by the Plan Administrator, the Company and Participating Employers shall pay to the Plan Agent on behalf of each Participant employed by such employer an amount equal to twenty-five percent (25%) of the contributions made by such Participant through payroll deductions from Compensation.</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Dividends</w:t>
      </w:r>
      <w:r>
        <w:rPr>
          <w:rFonts w:ascii="Arial" w:cs="Arial" w:eastAsia="Arial" w:hAnsi="Arial"/>
          <w:sz w:val="22"/>
          <w:szCs w:val="22"/>
          <w:color w:val="auto"/>
        </w:rPr>
        <w:t>. Cash dividends paid on Stock held in a Participant’s Account shall, as elected by the Participant in accordance with procedures established by the Plan Administrator, be used by the Plan Agent to purchase additional shares of Stock on behalf of such Participant or paid directly to the Participant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03" w:name="page104"/>
    <w:bookmarkEnd w:id="103"/>
    <w:p>
      <w:pPr>
        <w:jc w:val="center"/>
        <w:ind w:left="640"/>
        <w:spacing w:after="0"/>
        <w:rPr>
          <w:sz w:val="20"/>
          <w:szCs w:val="20"/>
          <w:color w:val="auto"/>
        </w:rPr>
      </w:pPr>
      <w:r>
        <w:rPr>
          <w:rFonts w:ascii="Arial" w:cs="Arial" w:eastAsia="Arial" w:hAnsi="Arial"/>
          <w:sz w:val="22"/>
          <w:szCs w:val="22"/>
          <w:b w:val="1"/>
          <w:bCs w:val="1"/>
          <w:color w:val="auto"/>
        </w:rPr>
        <w:t>SECTION 6</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PURCHASE OF STOCK</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Participant Accounts</w:t>
      </w:r>
      <w:r>
        <w:rPr>
          <w:rFonts w:ascii="Arial" w:cs="Arial" w:eastAsia="Arial" w:hAnsi="Arial"/>
          <w:sz w:val="22"/>
          <w:szCs w:val="22"/>
          <w:color w:val="auto"/>
        </w:rPr>
        <w:t>. The Plan Agent shall establish for each Participant an Account to hold the Stock purchased on behalf of such Participant. All Stock and other amounts allocated to such Account shall at all times be fully vested and nonforfeitable.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u w:val="single" w:color="auto"/>
          <w:color w:val="auto"/>
        </w:rPr>
        <w:t>Purchasing Stock</w:t>
      </w:r>
      <w:r>
        <w:rPr>
          <w:rFonts w:ascii="Arial" w:cs="Arial" w:eastAsia="Arial" w:hAnsi="Arial"/>
          <w:sz w:val="21"/>
          <w:szCs w:val="21"/>
          <w:color w:val="auto"/>
        </w:rPr>
        <w:t>. The Plan Agent shall use all Participant and employer contributions, and including cash dividends (if so elected in accordance with Section 5.3), to purchase Stock on the open market. The Plan Agent shall make all such purchases on a single business day or over a number of business days in the month, as agreed to by the Plan Agent and the Plan Administrator. The Stock so purchased shall be allocated to the Participant’s Account on behalf of whom purchases were made based on (i) the actual purchase price for such Stock, in such case where the Plan Agent makes a single purchase of Stock under the Plan in one day or (ii) an average purchase price, as determined by the Plan Administrator and the Plan Agent, in the case where multiple purchases are made on one or more than one day. No interest shall be paid on cash amounts (if any) held by the Plan Agent regardless of whether such cash is being held in anticipation of the date on which Stock purchases shall be made or held pending a refund to a terminating Participant.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ENDING PARTICIPATION</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A Participant may elect to discontinue Plan participation even though he or she remains an Eligible Employee of the Company or a Participating Employer. In addition, a Participant may cease Plan participation by reason of becoming an Employee of an Affiliated Company that is not a Participating Employer, by joining a group of Employees who are not Eligible Employees, or by qualifying for benefits under a long-term disability plan maintained by the Company or a Participating Employer. At such time as a Participant shall cease employment with the Company and all Affiliated Companies, Plan participation shall cease. In accordance with procedures established by the Plan Administrator, any contributions made by a Participant prior to discontinuing participation in the Plan shall be used to purchase Stock in accordance with Section 6 hereunder.</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u w:val="single" w:color="auto"/>
          <w:color w:val="auto"/>
        </w:rPr>
        <w:t>Discontinuing Participation</w:t>
      </w:r>
      <w:r>
        <w:rPr>
          <w:rFonts w:ascii="Arial" w:cs="Arial" w:eastAsia="Arial" w:hAnsi="Arial"/>
          <w:sz w:val="21"/>
          <w:szCs w:val="21"/>
          <w:color w:val="auto"/>
        </w:rPr>
        <w:t>. An individual may, in accordance with procedures established by the Plan Administrator, elect to cease making contributions under the Plan, even though he or she remains an Eligible Employee of the Company or a Participating Employer. In addition, a Participant who ceases earning Compensation (as determined by the Plan Administrator), for example, a Participant who commences an unpaid leave of absence or other type of leave under which he or she no longer earns compensation that has been determined by the Plan Administrator to be Compensation for purposes under the Plan, shall automatically cease making contributions under the Plan.</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u w:val="single" w:color="auto"/>
          <w:color w:val="auto"/>
        </w:rPr>
        <w:t>Ceasing to be an Eligible Employee</w:t>
      </w:r>
      <w:r>
        <w:rPr>
          <w:rFonts w:ascii="Arial" w:cs="Arial" w:eastAsia="Arial" w:hAnsi="Arial"/>
          <w:sz w:val="22"/>
          <w:szCs w:val="22"/>
          <w:color w:val="auto"/>
        </w:rPr>
        <w:t>. Participants who cease to be Eligible Employees but remain Employees of the Company or an Affiliated Company shall automatically cease making contributions under the Plan effective as soon as administratively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SECTION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DISPOSITION OF ACCOUNTS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Participant shall be eligible to receive a distribution of his or her Account in accordance with procedures established by the Plan Agent.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8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u w:val="single" w:color="auto"/>
          <w:color w:val="auto"/>
        </w:rPr>
        <w:t>Term of Plan</w:t>
      </w:r>
      <w:r>
        <w:rPr>
          <w:rFonts w:ascii="Arial" w:cs="Arial" w:eastAsia="Arial" w:hAnsi="Arial"/>
          <w:sz w:val="22"/>
          <w:szCs w:val="22"/>
          <w:color w:val="auto"/>
        </w:rPr>
        <w:t>. Subject to the approval of the Plan by the shareholders of the Company at the 2021 Annual General Meeting of Shareholders of the Company, this Plan shall terminate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of such meeting, unless the Plan is earlier terminated as provided in Section 10.6.</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Upon completing the eligibility requirements described in Section 3, an Eligible Employee shall receive from the Plan Administrator or its delegate a copy of the Prospectus, which describes the Plan.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u w:val="single" w:color="auto"/>
          <w:color w:val="auto"/>
        </w:rPr>
        <w:t>Reporting</w:t>
      </w:r>
      <w:r>
        <w:rPr>
          <w:rFonts w:ascii="Arial" w:cs="Arial" w:eastAsia="Arial" w:hAnsi="Arial"/>
          <w:sz w:val="22"/>
          <w:szCs w:val="22"/>
          <w:color w:val="auto"/>
        </w:rPr>
        <w:t>. The Plan Agent shall provide to each Participant quarterly, or at such other intervals as may be necessary or appropriate, the following information:</w:t>
      </w:r>
    </w:p>
    <w:p>
      <w:pPr>
        <w:spacing w:after="0" w:line="168" w:lineRule="exact"/>
        <w:rPr>
          <w:sz w:val="20"/>
          <w:szCs w:val="20"/>
          <w:color w:val="auto"/>
        </w:rPr>
      </w:pPr>
    </w:p>
    <w:p>
      <w:pPr>
        <w:ind w:left="660" w:hanging="4"/>
        <w:spacing w:after="0" w:line="250" w:lineRule="auto"/>
        <w:tabs>
          <w:tab w:leader="none" w:pos="120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total amount contributed to each Participant’s Account for such quarter, whether by payroll deduction, or the Participant’s employer;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number of shares of Stock purchased on behalf of the Participant with all of such contributions; and</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total number of shares of Stock then allocated to the Participant’s Account.</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b w:val="1"/>
          <w:bCs w:val="1"/>
          <w:u w:val="single" w:color="auto"/>
          <w:color w:val="auto"/>
        </w:rPr>
        <w:t>Voting of Stock in Accounts</w:t>
      </w:r>
      <w:r>
        <w:rPr>
          <w:rFonts w:ascii="Arial" w:cs="Arial" w:eastAsia="Arial" w:hAnsi="Arial"/>
          <w:sz w:val="21"/>
          <w:szCs w:val="21"/>
          <w:color w:val="auto"/>
        </w:rPr>
        <w:t>. Participants will not have any voting, dividend or other rights of a shareholder with respect to shares of Stock subject to this Plan until such shares have been delivered to the Participant’s Account. Once the Stock is delivered to the Participant’s Account, he or she will be entitled to all notices and correspondence provided to any shareholder of record who is not a Participant, including proxy statements. The Plan Agent shall be responsible for soliciting and receiving proxy instructions from each Participant and shall vote the Stock allocated to each Participant’s Account in accordance with the instructions, if any, provided by such Participant.</w:t>
      </w:r>
    </w:p>
    <w:p>
      <w:pPr>
        <w:spacing w:after="0" w:line="17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u w:val="single" w:color="auto"/>
          <w:color w:val="auto"/>
        </w:rPr>
        <w:t>Fees and Commissions</w:t>
      </w:r>
      <w:r>
        <w:rPr>
          <w:rFonts w:ascii="Arial" w:cs="Arial" w:eastAsia="Arial" w:hAnsi="Arial"/>
          <w:sz w:val="19"/>
          <w:szCs w:val="19"/>
          <w:color w:val="auto"/>
        </w:rPr>
        <w:t>. Unless otherwise determined by the Plan Administrator, the Company shall pay commissions, service charges or other costs incurred with respect to the purchase of Stock for purposes of the Plan. Unless otherwise determined by the Plan Administrator, when any such Stock in an Account is sold or the Participant ceases to be an Employee of the Company or an Affiliate Company, the Participant is responsible for payment of any commissions, service charges or other costs incurred on account of such sale or ongoing administration of his or her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SECTION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u w:val="single" w:color="auto"/>
          <w:color w:val="auto"/>
        </w:rPr>
        <w:t>Voluntary Participation</w:t>
      </w:r>
      <w:r>
        <w:rPr>
          <w:rFonts w:ascii="Arial" w:cs="Arial" w:eastAsia="Arial" w:hAnsi="Arial"/>
          <w:sz w:val="22"/>
          <w:szCs w:val="22"/>
          <w:color w:val="auto"/>
        </w:rPr>
        <w:t>. Participation in the Plan is entirely voluntary, and by maintaining the Plan the Company is not making a recommendation as to whether any Eligible Employee should invest in Stock. Investment in any stock involves risk, and each Eligible Employee must decide whether to accept the risk of investing in Stock.</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u w:val="single" w:color="auto"/>
          <w:color w:val="auto"/>
        </w:rPr>
        <w:t>Employee Rights</w:t>
      </w:r>
      <w:r>
        <w:rPr>
          <w:rFonts w:ascii="Arial" w:cs="Arial" w:eastAsia="Arial" w:hAnsi="Arial"/>
          <w:sz w:val="22"/>
          <w:szCs w:val="22"/>
          <w:color w:val="auto"/>
        </w:rPr>
        <w:t>. The right of the Company or an Affiliated Company to discipline or discharge Employees, or to exercise rights related to the tenure of any individual’s employment, shall not be affected in any manner by reason of the existence of the Plan or any action taken pursuant to the Plan.</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The Plan Administrator shall have full power and authority to interpret and construe the Plan, to adopt rules and regulations not inconsistent with the Plan for purposes of administering the Plan with respect to matters not specifically covered in the Plan document and to amend and revoke any rules and regulations so adopted. Except as otherwise provided in the Plan, any interpretation of the Plan and any decision on any matter within the discretion of the Plan Administrator which is made in good faith by the Plan Administrator shall be final and binding.</w:t>
      </w:r>
    </w:p>
    <w:p>
      <w:pPr>
        <w:spacing w:after="0" w:line="16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Section and subsection headings are for convenience of reference and not part of this Plan, and shall not influence its interpretation. Wherever any words are used in the Plan in the singular, masculine, feminine or neuter form, they shall be construed as though they were also used in the plural, feminine, masculine or non-neuter form, respectively, in all cases where such interpretation is reasonable.</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u w:val="single" w:color="auto"/>
          <w:color w:val="auto"/>
        </w:rPr>
        <w:t>Plan Amendment</w:t>
      </w:r>
      <w:r>
        <w:rPr>
          <w:rFonts w:ascii="Arial" w:cs="Arial" w:eastAsia="Arial" w:hAnsi="Arial"/>
          <w:sz w:val="22"/>
          <w:szCs w:val="22"/>
          <w:color w:val="auto"/>
        </w:rPr>
        <w:t>. The Company may, by written resolution of its Board of Directors or through action of the Compensation Committee of such Board (or their delegate), at any time and from time to time, amend the Plan in whole or in part.</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u w:val="single" w:color="auto"/>
          <w:color w:val="auto"/>
        </w:rPr>
        <w:t>Plan Termination</w:t>
      </w:r>
      <w:r>
        <w:rPr>
          <w:rFonts w:ascii="Arial" w:cs="Arial" w:eastAsia="Arial" w:hAnsi="Arial"/>
          <w:sz w:val="22"/>
          <w:szCs w:val="22"/>
          <w:color w:val="auto"/>
        </w:rPr>
        <w:t>. The Company may, by written resolution of its Board of Directors or through action of the Compensation Committee of such Board, terminate the Plan at any time. In the event the Plan terminates, the Participant’s Account shall be handled in the same manner as if the Participant had terminated employment with the Company and all Affiliated Companies.</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u w:val="single" w:color="auto"/>
          <w:color w:val="auto"/>
        </w:rPr>
        <w:t>Choice of Law</w:t>
      </w:r>
      <w:r>
        <w:rPr>
          <w:rFonts w:ascii="Arial" w:cs="Arial" w:eastAsia="Arial" w:hAnsi="Arial"/>
          <w:sz w:val="22"/>
          <w:szCs w:val="22"/>
          <w:color w:val="auto"/>
        </w:rPr>
        <w:t>. To the extent not preempted by applicable federal law, the construction and interpretation of the Plan shall be made in accordance with the laws of the State of Minnesota, but without regard to any choice or conflict of laws provisions thereof.</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b w:val="1"/>
          <w:bCs w:val="1"/>
          <w:u w:val="single" w:color="auto"/>
          <w:color w:val="auto"/>
        </w:rPr>
        <w:t>Acceptance of Terms</w:t>
      </w:r>
      <w:r>
        <w:rPr>
          <w:rFonts w:ascii="Arial" w:cs="Arial" w:eastAsia="Arial" w:hAnsi="Arial"/>
          <w:sz w:val="22"/>
          <w:szCs w:val="22"/>
          <w:color w:val="auto"/>
        </w:rPr>
        <w:t>. By electing to participate in the Plan, each Participant shall be deemed to have accepted all of the provisions of the Plan, and the terms and conditions set forth by the Plan Agent, and to have agreed to be fully bound thereby.</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b w:val="1"/>
          <w:bCs w:val="1"/>
          <w:u w:val="single" w:color="auto"/>
          <w:color w:val="auto"/>
        </w:rPr>
        <w:t>Computational Errors</w:t>
      </w:r>
      <w:r>
        <w:rPr>
          <w:rFonts w:ascii="Arial" w:cs="Arial" w:eastAsia="Arial" w:hAnsi="Arial"/>
          <w:sz w:val="22"/>
          <w:szCs w:val="22"/>
          <w:color w:val="auto"/>
        </w:rPr>
        <w:t>. In the event mathematical, accounting, or similar errors are made in maintaining Participant Accounts, the Plan Administrator or the Plan Agent,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the case may be, may make such equitable adjustments as it deems appropriate to correct such errors.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b w:val="1"/>
          <w:bCs w:val="1"/>
          <w:u w:val="single" w:color="auto"/>
          <w:color w:val="auto"/>
        </w:rPr>
        <w:t>Communications</w:t>
      </w:r>
      <w:r>
        <w:rPr>
          <w:rFonts w:ascii="Arial" w:cs="Arial" w:eastAsia="Arial" w:hAnsi="Arial"/>
          <w:sz w:val="22"/>
          <w:szCs w:val="22"/>
          <w:color w:val="auto"/>
        </w:rPr>
        <w:t>. The Company, a Participating Employer or the Plan Agent may, unless otherwise prescribed by any applicable state or federal law or regulation, provide the Prospectus and any notices, forms or reports by using either paper or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107" w:name="page108"/>
    <w:bookmarkEnd w:id="107"/>
    <w:p>
      <w:pPr>
        <w:spacing w:after="0" w:line="250" w:lineRule="auto"/>
        <w:rPr>
          <w:sz w:val="20"/>
          <w:szCs w:val="20"/>
          <w:color w:val="auto"/>
        </w:rPr>
      </w:pPr>
      <w:r>
        <w:rPr>
          <w:rFonts w:ascii="Arial" w:cs="Arial" w:eastAsia="Arial" w:hAnsi="Arial"/>
          <w:sz w:val="22"/>
          <w:szCs w:val="22"/>
          <w:color w:val="auto"/>
        </w:rPr>
        <w:t>The undersigned, by authority of the Board of Directors of Pentair plc, does hereby execute the foregoing document for and on behalf of Pentair plc effective as of January 1, 2021.</w:t>
      </w: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PENTAIR PLC</w:t>
      </w:r>
    </w:p>
    <w:p>
      <w:pPr>
        <w:spacing w:after="0" w:line="29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22"/>
          <w:szCs w:val="22"/>
          <w:color w:val="auto"/>
        </w:rPr>
        <w:t>By</w:t>
        <w:tab/>
        <w:t>/s/ Karla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15875</wp:posOffset>
            </wp:positionV>
            <wp:extent cx="3694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Karla Robertson</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General Counsel, Secretary and</w:t>
      </w:r>
    </w:p>
    <w:p>
      <w:pPr>
        <w:spacing w:after="0" w:line="1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Chief Social Responsibility Officer</w:t>
      </w:r>
    </w:p>
    <w:p>
      <w:pPr>
        <w:sectPr>
          <w:pgSz w:w="11900" w:h="16838" w:orient="portrait"/>
          <w:cols w:equalWidth="0" w:num="1">
            <w:col w:w="11220"/>
          </w:cols>
          <w:pgMar w:left="320" w:top="1414" w:right="35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10.30</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PENTAIR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EXECUTIVE OFFICER SEVERANCE PLAN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SUMMARY PLAN DESCRIPTION</w:t>
      </w:r>
    </w:p>
    <w:p>
      <w:pPr>
        <w:spacing w:after="0" w:line="200" w:lineRule="exact"/>
        <w:rPr>
          <w:sz w:val="20"/>
          <w:szCs w:val="20"/>
          <w:color w:val="auto"/>
        </w:rPr>
      </w:pPr>
    </w:p>
    <w:p>
      <w:pPr>
        <w:spacing w:after="0" w:line="260" w:lineRule="exact"/>
        <w:rPr>
          <w:sz w:val="20"/>
          <w:szCs w:val="20"/>
          <w:color w:val="auto"/>
        </w:rPr>
      </w:pPr>
    </w:p>
    <w:p>
      <w:pPr>
        <w:ind w:left="2480"/>
        <w:spacing w:after="0"/>
        <w:rPr>
          <w:sz w:val="20"/>
          <w:szCs w:val="20"/>
          <w:color w:val="auto"/>
        </w:rPr>
      </w:pPr>
      <w:r>
        <w:rPr>
          <w:rFonts w:ascii="Arial" w:cs="Arial" w:eastAsia="Arial" w:hAnsi="Arial"/>
          <w:sz w:val="21"/>
          <w:szCs w:val="21"/>
          <w:b w:val="1"/>
          <w:bCs w:val="1"/>
          <w:color w:val="auto"/>
        </w:rPr>
        <w:t>(As amended and restated February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20"/>
          </w:cols>
          <w:pgMar w:left="1440" w:top="11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PENTAIR plc</w:t>
      </w:r>
    </w:p>
    <w:p>
      <w:pPr>
        <w:spacing w:after="0" w:line="26" w:lineRule="exact"/>
        <w:rPr>
          <w:sz w:val="20"/>
          <w:szCs w:val="20"/>
          <w:color w:val="auto"/>
        </w:rPr>
      </w:pPr>
    </w:p>
    <w:p>
      <w:pPr>
        <w:ind w:left="3540"/>
        <w:spacing w:after="0"/>
        <w:rPr>
          <w:sz w:val="20"/>
          <w:szCs w:val="20"/>
          <w:color w:val="auto"/>
        </w:rPr>
      </w:pPr>
      <w:r>
        <w:rPr>
          <w:rFonts w:ascii="Arial" w:cs="Arial" w:eastAsia="Arial" w:hAnsi="Arial"/>
          <w:sz w:val="21"/>
          <w:szCs w:val="21"/>
          <w:b w:val="1"/>
          <w:bCs w:val="1"/>
          <w:color w:val="auto"/>
        </w:rPr>
        <w:t>EXECUTIVE OFFICER SEVERANCE PLAN</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(As amended and restated February 15, 2021)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(Originally Effective January 1, 2021; Amended and Restated February 15, 2021)</w:t>
      </w:r>
    </w:p>
    <w:p>
      <w:pPr>
        <w:spacing w:after="0" w:line="25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purpose of this Pentair plc Executive Officer Severance Plan (the “Executive Officer Plan”) is to provide certain Eligible Employees with severance benefits, as set forth in this Executive Officer Plan. It is the intention of Pentair that the Executive Officer Plan comply with the applicable provisions of the Code, including Section 409A (to the extent applicable), and that this Executive Officer Plan is an employee welfare benefit plan for purposes of ERISA.</w:t>
      </w:r>
    </w:p>
    <w:p>
      <w:pPr>
        <w:spacing w:after="0" w:line="21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This document serves as the written “plan document” for the Executive Officer Plan under ERISA. This document also serves as the “summary plan description” of the Executive Officer Plan for purposes of ERISA.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terms used throughout the Executive Officer Plan have a specific meaning when used with initial capital letters.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Affiliated Company.</w:t>
      </w:r>
      <w:r>
        <w:rPr>
          <w:rFonts w:ascii="Arial" w:cs="Arial" w:eastAsia="Arial" w:hAnsi="Arial"/>
          <w:sz w:val="21"/>
          <w:szCs w:val="21"/>
          <w:color w:val="auto"/>
        </w:rPr>
        <w:t xml:space="preserve"> “Affiliated Company” means:</w:t>
      </w:r>
    </w:p>
    <w:p>
      <w:pPr>
        <w:spacing w:after="0" w:line="245" w:lineRule="exact"/>
        <w:rPr>
          <w:sz w:val="20"/>
          <w:szCs w:val="20"/>
          <w:color w:val="auto"/>
        </w:rPr>
      </w:pPr>
    </w:p>
    <w:p>
      <w:pPr>
        <w:jc w:val="both"/>
        <w:ind w:left="1300" w:hanging="644"/>
        <w:spacing w:after="0" w:line="252" w:lineRule="auto"/>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corporation or business located in and organized under the laws of one of the United States which is a member of a controlled group of corporations or businesses (within the meaning of Code section 414(b) or (c)) that includes Pentair, but only during the periods such affiliation exists; or</w:t>
      </w:r>
    </w:p>
    <w:p>
      <w:pPr>
        <w:spacing w:after="0" w:line="211" w:lineRule="exact"/>
        <w:rPr>
          <w:rFonts w:ascii="Arial" w:cs="Arial" w:eastAsia="Arial" w:hAnsi="Arial"/>
          <w:sz w:val="21"/>
          <w:szCs w:val="21"/>
          <w:color w:val="auto"/>
        </w:rPr>
      </w:pPr>
    </w:p>
    <w:p>
      <w:pPr>
        <w:ind w:left="1300" w:hanging="644"/>
        <w:spacing w:after="0" w:line="264" w:lineRule="auto"/>
        <w:tabs>
          <w:tab w:leader="none" w:pos="1298"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other entity in which Pentair may have a significant ownership interest, and which the Plan Administrator determines shall be an Affiliated Company for purposes of the Executive Officer Plan.</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Annual Base Salary.</w:t>
      </w:r>
      <w:r>
        <w:rPr>
          <w:rFonts w:ascii="Arial" w:cs="Arial" w:eastAsia="Arial" w:hAnsi="Arial"/>
          <w:sz w:val="21"/>
          <w:szCs w:val="21"/>
          <w:color w:val="auto"/>
        </w:rPr>
        <w:t xml:space="preserve"> “Annual Base Salary” means the Participant’s annual base salary rate in effect as of the Participant’s Separation Date.</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Annual Bonus Target Amount.</w:t>
      </w:r>
      <w:r>
        <w:rPr>
          <w:rFonts w:ascii="Arial" w:cs="Arial" w:eastAsia="Arial" w:hAnsi="Arial"/>
          <w:sz w:val="21"/>
          <w:szCs w:val="21"/>
          <w:color w:val="auto"/>
        </w:rPr>
        <w:t xml:space="preserve"> “Annual Bonus Target Amount” means 100% of the Participant’s annual target bonus under the annual incentive plan in which Participant is a participant as of the Participant’s Separation Date; provided that if the Participant’s annual target bonus for the fiscal year in which the Participant’s Separation Date occurs has not yet been established as of such Separation Date, then “Annual Bonus Target Amount” shall mean 100% of the Participant’s annual target bonus under the annual incentive plan in which Participant was a participant for the fiscal year immediately prior to the fiscal year in which the Participant’s Separation Date occurs.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“Board” means the Board of Directors of Pentair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Cause.</w:t>
      </w:r>
      <w:r>
        <w:rPr>
          <w:rFonts w:ascii="Arial" w:cs="Arial" w:eastAsia="Arial" w:hAnsi="Arial"/>
          <w:sz w:val="21"/>
          <w:szCs w:val="21"/>
          <w:color w:val="auto"/>
        </w:rPr>
        <w:t xml:space="preserve"> “Cause” means the occurrence of any of the following events as determined by the Board in its sole discretion:</w:t>
      </w:r>
    </w:p>
    <w:p>
      <w:pPr>
        <w:spacing w:after="0" w:line="198" w:lineRule="exact"/>
        <w:rPr>
          <w:sz w:val="20"/>
          <w:szCs w:val="20"/>
          <w:color w:val="auto"/>
        </w:rPr>
      </w:pPr>
    </w:p>
    <w:p>
      <w:pPr>
        <w:jc w:val="both"/>
        <w:ind w:left="1300" w:hanging="644"/>
        <w:spacing w:after="0" w:line="252"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Eligible Employee’s breach of any written agreement with Pentair or any Affiliated Company, including any Restrictive Covenants Agreement, which is not remedied (if capable of being remedied) by the Eligible Employee within thirty (30) days after the Eligible Employee’s receipt of written notice thereof;</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an act or acts of dishonesty, fraud or breach of fiduciary duty by the Eligible Employee;</w:t>
      </w:r>
    </w:p>
    <w:p>
      <w:pPr>
        <w:spacing w:after="0" w:line="217" w:lineRule="exact"/>
        <w:rPr>
          <w:rFonts w:ascii="Arial" w:cs="Arial" w:eastAsia="Arial" w:hAnsi="Arial"/>
          <w:sz w:val="21"/>
          <w:szCs w:val="21"/>
          <w:color w:val="auto"/>
        </w:rPr>
      </w:pPr>
    </w:p>
    <w:p>
      <w:pPr>
        <w:jc w:val="both"/>
        <w:ind w:left="1300" w:hanging="644"/>
        <w:spacing w:after="0" w:line="252"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failure by the Eligible Employee to satisfactorily perform the duties of the Eligible Employee’s employment, which failure is demonstrably willful and deliberate on the part of the Eligible Employee and constitutes neglect of duties by the Eligible Employee;</w:t>
      </w:r>
    </w:p>
    <w:p>
      <w:pPr>
        <w:spacing w:after="0" w:line="184" w:lineRule="exact"/>
        <w:rPr>
          <w:rFonts w:ascii="Arial" w:cs="Arial" w:eastAsia="Arial" w:hAnsi="Arial"/>
          <w:sz w:val="21"/>
          <w:szCs w:val="21"/>
          <w:color w:val="auto"/>
        </w:rPr>
      </w:pPr>
    </w:p>
    <w:p>
      <w:pPr>
        <w:jc w:val="both"/>
        <w:ind w:left="1300" w:hanging="644"/>
        <w:spacing w:after="0" w:line="249" w:lineRule="auto"/>
        <w:tabs>
          <w:tab w:leader="none" w:pos="1298"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Eligible Employee’s violation of any anti-harassment, anti-discrimination, or anti-retaliation policy of Pentair or any Affiliated Company, or the Eligible Employee’s material violation of any other applicable policy of Pentair or any Affiliated Company, including without limitation any such other policy included in any applicable employee handbook or in Pentair’s Code of Business Conduct and Compliance Policies; or</w:t>
      </w:r>
    </w:p>
    <w:p>
      <w:pPr>
        <w:spacing w:after="0" w:line="185" w:lineRule="exact"/>
        <w:rPr>
          <w:rFonts w:ascii="Arial" w:cs="Arial" w:eastAsia="Arial" w:hAnsi="Arial"/>
          <w:sz w:val="21"/>
          <w:szCs w:val="21"/>
          <w:color w:val="auto"/>
        </w:rPr>
      </w:pPr>
    </w:p>
    <w:p>
      <w:pPr>
        <w:jc w:val="both"/>
        <w:ind w:left="1300" w:hanging="644"/>
        <w:spacing w:after="0" w:line="252"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misconduct by the Eligible Employee, whether related to employment or otherwise, that is detrimental to, or Pentair determines is reasonably likely to be detrimental to, Pentair’s or any Affiliated Company’s reputation or to have an adverse effect on Pentair of any Affiliated Company.</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Change in Control of the Company</w:t>
      </w:r>
      <w:r>
        <w:rPr>
          <w:rFonts w:ascii="Arial" w:cs="Arial" w:eastAsia="Arial" w:hAnsi="Arial"/>
          <w:sz w:val="21"/>
          <w:szCs w:val="21"/>
          <w:color w:val="auto"/>
        </w:rPr>
        <w:t>. “Change in Control of the Company” has the meaning ascribed to such term in the KEESA.</w:t>
      </w:r>
    </w:p>
    <w:p>
      <w:pPr>
        <w:spacing w:after="0" w:line="198"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Code</w:t>
      </w:r>
      <w:r>
        <w:rPr>
          <w:rFonts w:ascii="Arial" w:cs="Arial" w:eastAsia="Arial" w:hAnsi="Arial"/>
          <w:sz w:val="21"/>
          <w:szCs w:val="21"/>
          <w:color w:val="auto"/>
        </w:rPr>
        <w:t>. “Code” means the Internal Revenue Code of 1986, as amended, and the regulations and guidance thereunder. Any reference to a specified provision of the Code shall include any successor provision thereto and the regulations promulgated thereunder.</w:t>
      </w:r>
    </w:p>
    <w:p>
      <w:pPr>
        <w:spacing w:after="0" w:line="21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Committee.</w:t>
      </w:r>
      <w:r>
        <w:rPr>
          <w:rFonts w:ascii="Arial" w:cs="Arial" w:eastAsia="Arial" w:hAnsi="Arial"/>
          <w:sz w:val="19"/>
          <w:szCs w:val="19"/>
          <w:color w:val="auto"/>
        </w:rPr>
        <w:t xml:space="preserve"> “Committee” means the Compensation Committee of the Board, or such other committee appointed by the Board to assist Pentair in making determinations required under the Executive Officer Plan in accordance with its terms. The “Committee” may delegate all or any portion of its authority under the Executive Officer Plan to an individual or another committee.</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“Disability” means a continuing condition of the employee that has been determined to meet the criteria set forth in the Employer’s Long-Term Disability Plan, or similar successor plan, to render the Eligible Employee eligible for long-term disability benefits under said plan, whether or not the Eligible Employee is in fact covered by such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determination shall be made by the insurer of the plan or, if an Eligible Employee is not covered by the plan, by the Plan Administrator.</w:t>
      </w:r>
    </w:p>
    <w:p>
      <w:pPr>
        <w:spacing w:after="0" w:line="279"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 xml:space="preserve">Section 1.10 </w:t>
      </w:r>
      <w:r>
        <w:rPr>
          <w:rFonts w:ascii="Arial" w:cs="Arial" w:eastAsia="Arial" w:hAnsi="Arial"/>
          <w:sz w:val="21"/>
          <w:szCs w:val="21"/>
          <w:u w:val="single" w:color="auto"/>
          <w:color w:val="auto"/>
        </w:rPr>
        <w:t>Eligible Employee.</w:t>
      </w:r>
      <w:r>
        <w:rPr>
          <w:rFonts w:ascii="Arial" w:cs="Arial" w:eastAsia="Arial" w:hAnsi="Arial"/>
          <w:sz w:val="21"/>
          <w:szCs w:val="21"/>
          <w:color w:val="auto"/>
        </w:rPr>
        <w:t xml:space="preserve"> “Eligible Employee” means a U.S.-based, common law employee of Pentair who is an executive officer of Pentair plc and, if applicable, who has satisfied any other criteria established by the Committee to be an Eligible Employee. If an individual is classified by the Employer as other than a common law employee (for example, as an independent contractor or temporary or leased employee), or the individual is not an executive officer of Pentair plc or, if applicable, has not satisfied any other criteria established by the Committee to be an Eligible Employee, such individual will not be an Eligible Employee, regardless of the individual’s correct legal status. For the purpose of this Eligible Employee definition, “U.S.-based” includes any United States citizens on a temporary assignment for Pentair or any Affiliated Company abroad in expatriate status and any U.S. permanent residents or lawful U.S. resident legally authorized to be employed by Pentair or any Affiliated Company with their regular worksite in the United States.</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 xml:space="preserve">Section 1.11 </w:t>
      </w:r>
      <w:r>
        <w:rPr>
          <w:rFonts w:ascii="Arial" w:cs="Arial" w:eastAsia="Arial" w:hAnsi="Arial"/>
          <w:sz w:val="21"/>
          <w:szCs w:val="21"/>
          <w:u w:val="single" w:color="auto"/>
          <w:color w:val="auto"/>
        </w:rPr>
        <w:t>Employer.</w:t>
      </w:r>
      <w:r>
        <w:rPr>
          <w:rFonts w:ascii="Arial" w:cs="Arial" w:eastAsia="Arial" w:hAnsi="Arial"/>
          <w:sz w:val="21"/>
          <w:szCs w:val="21"/>
          <w:color w:val="auto"/>
        </w:rPr>
        <w:t xml:space="preserve"> “Employer” means, with respect to any Eligible Employee, the entity that employs the Eligible Employee, which may be Pentair plc or another Affiliated Company.</w:t>
      </w:r>
    </w:p>
    <w:p>
      <w:pPr>
        <w:spacing w:after="0" w:line="198" w:lineRule="exact"/>
        <w:rPr>
          <w:sz w:val="20"/>
          <w:szCs w:val="20"/>
          <w:color w:val="auto"/>
        </w:rPr>
      </w:pPr>
    </w:p>
    <w:p>
      <w:pPr>
        <w:ind w:firstLine="648"/>
        <w:spacing w:after="0" w:line="31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ERISA.</w:t>
      </w:r>
      <w:r>
        <w:rPr>
          <w:rFonts w:ascii="Arial" w:cs="Arial" w:eastAsia="Arial" w:hAnsi="Arial"/>
          <w:sz w:val="19"/>
          <w:szCs w:val="19"/>
          <w:color w:val="auto"/>
        </w:rPr>
        <w:t xml:space="preserve"> “ERISA” means the Employee Retirement Income Security Act of 1974, as amended. Any reference to a specified provision of ERISA shall include any successor provision thereto and the regulations promulgated thereunder.</w:t>
      </w:r>
    </w:p>
    <w:p>
      <w:pPr>
        <w:spacing w:after="0" w:line="152"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u w:val="single" w:color="auto"/>
          <w:color w:val="auto"/>
        </w:rPr>
        <w:t>Executive Officer Plan.</w:t>
      </w:r>
      <w:r>
        <w:rPr>
          <w:rFonts w:ascii="Arial" w:cs="Arial" w:eastAsia="Arial" w:hAnsi="Arial"/>
          <w:sz w:val="21"/>
          <w:szCs w:val="21"/>
          <w:color w:val="auto"/>
        </w:rPr>
        <w:t xml:space="preserve"> “Executive Officer Plan” means this “Pentair plc Executive Officer Severance Plan,” as it may be amended from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“Good Reason” means the initial occurrence of any of the following actions by Pentair or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Employer without the Eligible Employee’s consent:</w:t>
      </w:r>
    </w:p>
    <w:p>
      <w:pPr>
        <w:spacing w:after="0" w:line="227" w:lineRule="exact"/>
        <w:rPr>
          <w:sz w:val="20"/>
          <w:szCs w:val="20"/>
          <w:color w:val="auto"/>
        </w:rPr>
      </w:pPr>
    </w:p>
    <w:p>
      <w:pPr>
        <w:ind w:left="1300" w:hanging="644"/>
        <w:spacing w:after="0" w:line="264" w:lineRule="auto"/>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Pentair’s material breach of this Executive Officer Plan or any written employment agreement with the Eligible Employee (if any);</w:t>
      </w:r>
    </w:p>
    <w:p>
      <w:pPr>
        <w:spacing w:after="0" w:line="170" w:lineRule="exact"/>
        <w:rPr>
          <w:rFonts w:ascii="Arial" w:cs="Arial" w:eastAsia="Arial" w:hAnsi="Arial"/>
          <w:sz w:val="21"/>
          <w:szCs w:val="21"/>
          <w:color w:val="auto"/>
        </w:rPr>
      </w:pPr>
    </w:p>
    <w:p>
      <w:pPr>
        <w:ind w:left="1300" w:hanging="644"/>
        <w:spacing w:after="0" w:line="264" w:lineRule="auto"/>
        <w:tabs>
          <w:tab w:leader="none" w:pos="129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removal of the Eligible Employee from, or failure to reappoint or re-elect the Eligible Employee to, any title or position as a corporate officer;</w:t>
      </w:r>
    </w:p>
    <w:p>
      <w:pPr>
        <w:spacing w:after="0" w:line="170" w:lineRule="exact"/>
        <w:rPr>
          <w:rFonts w:ascii="Arial" w:cs="Arial" w:eastAsia="Arial" w:hAnsi="Arial"/>
          <w:sz w:val="21"/>
          <w:szCs w:val="21"/>
          <w:color w:val="auto"/>
        </w:rPr>
      </w:pPr>
    </w:p>
    <w:p>
      <w:pPr>
        <w:ind w:left="1300" w:right="20" w:hanging="644"/>
        <w:spacing w:after="0" w:line="317" w:lineRule="auto"/>
        <w:tabs>
          <w:tab w:leader="none" w:pos="1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material diminution of the Eligible Employee’s authority, powers, functions, duties or responsibilities (provided, however, a change in the Eligible Employee’s title alone shall not constitute such material diminution);</w:t>
      </w:r>
    </w:p>
    <w:p>
      <w:pPr>
        <w:spacing w:after="0" w:line="124" w:lineRule="exact"/>
        <w:rPr>
          <w:rFonts w:ascii="Arial" w:cs="Arial" w:eastAsia="Arial" w:hAnsi="Arial"/>
          <w:sz w:val="19"/>
          <w:szCs w:val="19"/>
          <w:color w:val="auto"/>
        </w:rPr>
      </w:pPr>
    </w:p>
    <w:p>
      <w:pPr>
        <w:ind w:left="1300" w:hanging="644"/>
        <w:spacing w:after="0" w:line="264" w:lineRule="auto"/>
        <w:tabs>
          <w:tab w:leader="none" w:pos="129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material reduction of the Eligible Employee’s annualized base salary (other than such reduction as part of a general and uniformly applied reduction in the base salaries for all executive officers of Pentair); or</w:t>
      </w:r>
    </w:p>
    <w:p>
      <w:pPr>
        <w:spacing w:after="0" w:line="170" w:lineRule="exact"/>
        <w:rPr>
          <w:rFonts w:ascii="Arial" w:cs="Arial" w:eastAsia="Arial" w:hAnsi="Arial"/>
          <w:sz w:val="21"/>
          <w:szCs w:val="21"/>
          <w:color w:val="auto"/>
        </w:rPr>
      </w:pPr>
    </w:p>
    <w:p>
      <w:pPr>
        <w:jc w:val="both"/>
        <w:ind w:left="1300" w:hanging="644"/>
        <w:spacing w:after="0" w:line="252" w:lineRule="auto"/>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Pentair’s relocation of the Eligible Employee’s principal place of employment to a new location more than 50 miles from the Eligible Employee’s principal place of employment immediately prior to such relocation, (other than a relocation to the company’s management office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0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100"/>
        <w:spacing w:after="0" w:line="247" w:lineRule="auto"/>
        <w:rPr>
          <w:sz w:val="20"/>
          <w:szCs w:val="20"/>
          <w:color w:val="auto"/>
        </w:rPr>
      </w:pPr>
      <w:r>
        <w:rPr>
          <w:rFonts w:ascii="Arial" w:cs="Arial" w:eastAsia="Arial" w:hAnsi="Arial"/>
          <w:sz w:val="21"/>
          <w:szCs w:val="21"/>
          <w:color w:val="auto"/>
        </w:rPr>
        <w:t>Notwithstanding the foregoing, Good Reason shall exist only if the Eligible Employee first gives written notice to Pentair or the Employer within ninety (90) days after the initial occurrence of the condition(s) giving rise to Good Reason, Pentair or the Employer fails to cure such condition(s) within thirty (30) days thereafter, and the Eligible Employee resigns for Good Reason and the Separation Date is effective within six (6) months following the date of the Eligible Employee’s written notice hereunder.</w:t>
      </w:r>
    </w:p>
    <w:p>
      <w:pPr>
        <w:spacing w:after="0" w:line="215"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1.15 </w:t>
      </w:r>
      <w:r>
        <w:rPr>
          <w:rFonts w:ascii="Arial" w:cs="Arial" w:eastAsia="Arial" w:hAnsi="Arial"/>
          <w:sz w:val="21"/>
          <w:szCs w:val="21"/>
          <w:u w:val="single" w:color="auto"/>
          <w:color w:val="auto"/>
        </w:rPr>
        <w:t>KEESA</w:t>
      </w:r>
      <w:r>
        <w:rPr>
          <w:rFonts w:ascii="Arial" w:cs="Arial" w:eastAsia="Arial" w:hAnsi="Arial"/>
          <w:sz w:val="21"/>
          <w:szCs w:val="21"/>
          <w:color w:val="auto"/>
        </w:rPr>
        <w:t>. “KEESA” means a Key Executive Employment and Severance Agreement, if any, and as amended, in effect between an Eligible Employee and Pentair.</w:t>
      </w:r>
    </w:p>
    <w:p>
      <w:pPr>
        <w:spacing w:after="0" w:line="198" w:lineRule="exact"/>
        <w:rPr>
          <w:sz w:val="20"/>
          <w:szCs w:val="20"/>
          <w:color w:val="auto"/>
        </w:rPr>
      </w:pPr>
    </w:p>
    <w:p>
      <w:pPr>
        <w:ind w:firstLine="648"/>
        <w:spacing w:after="0" w:line="317"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A “Participant” is an Eligible Employee who becomes a Participant under Section 2.2 of the Executive Officer Plan and has not ceased to be a Participant under Section 2.3 or under Section 2.5 of the Executive Officer Plan.</w:t>
      </w:r>
    </w:p>
    <w:p>
      <w:pPr>
        <w:spacing w:after="0" w:line="152"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1.17 </w:t>
      </w:r>
      <w:r>
        <w:rPr>
          <w:rFonts w:ascii="Arial" w:cs="Arial" w:eastAsia="Arial" w:hAnsi="Arial"/>
          <w:sz w:val="21"/>
          <w:szCs w:val="21"/>
          <w:u w:val="single" w:color="auto"/>
          <w:color w:val="auto"/>
        </w:rPr>
        <w:t>Pentair.</w:t>
      </w:r>
      <w:r>
        <w:rPr>
          <w:rFonts w:ascii="Arial" w:cs="Arial" w:eastAsia="Arial" w:hAnsi="Arial"/>
          <w:sz w:val="21"/>
          <w:szCs w:val="21"/>
          <w:color w:val="auto"/>
        </w:rPr>
        <w:t xml:space="preserve"> “Pentair” means Pentair plc, and any successor to Pentair plc. In addition, unless it is otherwise clear from the context, references to Pentair shall generally include all Affiliated Companies.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1.18 </w:t>
      </w:r>
      <w:r>
        <w:rPr>
          <w:rFonts w:ascii="Arial" w:cs="Arial" w:eastAsia="Arial" w:hAnsi="Arial"/>
          <w:sz w:val="21"/>
          <w:szCs w:val="21"/>
          <w:u w:val="single" w:color="auto"/>
          <w:color w:val="auto"/>
        </w:rPr>
        <w:t>Plan Administrator.</w:t>
      </w:r>
      <w:r>
        <w:rPr>
          <w:rFonts w:ascii="Arial" w:cs="Arial" w:eastAsia="Arial" w:hAnsi="Arial"/>
          <w:sz w:val="21"/>
          <w:szCs w:val="21"/>
          <w:color w:val="auto"/>
        </w:rPr>
        <w:t xml:space="preserve"> The “Plan Administrator” means Pentair plc.</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1.19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xml:space="preserve"> A “Qualifying Termination” of an Eligible Employee means:</w:t>
      </w:r>
    </w:p>
    <w:p>
      <w:pPr>
        <w:spacing w:after="0" w:line="245" w:lineRule="exact"/>
        <w:rPr>
          <w:sz w:val="20"/>
          <w:szCs w:val="20"/>
          <w:color w:val="auto"/>
        </w:rPr>
      </w:pPr>
    </w:p>
    <w:p>
      <w:pPr>
        <w:ind w:left="1300" w:hanging="644"/>
        <w:spacing w:after="0" w:line="264" w:lineRule="auto"/>
        <w:tabs>
          <w:tab w:leader="none" w:pos="130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an Employer-initiated Separation from Service for any reason other than Cause, the Eligible Employee’s Disability, or death; or</w:t>
      </w:r>
    </w:p>
    <w:p>
      <w:pPr>
        <w:spacing w:after="0" w:line="197" w:lineRule="exact"/>
        <w:rPr>
          <w:rFonts w:ascii="Arial" w:cs="Arial" w:eastAsia="Arial" w:hAnsi="Arial"/>
          <w:sz w:val="21"/>
          <w:szCs w:val="21"/>
          <w:color w:val="auto"/>
        </w:rPr>
      </w:pPr>
    </w:p>
    <w:p>
      <w:pPr>
        <w:ind w:left="1300" w:hanging="644"/>
        <w:spacing w:after="0"/>
        <w:tabs>
          <w:tab w:leader="none" w:pos="1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 Eligible Employee’s Separation from Service as a result of such Eligible Employee’s resignation for Good Reason.</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In addition, for any Eligible Employee who is a party to a KEESA, the Separation Date must occur while this Executive Officer Plan is in effect and prior to a Change in Control of the Company.</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1.20 </w:t>
      </w:r>
      <w:r>
        <w:rPr>
          <w:rFonts w:ascii="Arial" w:cs="Arial" w:eastAsia="Arial" w:hAnsi="Arial"/>
          <w:sz w:val="21"/>
          <w:szCs w:val="21"/>
          <w:u w:val="single" w:color="auto"/>
          <w:color w:val="auto"/>
        </w:rPr>
        <w:t>Restrictive Covenants Agreement.</w:t>
      </w:r>
      <w:r>
        <w:rPr>
          <w:rFonts w:ascii="Arial" w:cs="Arial" w:eastAsia="Arial" w:hAnsi="Arial"/>
          <w:sz w:val="21"/>
          <w:szCs w:val="21"/>
          <w:color w:val="auto"/>
        </w:rPr>
        <w:t xml:space="preserve"> “Restrictive Covenants Agreement” means an agreement by and between an Eligible Employee and Pentair or any Affiliated Company that includes, but may not be limited to, language addressing non-disclosure of confidential information, non-solicitation, non-competition or such other terms as may be determined by Pentair, in a form determined by Pentair and which Pentair or any Affiliated Company requires the employee to sign as a condition of employment, as a condition to an equity-related award or other benefit associated with employment, or as a condition to becoming an Eligible Employee or a Participant.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1.21 </w:t>
      </w:r>
      <w:r>
        <w:rPr>
          <w:rFonts w:ascii="Arial" w:cs="Arial" w:eastAsia="Arial" w:hAnsi="Arial"/>
          <w:sz w:val="20"/>
          <w:szCs w:val="20"/>
          <w:u w:val="single" w:color="auto"/>
          <w:color w:val="auto"/>
        </w:rPr>
        <w:t>Separation Date.</w:t>
      </w:r>
      <w:r>
        <w:rPr>
          <w:rFonts w:ascii="Arial" w:cs="Arial" w:eastAsia="Arial" w:hAnsi="Arial"/>
          <w:sz w:val="20"/>
          <w:szCs w:val="20"/>
          <w:color w:val="auto"/>
        </w:rPr>
        <w:t xml:space="preserve"> “Separation Date” means the date on which a “Separation from Service” has occurred.</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xml:space="preserve"> “Separation from Service” has the meaning given in Code Section 409A(a)(2)(A)(i). A Separation from Service occurs when the facts and circumstances indicate that Pentair and the Eligible Employee reasonably anticipate that no further services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performed by the Eligible Employee for Pentair or any Affiliated Company after a certain date or that the level of services the Eligible Employee would perform after such date would permanently decrease to no more than 20% of the average level of services performed over the immediately preceding 36-month period. For clarity, a transfer of employment from Pentair to an Affiliated Company, or from one Affiliated Company to another, shall not be considered a Separation from Service.</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u w:val="single" w:color="auto"/>
          <w:color w:val="auto"/>
        </w:rPr>
        <w:t>Separation and Release Agreement; Release.</w:t>
      </w:r>
      <w:r>
        <w:rPr>
          <w:rFonts w:ascii="Arial" w:cs="Arial" w:eastAsia="Arial" w:hAnsi="Arial"/>
          <w:sz w:val="19"/>
          <w:szCs w:val="19"/>
          <w:color w:val="auto"/>
        </w:rPr>
        <w:t xml:space="preserve"> A “Separation and Release Agreement” is the document, which if signed and returned by an Eligible Employee, satisfies one of the conditions for the Eligible Employee to become a Participant in the Executive Officer Plan as identified in Section 2.2. Pentair will determine the contents of the Separation and Release Agreement, which will include a release of all claims against Pentair and all Affiliated Companies and their respective representatives, and will also include a separate Restrictive Covenants Agreement or provisions addressing return of Pentair property, non-disclosure of confidential information, non-solicitation, non-competition or such other terms as may be determined by Pentair.</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1.24 </w:t>
      </w: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“Severance Benefits” means the cash payments and outplacement assistance identified in Section 2.4 that may be provided to a Participant under the Executive Officer Plan in accordance with Article II.</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1.25 </w:t>
      </w:r>
      <w:r>
        <w:rPr>
          <w:rFonts w:ascii="Arial" w:cs="Arial" w:eastAsia="Arial" w:hAnsi="Arial"/>
          <w:sz w:val="21"/>
          <w:szCs w:val="21"/>
          <w:u w:val="single" w:color="auto"/>
          <w:color w:val="auto"/>
        </w:rPr>
        <w:t>Severance Multiplier.</w:t>
      </w:r>
      <w:r>
        <w:rPr>
          <w:rFonts w:ascii="Arial" w:cs="Arial" w:eastAsia="Arial" w:hAnsi="Arial"/>
          <w:sz w:val="21"/>
          <w:szCs w:val="21"/>
          <w:color w:val="auto"/>
        </w:rPr>
        <w:t xml:space="preserve"> “Severance Multiplier” means:</w:t>
      </w:r>
    </w:p>
    <w:p>
      <w:pPr>
        <w:spacing w:after="0" w:line="21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1"/>
          <w:szCs w:val="21"/>
          <w:color w:val="auto"/>
        </w:rPr>
      </w:pPr>
      <w:r>
        <w:rPr>
          <w:rFonts w:ascii="Arial" w:cs="Arial" w:eastAsia="Arial" w:hAnsi="Arial"/>
          <w:sz w:val="21"/>
          <w:szCs w:val="21"/>
          <w:color w:val="auto"/>
        </w:rPr>
        <w:t>Two (2.0) for Pentair plc’s CEO;</w:t>
      </w:r>
    </w:p>
    <w:p>
      <w:pPr>
        <w:spacing w:after="0" w:line="217" w:lineRule="exact"/>
        <w:rPr>
          <w:rFonts w:ascii="Arial" w:cs="Arial" w:eastAsia="Arial" w:hAnsi="Arial"/>
          <w:sz w:val="21"/>
          <w:szCs w:val="21"/>
          <w:color w:val="auto"/>
        </w:rPr>
      </w:pPr>
    </w:p>
    <w:p>
      <w:pPr>
        <w:ind w:left="1300" w:right="20" w:hanging="644"/>
        <w:spacing w:after="0" w:line="264" w:lineRule="auto"/>
        <w:tabs>
          <w:tab w:leader="none" w:pos="1298" w:val="left"/>
        </w:tabs>
        <w:numPr>
          <w:ilvl w:val="0"/>
          <w:numId w:val="82"/>
        </w:numPr>
        <w:rPr>
          <w:rFonts w:ascii="Arial" w:cs="Arial" w:eastAsia="Arial" w:hAnsi="Arial"/>
          <w:sz w:val="21"/>
          <w:szCs w:val="21"/>
          <w:color w:val="auto"/>
        </w:rPr>
      </w:pPr>
      <w:r>
        <w:rPr>
          <w:rFonts w:ascii="Arial" w:cs="Arial" w:eastAsia="Arial" w:hAnsi="Arial"/>
          <w:sz w:val="21"/>
          <w:szCs w:val="21"/>
          <w:color w:val="auto"/>
        </w:rPr>
        <w:t>Two (2.0) for any Eligible Employee (other than Pentair plc’s CEO) who was an executive officer of Pentair plc on January 1, 2021; or</w:t>
      </w:r>
    </w:p>
    <w:p>
      <w:pPr>
        <w:spacing w:after="0" w:line="170" w:lineRule="exact"/>
        <w:rPr>
          <w:rFonts w:ascii="Arial" w:cs="Arial" w:eastAsia="Arial" w:hAnsi="Arial"/>
          <w:sz w:val="21"/>
          <w:szCs w:val="21"/>
          <w:color w:val="auto"/>
        </w:rPr>
      </w:pPr>
    </w:p>
    <w:p>
      <w:pPr>
        <w:ind w:left="1300" w:hanging="644"/>
        <w:spacing w:after="0" w:line="264" w:lineRule="auto"/>
        <w:tabs>
          <w:tab w:leader="none" w:pos="1300" w:val="left"/>
        </w:tabs>
        <w:numPr>
          <w:ilvl w:val="0"/>
          <w:numId w:val="82"/>
        </w:numPr>
        <w:rPr>
          <w:rFonts w:ascii="Arial" w:cs="Arial" w:eastAsia="Arial" w:hAnsi="Arial"/>
          <w:sz w:val="21"/>
          <w:szCs w:val="21"/>
          <w:color w:val="auto"/>
        </w:rPr>
      </w:pPr>
      <w:r>
        <w:rPr>
          <w:rFonts w:ascii="Arial" w:cs="Arial" w:eastAsia="Arial" w:hAnsi="Arial"/>
          <w:sz w:val="21"/>
          <w:szCs w:val="21"/>
          <w:color w:val="auto"/>
        </w:rPr>
        <w:t>One and One Half (1.5) for any other Eligible Employee who became an executive officer of Pentair plc on or after January 2,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Severance Benefits</w:t>
      </w:r>
    </w:p>
    <w:p>
      <w:pPr>
        <w:spacing w:after="0" w:line="2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Notice of Eligibility.</w:t>
      </w:r>
      <w:r>
        <w:rPr>
          <w:rFonts w:ascii="Arial" w:cs="Arial" w:eastAsia="Arial" w:hAnsi="Arial"/>
          <w:sz w:val="21"/>
          <w:szCs w:val="21"/>
          <w:color w:val="auto"/>
        </w:rPr>
        <w:t xml:space="preserve"> Each Eligible Employee shall be notified in writing of his or her designation as an Eligible Employee and eligibility to participate in the Executive Officer Plan. Such notice of eligibility shall include a copy of the Summary Executive Officer Plan Description applicable to such Eligible Employee.</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Becoming a Participant.</w:t>
      </w:r>
      <w:r>
        <w:rPr>
          <w:rFonts w:ascii="Arial" w:cs="Arial" w:eastAsia="Arial" w:hAnsi="Arial"/>
          <w:sz w:val="21"/>
          <w:szCs w:val="21"/>
          <w:color w:val="auto"/>
        </w:rPr>
        <w:t xml:space="preserve"> Subject to Section 2.3 and Section 2.5, each Eligible Employee who satisfies all of the following conditions shall be considered a Participant and shall be eligible to receive the Severance Benefits described in the Executive Officer Plan:</w:t>
      </w:r>
    </w:p>
    <w:p>
      <w:pPr>
        <w:spacing w:after="0" w:line="18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Eligible Employee experiences a Qualifying Termination;</w:t>
      </w:r>
    </w:p>
    <w:p>
      <w:pPr>
        <w:spacing w:after="0" w:line="217" w:lineRule="exact"/>
        <w:rPr>
          <w:rFonts w:ascii="Arial" w:cs="Arial" w:eastAsia="Arial" w:hAnsi="Arial"/>
          <w:sz w:val="21"/>
          <w:szCs w:val="21"/>
          <w:color w:val="auto"/>
        </w:rPr>
      </w:pPr>
    </w:p>
    <w:p>
      <w:pPr>
        <w:jc w:val="both"/>
        <w:ind w:left="1300" w:hanging="644"/>
        <w:spacing w:after="0" w:line="252" w:lineRule="auto"/>
        <w:tabs>
          <w:tab w:leader="none" w:pos="1298"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required by the Employer, the Eligible Employee remains employed and continues to adequately perform the Eligible Employee’s job responsibilities through the job-end date specified by the Employer (or, if earlier, through the date that the Employer no longer desires the Eligible Employee’s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0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ind w:left="1300" w:hanging="644"/>
        <w:spacing w:after="0" w:line="283" w:lineRule="auto"/>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Eligible Employee signs and returns the Separation and Release Agreement to the address directed by the Employer or Pentair within the time period indicated in the Separation and Release Agreement (a Separation and Release Agreement returned after the expiration of the indicated time period will not be accepted and the Eligible Employee will not become a Participant and will not receive any Severance Benefits under the Executive Officer Plan).</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the Plan Administrator determines, in its sole discretion, that the Participant has not fully complied with any of the terms of the Executive Officer Plan and/or the Separation and Release Agreement, Pentair may deny Severance Benefits not yet in pay status or discontinue the payment of the Participant’s Severance Benefits and may require the Participant, by providing written notice of such repayment obligation to the Participant, to repay any portion of the Severance Benefits already received under the Executive Officer Plan. If the Plan Administrator notifies a Participant that repayment of all or any portion of the Severance Benefits received under the Executive Officer Plan is required, such amounts shall be repaid within thirty (30) calendar days after the date the written notice is sent. Any remedy under this Section 2.2 shall be in addition to, and not in place of, any other remedy, including injunctive relief, that Pentair or any Affiliated Company may have.</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Termination of Participation.</w:t>
      </w:r>
      <w:r>
        <w:rPr>
          <w:rFonts w:ascii="Arial" w:cs="Arial" w:eastAsia="Arial" w:hAnsi="Arial"/>
          <w:sz w:val="20"/>
          <w:szCs w:val="20"/>
          <w:color w:val="auto"/>
        </w:rPr>
        <w:t xml:space="preserve"> An Eligible Employee shall cease to be a Participant of the Executive Officer Plan on the date the Participant fails to comply with any of the requirements under the Executive Officer Plan (including, but not limited to, not signing or signing and then rescinding the Separation and Release Agreement), if a Participant becomes ineligible for Severance Benefits under any of the circumstances identified in Section 2.5, or whenever the Participant has received the maximum Severance Benefits available to such Participant under the Executive Officer Plan.</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Severance Benefits.</w:t>
      </w:r>
      <w:r>
        <w:rPr>
          <w:rFonts w:ascii="Arial" w:cs="Arial" w:eastAsia="Arial" w:hAnsi="Arial"/>
          <w:sz w:val="21"/>
          <w:szCs w:val="21"/>
          <w:color w:val="auto"/>
        </w:rPr>
        <w:t xml:space="preserve"> Subject to Sections 2.3 and 2.5, a Participant who has experienced a Qualifying Termination will be eligible to receive the following Severance Benefits:</w:t>
      </w:r>
    </w:p>
    <w:p>
      <w:pPr>
        <w:spacing w:after="0" w:line="171" w:lineRule="exact"/>
        <w:rPr>
          <w:sz w:val="20"/>
          <w:szCs w:val="20"/>
          <w:color w:val="auto"/>
        </w:rPr>
      </w:pPr>
    </w:p>
    <w:p>
      <w:pPr>
        <w:jc w:val="both"/>
        <w:ind w:left="1300" w:hanging="644"/>
        <w:spacing w:after="0" w:line="257" w:lineRule="auto"/>
        <w:tabs>
          <w:tab w:leader="none" w:pos="1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total cash payment equal to the amount determined by multiplying: (i) the Severance Multiplier by (ii) the sum of (A) the Participant’s Base Salary and (B) the Participant’s Annual Bonus Target Amount, less applicable withholdings and payable in substantially equal installments in accordance with Employer’s regular payroll cycle during (1) the twenty-four (24) month period immediately following the Separation Date (for any Eligible Employee with a Severance Multiplier of Two (2.0)), or (2) the eighteen (18) month period immediately following the Separation Date (for any Eligible Employee with a Severance Multiplier of One and One Half (1.5)), provided, however, that any installments that otherwise would be payable on the Employer’s regular payroll dates between the Separation Date and the expiration of the rescission period applicable to the Separation and Release Agreement will be delayed to an Employer payroll date that is within twenty (20) days after the expiration of the rescission period applicable to the Separation and Release Agreement (but no later than 2-1/2 months after the Separation Date) and included with the installment payable on such payroll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9"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300" w:hanging="644"/>
        <w:spacing w:after="0" w:line="271" w:lineRule="auto"/>
        <w:tabs>
          <w:tab w:leader="none" w:pos="1298"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the Participant is enrolled in Employer’s group medical and/or dental insurance coverage as of the Separation Date, then Participant will receive an additional cash payment equal to the amount determined by multiplying: (i) the Severance Multiplier by (ii) an amount equal to the Employer’s portion of the health insurance premiums to continue such group medical and/or dental insurance coverage, as in place immediately prior to the Separation Date, for twelve</w:t>
      </w:r>
    </w:p>
    <w:p>
      <w:pPr>
        <w:spacing w:after="0" w:line="3" w:lineRule="exact"/>
        <w:rPr>
          <w:rFonts w:ascii="Arial" w:cs="Arial" w:eastAsia="Arial" w:hAnsi="Arial"/>
          <w:sz w:val="19"/>
          <w:szCs w:val="19"/>
          <w:color w:val="auto"/>
        </w:rPr>
      </w:pPr>
    </w:p>
    <w:p>
      <w:pPr>
        <w:jc w:val="both"/>
        <w:ind w:left="1300" w:firstLine="4"/>
        <w:spacing w:after="0" w:line="327" w:lineRule="auto"/>
        <w:tabs>
          <w:tab w:leader="none" w:pos="1741" w:val="left"/>
        </w:tabs>
        <w:numPr>
          <w:ilvl w:val="1"/>
          <w:numId w:val="86"/>
        </w:numPr>
        <w:rPr>
          <w:rFonts w:ascii="Arial" w:cs="Arial" w:eastAsia="Arial" w:hAnsi="Arial"/>
          <w:sz w:val="18"/>
          <w:szCs w:val="18"/>
          <w:color w:val="auto"/>
        </w:rPr>
      </w:pPr>
      <w:r>
        <w:rPr>
          <w:rFonts w:ascii="Arial" w:cs="Arial" w:eastAsia="Arial" w:hAnsi="Arial"/>
          <w:sz w:val="18"/>
          <w:szCs w:val="18"/>
          <w:color w:val="auto"/>
        </w:rPr>
        <w:t>months after the Separation Date (based on the health insurance premiums as of the Separation Date), less applicable withholdings and payable in a lump sum on the same date as the first installment identified in Section 2.4(a).</w:t>
      </w:r>
    </w:p>
    <w:p>
      <w:pPr>
        <w:spacing w:after="0" w:line="119"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Pentair shall pay for outplacement services provided for Participant’s benefit by a vendor selected by Pentair to the extent such services are actually utilized by Participant within one (1) year following the Separation Date and to the extent the cost does not exceed the Pentair-determined maximum.</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Ineligibility for Severance Benefits.</w:t>
      </w:r>
      <w:r>
        <w:rPr>
          <w:rFonts w:ascii="Arial" w:cs="Arial" w:eastAsia="Arial" w:hAnsi="Arial"/>
          <w:sz w:val="21"/>
          <w:szCs w:val="21"/>
          <w:color w:val="auto"/>
        </w:rPr>
        <w:t xml:space="preserve"> Notwithstanding anything to the contrary, Severance Benefits will not be owed or paid under the Executive Officer Plan (and any Severance Benefits paid to an Eligible Employee under the Executive Officer Plan must be promptly repaid by such Eligible Employee) in any of the following circumstances:</w:t>
      </w:r>
    </w:p>
    <w:p>
      <w:pPr>
        <w:spacing w:after="0" w:line="184"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Eligible Employee’s termination of employment with Pentair for Cause;</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Eligible Employee retires under Pentair’s standard employment policies, regardless of termination date;</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 Eligible Employee voluntarily terminates employment with Pentair for any reason other than Good Reason;</w:t>
      </w:r>
    </w:p>
    <w:p>
      <w:pPr>
        <w:spacing w:after="0" w:line="229" w:lineRule="exact"/>
        <w:rPr>
          <w:rFonts w:ascii="Arial" w:cs="Arial" w:eastAsia="Arial" w:hAnsi="Arial"/>
          <w:sz w:val="20"/>
          <w:szCs w:val="20"/>
          <w:color w:val="auto"/>
        </w:rPr>
      </w:pPr>
    </w:p>
    <w:p>
      <w:pPr>
        <w:ind w:left="1300" w:right="820" w:hanging="644"/>
        <w:spacing w:after="0" w:line="317" w:lineRule="auto"/>
        <w:tabs>
          <w:tab w:leader="none" w:pos="129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 Eligible Employee is offered continued employment with Pentair in a new position that Pentair reasonably determines to be a comparable position (subject to an Eligible Employee’s right to resign for Good Reason);</w:t>
      </w:r>
    </w:p>
    <w:p>
      <w:pPr>
        <w:spacing w:after="0" w:line="124" w:lineRule="exact"/>
        <w:rPr>
          <w:rFonts w:ascii="Arial" w:cs="Arial" w:eastAsia="Arial" w:hAnsi="Arial"/>
          <w:sz w:val="19"/>
          <w:szCs w:val="19"/>
          <w:color w:val="auto"/>
        </w:rPr>
      </w:pPr>
    </w:p>
    <w:p>
      <w:pPr>
        <w:ind w:left="1300" w:right="480" w:hanging="644"/>
        <w:spacing w:after="0" w:line="264"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Eligible Employee begins working in a new position with Pentair within thirty (30) calendar days immediately following the employee’s Separation Date;</w:t>
      </w:r>
    </w:p>
    <w:p>
      <w:pPr>
        <w:spacing w:after="0" w:line="170" w:lineRule="exact"/>
        <w:rPr>
          <w:rFonts w:ascii="Arial" w:cs="Arial" w:eastAsia="Arial" w:hAnsi="Arial"/>
          <w:sz w:val="21"/>
          <w:szCs w:val="21"/>
          <w:color w:val="auto"/>
        </w:rPr>
      </w:pPr>
    </w:p>
    <w:p>
      <w:pPr>
        <w:jc w:val="both"/>
        <w:ind w:left="1300" w:right="320" w:hanging="644"/>
        <w:spacing w:after="0" w:line="271" w:lineRule="auto"/>
        <w:tabs>
          <w:tab w:leader="none" w:pos="1291"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 Eligible Employee’s employment with Pentair terminates due to death, Disability, or failure to return to work for Pentair following any leave of absence, layoff or any other period of authorized absence from Pentair under Pentair policy or applicable law, including without limitation any approved military leave;</w:t>
      </w:r>
    </w:p>
    <w:p>
      <w:pPr>
        <w:spacing w:after="0" w:line="165" w:lineRule="exact"/>
        <w:rPr>
          <w:rFonts w:ascii="Arial" w:cs="Arial" w:eastAsia="Arial" w:hAnsi="Arial"/>
          <w:sz w:val="20"/>
          <w:szCs w:val="20"/>
          <w:color w:val="auto"/>
        </w:rPr>
      </w:pPr>
    </w:p>
    <w:p>
      <w:pPr>
        <w:ind w:left="1300" w:right="120" w:hanging="644"/>
        <w:spacing w:after="0" w:line="264" w:lineRule="auto"/>
        <w:tabs>
          <w:tab w:leader="none" w:pos="1298"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Eligible Employee’s termination of employment with Pentair does not qualify as a “separation from service” under Code Section 409A;</w:t>
      </w:r>
    </w:p>
    <w:p>
      <w:pPr>
        <w:spacing w:after="0" w:line="170" w:lineRule="exact"/>
        <w:rPr>
          <w:rFonts w:ascii="Arial" w:cs="Arial" w:eastAsia="Arial" w:hAnsi="Arial"/>
          <w:sz w:val="21"/>
          <w:szCs w:val="21"/>
          <w:color w:val="auto"/>
        </w:rPr>
      </w:pPr>
    </w:p>
    <w:p>
      <w:pPr>
        <w:ind w:left="1300" w:right="80" w:hanging="644"/>
        <w:spacing w:after="0" w:line="264" w:lineRule="auto"/>
        <w:tabs>
          <w:tab w:leader="none" w:pos="1298"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Eligible Employee violates employee’s obligations under a Restrictive Covenants Agreement or under a 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0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ind w:left="1300" w:right="240" w:hanging="644"/>
        <w:spacing w:after="0" w:line="252" w:lineRule="auto"/>
        <w:tabs>
          <w:tab w:leader="none" w:pos="1293"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 Eligible Employee refuses to sign the Separation and Release Agreement or Restrictive Covenants Agreement, or rescinds or revokes the Separation and Release Agreement or Restrictive Covenants Agreements before it becomes final (if applicable);</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individual ceases to be classified as an Eligible Employee by Pentair;</w:t>
      </w:r>
    </w:p>
    <w:p>
      <w:pPr>
        <w:spacing w:after="0" w:line="217" w:lineRule="exact"/>
        <w:rPr>
          <w:rFonts w:ascii="Arial" w:cs="Arial" w:eastAsia="Arial" w:hAnsi="Arial"/>
          <w:sz w:val="21"/>
          <w:szCs w:val="21"/>
          <w:color w:val="auto"/>
        </w:rPr>
      </w:pPr>
    </w:p>
    <w:p>
      <w:pPr>
        <w:ind w:left="1300" w:right="60" w:hanging="644"/>
        <w:spacing w:after="0" w:line="277" w:lineRule="auto"/>
        <w:tabs>
          <w:tab w:leader="none" w:pos="1298"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 Eligible Employee is covered by a written contract or agreement with Pentair or a severance plan (other than the Executive Officer Plan) at the time employment terminates that provides for severance pay or other benefits upon termination of employment, except to the extent the Executive Officer Plan provides greater severance pay or other benefits upon termination (in which case severance pay or other benefits upon termination will be provided under the Executive Officer Plan subject to the Participant waiving any right to receive severance pay or other benefits under any other written contract or agreement with Pentair or severance plan);</w:t>
      </w:r>
    </w:p>
    <w:p>
      <w:pPr>
        <w:spacing w:after="0" w:line="160" w:lineRule="exact"/>
        <w:rPr>
          <w:rFonts w:ascii="Arial" w:cs="Arial" w:eastAsia="Arial" w:hAnsi="Arial"/>
          <w:sz w:val="19"/>
          <w:szCs w:val="19"/>
          <w:color w:val="auto"/>
        </w:rPr>
      </w:pPr>
    </w:p>
    <w:p>
      <w:pPr>
        <w:ind w:left="1300" w:right="40" w:hanging="644"/>
        <w:spacing w:after="0" w:line="262" w:lineRule="auto"/>
        <w:tabs>
          <w:tab w:leader="none" w:pos="1293"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 Eligible Employee’s employment terminates as a result of a sale of stock or assets of Employer or Pentair, a merger, a consolidation, the creation of a joint venture or a sale or outsourcing of a business unit or function, or other transaction, and the Eligible Employee accepts employment, or has the opportunity to continue employment in a comparable position (as reasonably determined by Pentair), with the purchaser, joint venture, or other acquiring or outsourcing entity, or a related entity of either Pentair of the acquiring entity; or</w:t>
      </w:r>
    </w:p>
    <w:p>
      <w:pPr>
        <w:spacing w:after="0" w:line="175" w:lineRule="exact"/>
        <w:rPr>
          <w:rFonts w:ascii="Arial" w:cs="Arial" w:eastAsia="Arial" w:hAnsi="Arial"/>
          <w:sz w:val="20"/>
          <w:szCs w:val="20"/>
          <w:color w:val="auto"/>
        </w:rPr>
      </w:pPr>
    </w:p>
    <w:p>
      <w:pPr>
        <w:ind w:left="1300" w:right="200" w:hanging="644"/>
        <w:spacing w:after="0" w:line="252" w:lineRule="auto"/>
        <w:tabs>
          <w:tab w:leader="none" w:pos="1288"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 Eligible Employee was hired or appointed to an executive officer position for a specific term or for a specific project, and such Eligible Employee’s employment terminates upon or after the end of such term or at the end of such project.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Impact upon Other Benefits.</w:t>
      </w:r>
      <w:r>
        <w:rPr>
          <w:rFonts w:ascii="Arial" w:cs="Arial" w:eastAsia="Arial" w:hAnsi="Arial"/>
          <w:sz w:val="19"/>
          <w:szCs w:val="19"/>
          <w:color w:val="auto"/>
        </w:rPr>
        <w:t xml:space="preserve"> Except as provided in Section 2.5 (Ineligibility for Severance Benefits), Severance Benefits under the Executive Officer Plan are not intended to impact other benefits to which a Participant is entitled under the terms and conditions of other plans or programs through which such other benefits are provided. Notwithstanding the previous statement, the Executive Officer Plan is intended to replace and is available in lieu of benefits under any other severance or severance-type benefit plan, formal or informal, sponsored by Pentair which are or previously were available to any Pentair employee, except (a) to the extent such other amounts are deferred compensation subject to Code Section 409A, or (b) to the extent an employee is covered by a written contract or agreement with Pentair or any other plan or program (other than the Executive Officer Plan) at the time employment terminates that provides for severance pay or other benefits upon termination, except to the extent the Executive Officer Plan provides greater severance pay or other benefits upon termination (in which case severance pay or other benefits upon termination will be provided under the Executive Officer Plan subject to the Participant waiving any right to receive severance pay or other benefits under any other written contract or agreement with Pentair or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09"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Tax Consequences.</w:t>
      </w:r>
      <w:r>
        <w:rPr>
          <w:rFonts w:ascii="Arial" w:cs="Arial" w:eastAsia="Arial" w:hAnsi="Arial"/>
          <w:sz w:val="19"/>
          <w:szCs w:val="19"/>
          <w:color w:val="auto"/>
        </w:rPr>
        <w:t xml:space="preserve"> Benefit payments made under the Executive Officer Plan shall be included in the Participant’s taxable income and are subject to all applicable withholdings to the extent required by law, as determined by Pentair.</w:t>
      </w:r>
    </w:p>
    <w:p>
      <w:pPr>
        <w:spacing w:after="0" w:line="1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Application of Code Section 409A.</w:t>
      </w:r>
      <w:r>
        <w:rPr>
          <w:rFonts w:ascii="Arial" w:cs="Arial" w:eastAsia="Arial" w:hAnsi="Arial"/>
          <w:sz w:val="19"/>
          <w:szCs w:val="19"/>
          <w:color w:val="auto"/>
        </w:rPr>
        <w:t xml:space="preserve"> It is the intention of Pentair that the Executive Officer Plan, and the Severance Benefits provided hereunder, qualify for certain exceptions from coverage under Code Section 409A (including the current and future regulations or other applicable guidance thereunder), such as the exception for “short-term deferrals,” and “involuntary separation pay plan” payments, and the Executive Officer Plan should be interpreted accordingly. To the extent that any provision of the Executive Officer Plan does not qualify for an exception due to changes in the regulations, guidance or interpretation, such provision will be applied in a manner consistent with such requirements, regulations or guidance, notwithstanding any provision of the Executive Officer Plan to the contrary. In addition, to the extent that any amounts payable under the Executive Officer Plan are required to be delayed under Code Section 409A, such amounts are intended to be and should be considered for purposes of Code Section 409A as separate payments from the amounts that are not required to be delayed. Notwithstanding anything herein to the contrary, if any Participant is considered a “specified employee” (as defined in Treasury Regulation Section 1.409A-1(i)) as of the Participant’s Separation Date, then no payments of deferred compensation subject to Code Section 409A and payable due to such Participant’s separation from service shall be made under the Executive Officer Plan before the first business day that is six (6) months after the Participant’s Separation Date (or upon the Participant’s death, if earlier) (the “Specified Period”). Any deferred compensation payments that would otherwise be required to be made to a Participant during the Specified Period will be accumulated by Pentair and paid to the Participant on the first day after the end of the Specified Period. The foregoing restriction on the payment of amounts to a Participant during the Specified Period will not apply to the payment of employment taxes.</w:t>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ARTICLE III.</w:t>
      </w:r>
    </w:p>
    <w:p>
      <w:pPr>
        <w:spacing w:after="0" w:line="26" w:lineRule="exact"/>
        <w:rPr>
          <w:sz w:val="20"/>
          <w:szCs w:val="20"/>
          <w:color w:val="auto"/>
        </w:rPr>
      </w:pPr>
    </w:p>
    <w:p>
      <w:pPr>
        <w:ind w:left="4940"/>
        <w:spacing w:after="0"/>
        <w:rPr>
          <w:sz w:val="20"/>
          <w:szCs w:val="20"/>
          <w:color w:val="auto"/>
        </w:rPr>
      </w:pPr>
      <w:r>
        <w:rPr>
          <w:rFonts w:ascii="Arial" w:cs="Arial" w:eastAsia="Arial" w:hAnsi="Arial"/>
          <w:sz w:val="21"/>
          <w:szCs w:val="21"/>
          <w:b w:val="1"/>
          <w:bCs w:val="1"/>
          <w:u w:val="single" w:color="auto"/>
          <w:color w:val="auto"/>
        </w:rPr>
        <w:t>Administration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Plan Administrator</w:t>
      </w:r>
    </w:p>
    <w:p>
      <w:pPr>
        <w:spacing w:after="0" w:line="218" w:lineRule="exact"/>
        <w:rPr>
          <w:sz w:val="20"/>
          <w:szCs w:val="20"/>
          <w:color w:val="auto"/>
        </w:rPr>
      </w:pPr>
    </w:p>
    <w:p>
      <w:pPr>
        <w:jc w:val="both"/>
        <w:ind w:left="1300" w:hanging="644"/>
        <w:spacing w:after="0" w:line="247" w:lineRule="auto"/>
        <w:tabs>
          <w:tab w:leader="none" w:pos="13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Plan Administrator shall be responsible for the general supervision of the Executive Officer Plan. The Plan Administrator shall also be the named fiduciary of the Executive Officer Plan in accordance with Section 402 of ERISA and therefore shall have authority to control and manage the operation and administration of the Executive Officer Plan. The Plan Administrator shall perform any and all acts necessary or appropriate for the proper management and administration of the Executive Officer Plan.</w:t>
      </w:r>
    </w:p>
    <w:p>
      <w:pPr>
        <w:spacing w:after="0" w:line="188" w:lineRule="exact"/>
        <w:rPr>
          <w:rFonts w:ascii="Arial" w:cs="Arial" w:eastAsia="Arial" w:hAnsi="Arial"/>
          <w:sz w:val="21"/>
          <w:szCs w:val="21"/>
          <w:color w:val="auto"/>
        </w:rPr>
      </w:pPr>
    </w:p>
    <w:p>
      <w:pPr>
        <w:ind w:left="1300" w:hanging="644"/>
        <w:spacing w:after="0" w:line="264" w:lineRule="auto"/>
        <w:tabs>
          <w:tab w:leader="none" w:pos="1298" w:val="left"/>
        </w:tabs>
        <w:numPr>
          <w:ilvl w:val="0"/>
          <w:numId w:val="89"/>
        </w:numPr>
        <w:rPr>
          <w:rFonts w:ascii="Arial" w:cs="Arial" w:eastAsia="Arial" w:hAnsi="Arial"/>
          <w:sz w:val="21"/>
          <w:szCs w:val="21"/>
          <w:color w:val="auto"/>
        </w:rPr>
      </w:pPr>
      <w:r>
        <w:rPr>
          <w:rFonts w:ascii="Arial" w:cs="Arial" w:eastAsia="Arial" w:hAnsi="Arial"/>
          <w:sz w:val="21"/>
          <w:szCs w:val="21"/>
          <w:color w:val="auto"/>
        </w:rPr>
        <w:t>Unless otherwise specifically provided by the Board, Pentair plc’s Chief Human Resources Officer shall act on behalf of Pentair in its capacity as Plan Administrator.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Powers of Plan Administrator</w:t>
      </w:r>
      <w:r>
        <w:rPr>
          <w:rFonts w:ascii="Arial" w:cs="Arial" w:eastAsia="Arial" w:hAnsi="Arial"/>
          <w:sz w:val="21"/>
          <w:szCs w:val="21"/>
          <w:color w:val="auto"/>
        </w:rPr>
        <w:t>. The Plan Administrator shall have all powers necessary to administer the Executive Officer Plan, including but not limited to authority to interpret the Executive Officer Plan terms, determine eligibility, determine benefits and the authority to contract with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09"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Expenses</w:t>
      </w:r>
      <w:r>
        <w:rPr>
          <w:rFonts w:ascii="Arial" w:cs="Arial" w:eastAsia="Arial" w:hAnsi="Arial"/>
          <w:sz w:val="21"/>
          <w:szCs w:val="21"/>
          <w:color w:val="auto"/>
        </w:rPr>
        <w:t>. Pentair shall bear all administrative costs of the Executive Officer Plan.</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Reports and Records.</w:t>
      </w:r>
      <w:r>
        <w:rPr>
          <w:rFonts w:ascii="Arial" w:cs="Arial" w:eastAsia="Arial" w:hAnsi="Arial"/>
          <w:sz w:val="20"/>
          <w:szCs w:val="20"/>
          <w:color w:val="auto"/>
        </w:rPr>
        <w:t xml:space="preserve"> The Plan Administrator shall keep a copy of all records relating to the payment of Severance Benefits to Participants and former Participants and all other records necessary for the proper operation of the Executive Officer Plan. All Executive Officer Plan records shall be made available to the Committee, the Board, Pentair and to each Participant for examination during business hours, except that a Participant shall examine only such records as pertain exclusively to the examining Participant or to which the Participant has rights to review under ERISA. The Plan Administrator shall prepare and shall file as required by law or regulation all reports, forms, documents and other items required by ERISA, the Code, and every other relevant statute, each as amended, and all regulations thereunder (except that the Employer, as payor of the Severance Benefits, shall prepare and distribute to the proper recipients all forms relating to withholding of income or wage taxes, Social Security taxes, and other amounts that may be similarly reportable).</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Rule Against Discrimination.</w:t>
      </w:r>
      <w:r>
        <w:rPr>
          <w:rFonts w:ascii="Arial" w:cs="Arial" w:eastAsia="Arial" w:hAnsi="Arial"/>
          <w:sz w:val="21"/>
          <w:szCs w:val="21"/>
          <w:color w:val="auto"/>
        </w:rPr>
        <w:t xml:space="preserve"> The Plan Administrator shall exercise its discretion under the Executive Officer Plan in a uniform manner so that all similarly situated Participants (or their beneficiaries) shall be similarly treated. However, nothing precludes Pentair from offering benefits to a Participant that are in addition to the benefits otherwise available under the Executive Officer Plan, or, with the consent of the Participant, different from the Severance Benefits otherwise available under the Executive Officer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and Termination</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Amendment or Suspension.</w:t>
      </w:r>
      <w:r>
        <w:rPr>
          <w:rFonts w:ascii="Arial" w:cs="Arial" w:eastAsia="Arial" w:hAnsi="Arial"/>
          <w:sz w:val="21"/>
          <w:szCs w:val="21"/>
          <w:color w:val="auto"/>
        </w:rPr>
        <w:t xml:space="preserve"> Subject to Section 4.3, Pentair reserves the right in its discretion to amend or suspend the Executive Officer Plan at any time, and from time to time, in whole or in part, and in any manner without the consent or notice to any employee or any other person having any beneficial interest in the Executive Officer Plan. Such amendment will be in writing. Such action may be taken by the Committee or by any other individual or committee to whom such authority has been delegated by the Board.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Subject to Section 4.3, Pentair reserves the right in its discretion to terminate the Executive Officer Plan at any time and in any manner. Such action will be in writing. Such action may be taken by the Board or by any other individual or committee to whom such authority has been delegated by the Board. In addition, for any Eligible Employee who is a party to a KEESA, the Executive Officer Plan shall terminate, and any eligibility to receive Severance Benefits (including any additional installments of Severance Benefits that otherwise would be due under this Executive Officer Plan as the result of a Qualifying Termination) shall end, immediately upon the first Change in Control of the Company to occur after the effective date of the Executive Officer Plan; provided, however, a Participant who is a party to a KEESA shall remain eligible to continue to receive Severance Benefits if a Qualifying Termination occurs prior to the first Change in Control of the Company and such Participant is not eligible to receive any severance pay or benefits under the KEESA. For avoidance of doubt, (a) no Eligible Employee who is a party to a KEESA will be entitled to receive any Severance Benefits under the Executive Officer Plan after the first Change in Control of the Company if such Eligible Employee is also eligible to receive any severance 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9"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benefits under the KEESA, and (b) any Eligible Employee who is not a party to a KEESA will continue to be entitled to receive Severance Benefits under the Executive Officer Plan after a Change in Control of the Company, subject to all terms of the Executive Officer Plan. After termination of the Executive Officer Plan, the rights and obligations of any persons named herein or otherwise affected by the Executive Officer Plan shall be limited to those which have accrued to the date of the Executive Officer Plan termination.</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Exceptions</w:t>
      </w:r>
      <w:r>
        <w:rPr>
          <w:rFonts w:ascii="Arial" w:cs="Arial" w:eastAsia="Arial" w:hAnsi="Arial"/>
          <w:sz w:val="20"/>
          <w:szCs w:val="20"/>
          <w:color w:val="auto"/>
        </w:rPr>
        <w:t>. Changes to the Executive Officer Plan which are administrative or clarify its terms but that are not changes to eligibility requirements or the amount of benefits available to Participants under this Executive Officer Plan may be adopted and approved in writing by the Board or by any other individual or committee to whom such authority has been delegated by the Board, or by Pentair plc’s Chief Human Resources Officer or the person performing such functions. Notwithstanding the foregoing, any material change to the Severance Benefits payable to an executive officer of Pentair under the Executive Officer Plan must be approved by the Committee. In addition, notwithstanding the above limitations, the Executive Officer Plan may be amended at any time (and such amendment will be given affect) if such amendment is required to bring the Executive Officer Plan into compliance with applicable law, including but not limited to Code Section 409A.</w:t>
      </w:r>
    </w:p>
    <w:p>
      <w:pPr>
        <w:spacing w:after="0" w:line="176"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V.</w:t>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Participant Rights.</w:t>
      </w:r>
      <w:r>
        <w:rPr>
          <w:rFonts w:ascii="Arial" w:cs="Arial" w:eastAsia="Arial" w:hAnsi="Arial"/>
          <w:sz w:val="20"/>
          <w:szCs w:val="20"/>
          <w:color w:val="auto"/>
        </w:rPr>
        <w:t xml:space="preserve"> Notwithstanding any provision of the Executive Officer Plan to the contrary, no provision of the Executive Officer Plan shall be construed as giving to any Participant legal or equitable rights against Pentair or any employee thereof, except as otherwise provided under ERISA. Further, the action of Pentair in creating the Executive Officer Plan shall not be construed to constitute and shall not be evidence of any contractual relationship between Pentair and any Participant, or as a right of any Participant to continue in the employment of Pentair, or as a limitation of the right of Pentair to discharge any of its employees, with or without cause. Pentair shall have the absolute right to deal with any employee who may be a Participant hereunder at any time as if the Executive Officer Plan had never been established.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Subject to the requirements of ERISA, Pentair does hereby indemnify and hold harmless any employee that is deemed to be a fiduciary with respect to the Executive Officer Plan under the terms and provisions of ERISA, the regulations promulgated thereunder or case law which develops under ERISA against any and all losses, claims, damages, expense (including court costs and attorneys’ fees) and liability arising from the employee’s duties and responsibilities in connection with the Executive Officer Plan unless the same is determined to be due to gross negligence or willful misconduct.</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Applicable Law.</w:t>
      </w:r>
      <w:r>
        <w:rPr>
          <w:rFonts w:ascii="Arial" w:cs="Arial" w:eastAsia="Arial" w:hAnsi="Arial"/>
          <w:sz w:val="21"/>
          <w:szCs w:val="21"/>
          <w:color w:val="auto"/>
        </w:rPr>
        <w:t xml:space="preserve"> The Executive Officer Plan is intended to be construed, and all rights and duties hereunder are to be governed, in accordance with the laws of the State of Minnesota, except to the extent such laws are preempted by the laws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09"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Alienation or Assignment of Severance Benefits.</w:t>
      </w:r>
      <w:r>
        <w:rPr>
          <w:rFonts w:ascii="Arial" w:cs="Arial" w:eastAsia="Arial" w:hAnsi="Arial"/>
          <w:sz w:val="19"/>
          <w:szCs w:val="19"/>
          <w:color w:val="auto"/>
        </w:rPr>
        <w:t xml:space="preserve"> No Severance Benefits due at any time under the Executive Officer Plan are to be subject in any manner to alienation, sale, transfer, assignment, pledge, attachment or encumbrance of any kind. Participants cannot assign his/her Severance Benefits to anyone else and such Severance Benefits are not subject to attachment by creditors. Pentair will not pay Severance Benefits to anyone other than a Participant (or the Participant’s estate if the Participant dies after properly signing and not revoking the Separation and Release Agreement, but before Pentair pays the benefit).</w:t>
      </w:r>
    </w:p>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Interpretation.</w:t>
      </w:r>
      <w:r>
        <w:rPr>
          <w:rFonts w:ascii="Arial" w:cs="Arial" w:eastAsia="Arial" w:hAnsi="Arial"/>
          <w:sz w:val="21"/>
          <w:szCs w:val="21"/>
          <w:color w:val="auto"/>
        </w:rPr>
        <w:t xml:space="preserve"> Whenever used in the Executive Officer Plan, the masculine pronoun shall include the feminine and the singular shall include the plural unless a different meaning is otherwise required by the context.</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Family and Medical Leave Act of 1993.</w:t>
      </w:r>
      <w:r>
        <w:rPr>
          <w:rFonts w:ascii="Arial" w:cs="Arial" w:eastAsia="Arial" w:hAnsi="Arial"/>
          <w:sz w:val="21"/>
          <w:szCs w:val="21"/>
          <w:color w:val="auto"/>
        </w:rPr>
        <w:t xml:space="preserve"> Notwithstanding any provision of the Executive Officer Plan to the contrary, the Executive Officer Plan shall be administered and maintained in a manner consistent with the Family and Medical Leave Act of 1993.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Additional Information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Executive Officer Plan Name: </w:t>
      </w:r>
      <w:r>
        <w:rPr>
          <w:rFonts w:ascii="Arial" w:cs="Arial" w:eastAsia="Arial" w:hAnsi="Arial"/>
          <w:sz w:val="21"/>
          <w:szCs w:val="21"/>
          <w:color w:val="auto"/>
        </w:rPr>
        <w:t>Pentair plc Executive Officer Severance Plan.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Plan Administrator &amp; Executive Officer Plan Sponsor</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Pentair plc is the “Executive Officer Plan Sponsor” and “Plan Administrator” of the Executive Officer Plan. Communications with Pentair regarding the Executive Officer Plan should be addressed 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Pentair</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Attn: Chief Human Resources Officer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5500 Wayzata Blvd, Suite 900</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Minneapolis, MN 55416-1261</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As Plan Administrator, Pentair plc has complete discretionary authority to interpret the provisions of the Executive Officer Plan and to determine which employees are eligible for any Severance Benefits under the Executive Officer Plan, the requirements to receive Severance Benefits, and the amount of those Severance Benefits. Pentair also has authority to correct any errors that may occur in the administration of the Executive Officer Plan, including recovering any overpayment of Severance Benefits from the person who received 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Participating Employers</w:t>
      </w:r>
    </w:p>
    <w:p>
      <w:pPr>
        <w:spacing w:after="0" w:line="224"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color w:val="auto"/>
        </w:rPr>
        <w:t>Participating employers include each employer of an Eligible Employee. Participants may receive a list of all participating employers from the Plan Administrator.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Employer Identification Number (EIN): </w:t>
      </w:r>
      <w:r>
        <w:rPr>
          <w:rFonts w:ascii="Arial" w:cs="Arial" w:eastAsia="Arial" w:hAnsi="Arial"/>
          <w:sz w:val="21"/>
          <w:szCs w:val="21"/>
          <w:color w:val="auto"/>
        </w:rPr>
        <w:t>Pentair plc, 98-1141328.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9"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Type of Administration &amp; Funding</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The Executive Officer Plan is administered by Pentair plc. Severance Benefits are paid out of the general assets of Pentair; there is no trust and there are no trustees. No Participant contributions are required or permitted.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Executive Officer Plan Type &amp; Executive Officer Plan Number</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The Executive Officer Plan is a welfare benefit plan providing Severance Benefits under certain termination of employment situations.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Executive Officer Plan Number is 502.</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Agent for Service of Legal Process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Legal process regarding the Executive Officer Plan may be served on Pentair plc at the address listed above.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Executive Officer Plan Year</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January 1 through December 31.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Claims Procedure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Normally, the Plan Administrator will determine an employee’s eligibility and benefit amount on its own and without any action on the part of the terminating employee, other than returning the release form.</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the Plan Administrator has not acted on a termination (or if you disagree with a decision made by the Plan Administrator), you or your authorized representative may submit a written claim for benefits. The claim must be submitted to Pentair plc’s Chief Human Resources Officer within six (6) months after the date you terminated employment. Claims received after that time will not be considered.</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Plan Administrator will ordinarily respond to the claim within ninety (90) days of receiving it. However, if special circumstances require an extension of the period of time for processing a claim, the 90-day period can be extended for an additional 90 days by giving the claimant written notice of the extension and the reason why the extension is necessary. If the claim is denied in whole or in part, the denial notice shall be in writing and shall explain the specific reason for the denial. The notice to the Participant shall make reference to the specific provisions in the Executive Officer Plan, and suggest steps, if any, necessary to perfect the claim of the Participant.</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u w:val="single" w:color="auto"/>
          <w:color w:val="auto"/>
        </w:rPr>
        <w:t>Appeals.</w:t>
      </w:r>
      <w:r>
        <w:rPr>
          <w:rFonts w:ascii="Arial" w:cs="Arial" w:eastAsia="Arial" w:hAnsi="Arial"/>
          <w:sz w:val="21"/>
          <w:szCs w:val="21"/>
          <w:color w:val="auto"/>
        </w:rPr>
        <w:t xml:space="preserve"> If you disagree with the initial claim determination, you or your authorized representative can request that the decision be reviewed by filing a written request for review with Pentair plc’s Chief Human Resources Officer within 60 days after receiving notice that the claim has been denied. You or your representative may present written statements or other documentation supporting your claim. Upon request, you may review all documents relevant to your claim. (You may also receive copies of these documents free of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60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Generally, the decision will be reviewed within 60 days after the Plan Administrator receives a request for review. However, if special circumstances require a delay, the review may take up to 120 days. (If a decision cannot be made within the 60-day period, you will be notified of this fact in writing.) You will receive a written notice of the decision on the appeal, which will explain the reasons for the decision by making specific reference to the Executive Officer Plan provisions on which the decision is based.</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If you receive no response by the end of the appeal’s initial 60-day appear period or any extension period, you should consider the appeal denied. You are entitled to a written explanation of the reason for the denial.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your appeal is denied, in whole or in part, and you disagree with the appeal determination, then you and the Plan Administrator shall engage in good faith resolution efforts, including mediation with a neutral mediator agreeable to you and the Plan Administrator, to resolve the matter. If such resolution efforts are unsuccessful, after reasonable participation by you and the Plan Administrator, then you have the right to file a lawsuit challenging the Plan Administrator’s determination. Note that you must follow this claims procedure if you have a claim; the failure to do so may prevent you from challenging an adverse decision in court. In addition, after you have completed the claims and appeal procedures above, if you wish to bring a lawsuit, you must do so within one year of the final denial of your claim. Failure to file a lawsuit within this time period will cause your rights to expire. All lawsuits arising under the Plan or relating to the Plan must be submitted to the United States District Court of the District of Minnesota. By participating in the Plan, or by asserting an entitlement to any right or benefit under the Plan, you consent to the United States District Court of the District of Minnesota’s exercise of personal jurisdiction over you, and waive any argument that that forum is not a convenient forum in which to resolve the lawsuit.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ERISA Statement of Rights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an Eligible Employee under the Executive Officer Plan, you are entitled to certain rights and protections under ERISA.</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ERISA provides that all Eligible Employees are entitled to:</w:t>
      </w:r>
    </w:p>
    <w:p>
      <w:pPr>
        <w:spacing w:after="0" w:line="200" w:lineRule="exact"/>
        <w:rPr>
          <w:sz w:val="20"/>
          <w:szCs w:val="20"/>
          <w:color w:val="auto"/>
        </w:rPr>
      </w:pPr>
    </w:p>
    <w:p>
      <w:pPr>
        <w:jc w:val="both"/>
        <w:ind w:left="1300" w:hanging="644"/>
        <w:spacing w:after="0" w:line="249" w:lineRule="auto"/>
        <w:tabs>
          <w:tab w:leader="none" w:pos="1293" w:val="left"/>
        </w:tabs>
        <w:numPr>
          <w:ilvl w:val="0"/>
          <w:numId w:val="90"/>
        </w:numPr>
        <w:rPr>
          <w:rFonts w:ascii="Arial" w:cs="Arial" w:eastAsia="Arial" w:hAnsi="Arial"/>
          <w:sz w:val="21"/>
          <w:szCs w:val="21"/>
          <w:color w:val="auto"/>
        </w:rPr>
      </w:pPr>
      <w:r>
        <w:rPr>
          <w:rFonts w:ascii="Arial" w:cs="Arial" w:eastAsia="Arial" w:hAnsi="Arial"/>
          <w:sz w:val="21"/>
          <w:szCs w:val="21"/>
          <w:color w:val="auto"/>
        </w:rPr>
        <w:t>Examine, without charge, at Pentair’s Human Resources Department and at other specified locations, such as worksites, all documents governing the Executive Officer Plan and a copy of the latest annual report (Form 5500 Series) filed by the Executive Officer Plan with the U.S. Department of Labor and available at the Public Disclosure Room of the Employee Benefits Security Administration, if required.</w:t>
      </w:r>
    </w:p>
    <w:p>
      <w:pPr>
        <w:spacing w:after="0" w:line="185" w:lineRule="exact"/>
        <w:rPr>
          <w:rFonts w:ascii="Arial" w:cs="Arial" w:eastAsia="Arial" w:hAnsi="Arial"/>
          <w:sz w:val="21"/>
          <w:szCs w:val="21"/>
          <w:color w:val="auto"/>
        </w:rPr>
      </w:pPr>
    </w:p>
    <w:p>
      <w:pPr>
        <w:jc w:val="both"/>
        <w:ind w:left="1300" w:hanging="644"/>
        <w:spacing w:after="0" w:line="252" w:lineRule="auto"/>
        <w:tabs>
          <w:tab w:leader="none" w:pos="1293" w:val="left"/>
        </w:tabs>
        <w:numPr>
          <w:ilvl w:val="0"/>
          <w:numId w:val="90"/>
        </w:numPr>
        <w:rPr>
          <w:rFonts w:ascii="Arial" w:cs="Arial" w:eastAsia="Arial" w:hAnsi="Arial"/>
          <w:sz w:val="21"/>
          <w:szCs w:val="21"/>
          <w:color w:val="auto"/>
        </w:rPr>
      </w:pPr>
      <w:r>
        <w:rPr>
          <w:rFonts w:ascii="Arial" w:cs="Arial" w:eastAsia="Arial" w:hAnsi="Arial"/>
          <w:sz w:val="21"/>
          <w:szCs w:val="21"/>
          <w:color w:val="auto"/>
        </w:rPr>
        <w:t>Obtain, upon written request to Pentair’s Human Resources Department, copies of documents governing the operation of the Executive Officer Plan and copies of the latest annual report (Form 5500 Series), if required, and updated summary plan description. Pentair may make a reasonable charge for the copies.</w:t>
      </w:r>
    </w:p>
    <w:p>
      <w:pPr>
        <w:spacing w:after="0" w:line="184" w:lineRule="exact"/>
        <w:rPr>
          <w:rFonts w:ascii="Arial" w:cs="Arial" w:eastAsia="Arial" w:hAnsi="Arial"/>
          <w:sz w:val="21"/>
          <w:szCs w:val="21"/>
          <w:color w:val="auto"/>
        </w:rPr>
      </w:pPr>
    </w:p>
    <w:p>
      <w:pPr>
        <w:ind w:left="1300" w:hanging="644"/>
        <w:spacing w:after="0" w:line="317" w:lineRule="auto"/>
        <w:tabs>
          <w:tab w:leader="none" w:pos="1293" w:val="left"/>
        </w:tabs>
        <w:numPr>
          <w:ilvl w:val="0"/>
          <w:numId w:val="90"/>
        </w:numPr>
        <w:rPr>
          <w:rFonts w:ascii="Arial" w:cs="Arial" w:eastAsia="Arial" w:hAnsi="Arial"/>
          <w:sz w:val="19"/>
          <w:szCs w:val="19"/>
          <w:color w:val="auto"/>
        </w:rPr>
      </w:pPr>
      <w:r>
        <w:rPr>
          <w:rFonts w:ascii="Arial" w:cs="Arial" w:eastAsia="Arial" w:hAnsi="Arial"/>
          <w:sz w:val="19"/>
          <w:szCs w:val="19"/>
          <w:color w:val="auto"/>
        </w:rPr>
        <w:t>Receive a summary of the Executive Officer Plan’s annual financial report (if the Executive Officer Plan is required to file such a report). Pentair is required by law to furnish each participant with a copy of this summary financial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0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color w:val="auto"/>
        </w:rPr>
        <w:t>PENTAIR plc EXECUTIVE OFFICER SEVERANCE PLAN</w:t>
      </w: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to creating rights for Executive Officer Plan participants, ERISA imposes duties upon the people who are responsible for the operation of the Executive Officer Plan. The people who operate your plan, called “fiduciaries” of the Executive Officer Plan, have a duty to do so prudently and in the interest of you and the other Executive Officer Plan Participants. No one, including your employer or any other person, may discriminate against you in any way to prevent you from obtaining a benefit or exercising your rights under ERISA. If your claim for a welfare benefit is denied in whole or in part, you must have the right to know why this was done, to obtain copies of documents relating to the decision without charge, and to appeal any denial, all with certain time schedules.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Under ERISA, there are steps you can take to enforce the above rights. For instance, if you request a copy of plan documents or the latest annual report from the Executive Officer Plan and do not receive them within thirty (30) days, you may file suit in a federal court. In such a case, the court may require Pentair to provide the materials and pay you up to $110 a day until you receive the materials, unless the materials were not sent because of reasons beyond its control. If you have a claim for benefits which is denied or ignored, in whole or in part, and you have exhausted your appeal rights under the Executive Officer Plan’s claims procedure, you may file suit in a state or federal court. If you are discriminated against for asserting your rights, you may seek assistance from the United States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you have any questions about the Executive Officer Plan, you should contact the Plan Administrator. If you have any questions about this statement or about your rights under ERISA, of it you need assistance in obtaining documents from Pentair,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609"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PLC 2020 SHARE AND INCENTIVE PLAN</w:t>
      </w:r>
    </w:p>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Effective January 1, 2021, Section 14(c)(iii) of the Pentair plc 2020 Share and Incentive Plan is amended to read in its entirety as follows:</w:t>
      </w:r>
    </w:p>
    <w:p>
      <w:pPr>
        <w:spacing w:after="0" w:line="175" w:lineRule="exact"/>
        <w:rPr>
          <w:sz w:val="20"/>
          <w:szCs w:val="20"/>
          <w:color w:val="auto"/>
        </w:rPr>
      </w:pPr>
    </w:p>
    <w:p>
      <w:pPr>
        <w:ind w:right="60" w:firstLine="656"/>
        <w:spacing w:after="0" w:line="279" w:lineRule="auto"/>
        <w:tabs>
          <w:tab w:leader="none" w:pos="1026"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Performance Awards, including Incentive Awards, shall be paid in either unrestricted Shares or cash, as the case may be, following the end of the performance period and based on achievement of the Performance Goals established for such Awards, as if the Participant had not Retired or experienced a Covered Termination; provided that with respect to a Participant who first becomes a Board-appointed corporate officer on or after January 1, 2021, such Performance Awards, if earned based on achievement of the Performance Goals, will be pro-rated based on the number of days in the performance period during which the Participant was employed prior to the time of Retirement or Covered Termination.</w:t>
      </w:r>
    </w:p>
    <w:p>
      <w:pPr>
        <w:sectPr>
          <w:pgSz w:w="11900" w:h="16838" w:orient="portrait"/>
          <w:cols w:equalWidth="0" w:num="1">
            <w:col w:w="11240"/>
          </w:cols>
          <w:pgMar w:left="320" w:top="12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KEY EXECUTIVE EMPLOYMENT AND SEVERANCE AGREEMENT</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This Amendment to Key Executive Employment and Severance Agreement (“Amendment”) is made and entered into as of the 1st day of January, 2021, by and between Pentair plc, an Irish corporation limited by shares (hereinafter referred to as the “Company”), and ________________ (hereinafter referred to as the “Executive”).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and the Company are parties to a Key Executive Employment and Severance Agreement made and</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as of the ___ day of ____________, 20__ (the “KEESA”); and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and the Company have mutually agreed to amend the KEESA 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Amendment.</w:t>
      </w:r>
    </w:p>
    <w:p>
      <w:pPr>
        <w:spacing w:after="0" w:line="189"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accordance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19</w:t>
      </w:r>
      <w:r>
        <w:rPr>
          <w:rFonts w:ascii="Arial" w:cs="Arial" w:eastAsia="Arial" w:hAnsi="Arial"/>
          <w:sz w:val="19"/>
          <w:szCs w:val="19"/>
          <w:b w:val="1"/>
          <w:bCs w:val="1"/>
          <w:color w:val="auto"/>
        </w:rPr>
        <w:t xml:space="preserve"> </w:t>
      </w:r>
      <w:r>
        <w:rPr>
          <w:rFonts w:ascii="Arial" w:cs="Arial" w:eastAsia="Arial" w:hAnsi="Arial"/>
          <w:sz w:val="19"/>
          <w:szCs w:val="19"/>
          <w:color w:val="auto"/>
        </w:rPr>
        <w:t>of the KEESA, and in consideration of the foregoing and of</w:t>
      </w:r>
      <w:r>
        <w:rPr>
          <w:rFonts w:ascii="Arial" w:cs="Arial" w:eastAsia="Arial" w:hAnsi="Arial"/>
          <w:sz w:val="19"/>
          <w:szCs w:val="19"/>
          <w:b w:val="1"/>
          <w:bCs w:val="1"/>
          <w:color w:val="auto"/>
        </w:rPr>
        <w:t xml:space="preserve"> </w:t>
      </w:r>
      <w:r>
        <w:rPr>
          <w:rFonts w:ascii="Arial" w:cs="Arial" w:eastAsia="Arial" w:hAnsi="Arial"/>
          <w:sz w:val="19"/>
          <w:szCs w:val="19"/>
          <w:color w:val="auto"/>
        </w:rPr>
        <w:t>the mutual covenants and agreements hereinafter set forth, the parties hereto mutually covenant and agree as follows:</w:t>
      </w:r>
    </w:p>
    <w:p>
      <w:pPr>
        <w:spacing w:after="0" w:line="127"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of the KEESA is hereby deleted in its entirety and replaced with the following language:</w:t>
      </w:r>
    </w:p>
    <w:p>
      <w:pPr>
        <w:spacing w:after="0" w:line="233" w:lineRule="exact"/>
        <w:rPr>
          <w:rFonts w:ascii="Arial" w:cs="Arial" w:eastAsia="Arial" w:hAnsi="Arial"/>
          <w:sz w:val="22"/>
          <w:szCs w:val="22"/>
          <w:color w:val="auto"/>
        </w:rPr>
      </w:pPr>
    </w:p>
    <w:p>
      <w:pPr>
        <w:jc w:val="both"/>
        <w:ind w:left="660" w:firstLine="644"/>
        <w:spacing w:after="0" w:line="270" w:lineRule="auto"/>
        <w:tabs>
          <w:tab w:leader="none" w:pos="1602"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Termination Payment</w:t>
      </w:r>
      <w:r>
        <w:rPr>
          <w:rFonts w:ascii="Arial" w:cs="Arial" w:eastAsia="Arial" w:hAnsi="Arial"/>
          <w:sz w:val="19"/>
          <w:szCs w:val="19"/>
          <w:color w:val="auto"/>
        </w:rPr>
        <w:t xml:space="preserve">. The “Termination Payment” shall be an amount equal to the Annual Cash Compensation times two; provided, however,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then the “Termination Payment” shall be an amount equal to the Annual Cash Compensation times two minus any cash amounts received by the Executive under the Pentair plc Executive Officer Severance Plan (if any) as of the date on which a Change in Control of the Company occurs.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 Termination Payment shall be paid within ten (10) business days after the date of the Change in Control of the Company (as defined without reference to </w:t>
      </w:r>
      <w:r>
        <w:rPr>
          <w:rFonts w:ascii="Arial" w:cs="Arial" w:eastAsia="Arial" w:hAnsi="Arial"/>
          <w:sz w:val="19"/>
          <w:szCs w:val="19"/>
          <w:u w:val="single" w:color="auto"/>
          <w:color w:val="auto"/>
        </w:rPr>
        <w:t>Section 2(b</w:t>
      </w:r>
      <w:r>
        <w:rPr>
          <w:rFonts w:ascii="Arial" w:cs="Arial" w:eastAsia="Arial" w:hAnsi="Arial"/>
          <w:sz w:val="19"/>
          <w:szCs w:val="19"/>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ectPr>
          <w:pgSz w:w="11900" w:h="16838" w:orient="portrait"/>
          <w:cols w:equalWidth="0" w:num="1">
            <w:col w:w="11240"/>
          </w:cols>
          <w:pgMar w:left="320" w:top="126" w:right="339" w:bottom="1440" w:gutter="0" w:footer="0" w:header="0"/>
        </w:sectPr>
      </w:pPr>
    </w:p>
    <w:bookmarkStart w:id="126" w:name="page127"/>
    <w:bookmarkEnd w:id="126"/>
    <w:p>
      <w:pPr>
        <w:spacing w:after="0" w:line="218" w:lineRule="exact"/>
        <w:rPr>
          <w:sz w:val="20"/>
          <w:szCs w:val="20"/>
          <w:color w:val="auto"/>
        </w:rPr>
      </w:pPr>
    </w:p>
    <w:p>
      <w:pPr>
        <w:ind w:left="212" w:hanging="212"/>
        <w:spacing w:after="0"/>
        <w:tabs>
          <w:tab w:leader="none" w:pos="212"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Section 9(c)(ii)(A)</w:t>
      </w:r>
      <w:r>
        <w:rPr>
          <w:rFonts w:ascii="Arial" w:cs="Arial" w:eastAsia="Arial" w:hAnsi="Arial"/>
          <w:sz w:val="22"/>
          <w:szCs w:val="22"/>
          <w:color w:val="auto"/>
        </w:rPr>
        <w:t xml:space="preserve"> of the KEESA is hereby amended to delete the last sentence of </w:t>
      </w:r>
      <w:r>
        <w:rPr>
          <w:rFonts w:ascii="Arial" w:cs="Arial" w:eastAsia="Arial" w:hAnsi="Arial"/>
          <w:sz w:val="22"/>
          <w:szCs w:val="22"/>
          <w:u w:val="single" w:color="auto"/>
          <w:color w:val="auto"/>
        </w:rPr>
        <w:t>Section 9(c)(ii)(A)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72" w:hanging="224"/>
        <w:spacing w:after="0"/>
        <w:tabs>
          <w:tab w:leader="none" w:pos="872" w:val="left"/>
        </w:tabs>
        <w:numPr>
          <w:ilvl w:val="1"/>
          <w:numId w:val="93"/>
        </w:numPr>
        <w:rPr>
          <w:rFonts w:ascii="Arial" w:cs="Arial" w:eastAsia="Arial" w:hAnsi="Arial"/>
          <w:sz w:val="19"/>
          <w:szCs w:val="19"/>
          <w:color w:val="auto"/>
        </w:rPr>
      </w:pPr>
      <w:r>
        <w:rPr>
          <w:rFonts w:ascii="Arial" w:cs="Arial" w:eastAsia="Arial" w:hAnsi="Arial"/>
          <w:sz w:val="19"/>
          <w:szCs w:val="19"/>
          <w:color w:val="auto"/>
        </w:rPr>
        <w:t>All capitalized terms not otherwise defined herein shall have the meanings ascribed to such terms in the KEESA.</w:t>
      </w:r>
    </w:p>
    <w:p>
      <w:pPr>
        <w:spacing w:after="0" w:line="267" w:lineRule="exact"/>
        <w:rPr>
          <w:rFonts w:ascii="Arial" w:cs="Arial" w:eastAsia="Arial" w:hAnsi="Arial"/>
          <w:sz w:val="19"/>
          <w:szCs w:val="19"/>
          <w:color w:val="auto"/>
        </w:rPr>
      </w:pPr>
    </w:p>
    <w:p>
      <w:pPr>
        <w:ind w:left="872" w:hanging="224"/>
        <w:spacing w:after="0"/>
        <w:tabs>
          <w:tab w:leader="none" w:pos="872" w:val="left"/>
        </w:tabs>
        <w:numPr>
          <w:ilvl w:val="1"/>
          <w:numId w:val="93"/>
        </w:numPr>
        <w:rPr>
          <w:rFonts w:ascii="Arial" w:cs="Arial" w:eastAsia="Arial" w:hAnsi="Arial"/>
          <w:sz w:val="21"/>
          <w:szCs w:val="21"/>
          <w:color w:val="auto"/>
        </w:rPr>
      </w:pPr>
      <w:r>
        <w:rPr>
          <w:rFonts w:ascii="Arial" w:cs="Arial" w:eastAsia="Arial" w:hAnsi="Arial"/>
          <w:sz w:val="21"/>
          <w:szCs w:val="21"/>
          <w:color w:val="auto"/>
        </w:rPr>
        <w:t>Other than as expressly provided in this Amendment, the KEESA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52"/>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0632"/>
          </w:cols>
          <w:pgMar w:left="328" w:top="1440" w:right="939" w:bottom="1440" w:gutter="0" w:footer="0" w:header="0"/>
        </w:sectPr>
      </w:pPr>
    </w:p>
    <w:bookmarkStart w:id="127" w:name="page128"/>
    <w:bookmarkEnd w:id="127"/>
    <w:p>
      <w:pPr>
        <w:jc w:val="center"/>
        <w:ind w:right="539"/>
        <w:spacing w:after="0" w:line="289" w:lineRule="auto"/>
        <w:rPr>
          <w:sz w:val="20"/>
          <w:szCs w:val="20"/>
          <w:color w:val="auto"/>
        </w:rPr>
      </w:pPr>
      <w:r>
        <w:rPr>
          <w:rFonts w:ascii="Arial" w:cs="Arial" w:eastAsia="Arial" w:hAnsi="Arial"/>
          <w:sz w:val="22"/>
          <w:szCs w:val="22"/>
          <w:color w:val="auto"/>
        </w:rPr>
        <w:t xml:space="preserve">IN WITNESS WHEREOF, the parties have executed this Agreement as of the day and year first above written. </w:t>
      </w:r>
      <w:r>
        <w:rPr>
          <w:rFonts w:ascii="Arial" w:cs="Arial" w:eastAsia="Arial" w:hAnsi="Arial"/>
          <w:sz w:val="22"/>
          <w:szCs w:val="22"/>
          <w:b w:val="1"/>
          <w:bCs w:val="1"/>
          <w:color w:val="auto"/>
        </w:rPr>
        <w:t>PENTAIR PLC</w:t>
      </w:r>
    </w:p>
    <w:p>
      <w:pPr>
        <w:spacing w:after="0" w:line="214"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15875</wp:posOffset>
            </wp:positionV>
            <wp:extent cx="40030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59" w:lineRule="exact"/>
        <w:rPr>
          <w:sz w:val="20"/>
          <w:szCs w:val="20"/>
          <w:color w:val="auto"/>
        </w:rPr>
      </w:pPr>
    </w:p>
    <w:p>
      <w:pPr>
        <w:ind w:left="4040"/>
        <w:spacing w:after="0"/>
        <w:rPr>
          <w:sz w:val="20"/>
          <w:szCs w:val="20"/>
          <w:color w:val="auto"/>
        </w:rPr>
      </w:pPr>
      <w:r>
        <w:rPr>
          <w:rFonts w:ascii="Arial" w:cs="Arial" w:eastAsia="Arial" w:hAnsi="Arial"/>
          <w:sz w:val="22"/>
          <w:szCs w:val="22"/>
          <w:u w:val="single" w:color="auto"/>
          <w:color w:val="auto"/>
        </w:rPr>
        <w:t>Its:</w:t>
      </w:r>
    </w:p>
    <w:p>
      <w:pPr>
        <w:spacing w:after="0" w:line="28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15875</wp:posOffset>
            </wp:positionV>
            <wp:extent cx="3857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159" w:lineRule="exact"/>
        <w:rPr>
          <w:sz w:val="20"/>
          <w:szCs w:val="20"/>
          <w:color w:val="auto"/>
        </w:rPr>
      </w:pPr>
    </w:p>
    <w:p>
      <w:pPr>
        <w:ind w:left="4040"/>
        <w:spacing w:after="0"/>
        <w:rPr>
          <w:sz w:val="20"/>
          <w:szCs w:val="20"/>
          <w:color w:val="auto"/>
        </w:rPr>
      </w:pPr>
      <w:r>
        <w:rPr>
          <w:rFonts w:ascii="Arial" w:cs="Arial" w:eastAsia="Arial" w:hAnsi="Arial"/>
          <w:sz w:val="22"/>
          <w:szCs w:val="22"/>
          <w:u w:val="single" w:color="auto"/>
          <w:color w:val="auto"/>
        </w:rPr>
        <w:t>Its:</w:t>
      </w:r>
    </w:p>
    <w:p>
      <w:pPr>
        <w:spacing w:after="0" w:line="281"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362585</wp:posOffset>
            </wp:positionV>
            <wp:extent cx="4457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0139"/>
          </w:cols>
          <w:pgMar w:left="320" w:top="141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SEPARATION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This CONFIDENTIAL SEPARATION AGREEMENT (“Agreement”) is made effective this 31st day of December 2020 by and between Karl Frykman (“Employee”) and Pentair Water Pool and Spa, Inc. on behalf of itself, its predecessors, subsidiaries and affiliated entities (collectively,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Employee's employment will end on December 31, 2020.</w:t>
      </w:r>
    </w:p>
    <w:p>
      <w:pPr>
        <w:spacing w:after="0" w:line="206"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2"/>
          <w:szCs w:val="22"/>
          <w:color w:val="auto"/>
        </w:rPr>
        <w:t>WHEREAS, in an effort to ease Employee's transition in connection with the separation of employment, the Company is offering this Agreement to Employee.</w:t>
      </w:r>
    </w:p>
    <w:p>
      <w:pPr>
        <w:spacing w:after="0" w:line="175"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WHEREAS, the parties now wish to enter into this Agreement to memorialize their mutual understanding and agreement regarding their respective obligations to one another regarding the terms and conditions of Employee’s separation of employment.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WHEREFORE, for good and valuable consideration, the parties hereby agree as follows:</w:t>
      </w:r>
    </w:p>
    <w:p>
      <w:pPr>
        <w:spacing w:after="0" w:line="206" w:lineRule="exact"/>
        <w:rPr>
          <w:sz w:val="20"/>
          <w:szCs w:val="20"/>
          <w:color w:val="auto"/>
        </w:rPr>
      </w:pPr>
    </w:p>
    <w:p>
      <w:pPr>
        <w:ind w:right="60" w:firstLine="656"/>
        <w:spacing w:after="0" w:line="257" w:lineRule="auto"/>
        <w:tabs>
          <w:tab w:leader="none" w:pos="129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Separation Payment and Other Benefits</w:t>
      </w:r>
      <w:r>
        <w:rPr>
          <w:rFonts w:ascii="Arial" w:cs="Arial" w:eastAsia="Arial" w:hAnsi="Arial"/>
          <w:sz w:val="21"/>
          <w:szCs w:val="21"/>
          <w:color w:val="auto"/>
        </w:rPr>
        <w:t>. As consideration for the Employee’s execution of, non-revocation of, and compliance with this Agreement and the post-employment restriction in the form attached hereto as Exhibit A, the Company shall pay Employee the total sum of $2,527,000.00, less applicable withholdings payable as follows:</w:t>
      </w:r>
    </w:p>
    <w:p>
      <w:pPr>
        <w:spacing w:after="0" w:line="169" w:lineRule="exact"/>
        <w:rPr>
          <w:rFonts w:ascii="Arial" w:cs="Arial" w:eastAsia="Arial" w:hAnsi="Arial"/>
          <w:sz w:val="21"/>
          <w:szCs w:val="21"/>
          <w:color w:val="auto"/>
        </w:rPr>
      </w:pPr>
    </w:p>
    <w:p>
      <w:pPr>
        <w:ind w:left="660" w:right="60" w:firstLine="644"/>
        <w:spacing w:after="0" w:line="238" w:lineRule="auto"/>
        <w:tabs>
          <w:tab w:leader="none" w:pos="1944"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Confidentiality Payment</w:t>
      </w:r>
      <w:r>
        <w:rPr>
          <w:rFonts w:ascii="Arial" w:cs="Arial" w:eastAsia="Arial" w:hAnsi="Arial"/>
          <w:sz w:val="22"/>
          <w:szCs w:val="22"/>
          <w:color w:val="auto"/>
        </w:rPr>
        <w:t>: As consideration for the Employee’s reaffirmation of his ongoing and continuous confidentiality obligations set forth in Section 4, Employee shall receive the total amount of $1,000,000, less any applicable withholdings. This payment shall be paid no later than January 31, 2022 provided that Employee has not revoked or breached this Agreement.</w:t>
      </w:r>
    </w:p>
    <w:p>
      <w:pPr>
        <w:spacing w:after="0" w:line="184" w:lineRule="exact"/>
        <w:rPr>
          <w:rFonts w:ascii="Arial" w:cs="Arial" w:eastAsia="Arial" w:hAnsi="Arial"/>
          <w:sz w:val="22"/>
          <w:szCs w:val="22"/>
          <w:color w:val="auto"/>
        </w:rPr>
      </w:pPr>
    </w:p>
    <w:p>
      <w:pPr>
        <w:ind w:left="660" w:right="260" w:firstLine="644"/>
        <w:spacing w:after="0" w:line="238" w:lineRule="auto"/>
        <w:tabs>
          <w:tab w:leader="none" w:pos="1956"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Separation and Release Payment:</w:t>
      </w:r>
      <w:r>
        <w:rPr>
          <w:rFonts w:ascii="Arial" w:cs="Arial" w:eastAsia="Arial" w:hAnsi="Arial"/>
          <w:sz w:val="22"/>
          <w:szCs w:val="22"/>
          <w:color w:val="auto"/>
        </w:rPr>
        <w:t xml:space="preserve"> As consideration for the Employee’s release set forth in Section 2, and his promises set forth in Sections 5 and 6, Employee shall receive the total amount of $527,000, less any applicable withholdings. This payment shall be paid no later than January 31, 2021 provided that Employee has not executed his right to rescind the Agreement.</w:t>
      </w:r>
    </w:p>
    <w:p>
      <w:pPr>
        <w:spacing w:after="0" w:line="184" w:lineRule="exact"/>
        <w:rPr>
          <w:rFonts w:ascii="Arial" w:cs="Arial" w:eastAsia="Arial" w:hAnsi="Arial"/>
          <w:sz w:val="22"/>
          <w:szCs w:val="22"/>
          <w:color w:val="auto"/>
        </w:rPr>
      </w:pPr>
    </w:p>
    <w:p>
      <w:pPr>
        <w:ind w:left="660" w:right="220" w:firstLine="644"/>
        <w:spacing w:after="0" w:line="238" w:lineRule="auto"/>
        <w:tabs>
          <w:tab w:leader="none" w:pos="1944"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Post-Employment Restrictive Covenant Payment</w:t>
      </w:r>
      <w:r>
        <w:rPr>
          <w:rFonts w:ascii="Arial" w:cs="Arial" w:eastAsia="Arial" w:hAnsi="Arial"/>
          <w:sz w:val="22"/>
          <w:szCs w:val="22"/>
          <w:color w:val="auto"/>
        </w:rPr>
        <w:t>: As consideration for the Employee’s post-employment restriction covenants set forth in Exhibit A, Employee shall receive the total amount of $1,000,000, less any applicable withholdings. This sum will be paid in two equal installments, payable no later than January 31, 2021 and January 31, 2022.</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Further, provided Employee does not exercise his right of rescission under Section 8, the Company will pay to Employee an additional lump sum of $28,201.00, less applicable withholdings (the “COBRA Subsidy”), which Employee may use toward the cost of future health insurance premiums or for other purposes. The COBRA Subsidy will be paid to Employee at the same time the Separation and Release Payment is made.</w:t>
      </w:r>
    </w:p>
    <w:p>
      <w:pPr>
        <w:sectPr>
          <w:pgSz w:w="11900" w:h="16838" w:orient="portrait"/>
          <w:cols w:equalWidth="0" w:num="1">
            <w:col w:w="11240"/>
          </w:cols>
          <w:pgMar w:left="320" w:top="126" w:right="339" w:bottom="1440" w:gutter="0" w:footer="0" w:header="0"/>
        </w:sectPr>
      </w:pPr>
    </w:p>
    <w:bookmarkStart w:id="129" w:name="page130"/>
    <w:bookmarkEnd w:id="129"/>
    <w:p>
      <w:pPr>
        <w:spacing w:after="0" w:line="200" w:lineRule="exact"/>
        <w:rPr>
          <w:sz w:val="20"/>
          <w:szCs w:val="20"/>
          <w:color w:val="auto"/>
        </w:rPr>
      </w:pP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As a participant in the Pentair 2020 Management Incentive Plan (“MIP”), Employee will be eligible to receive a MIP bonus award, subject to the terms and conditions of the MIP, which shall be calculated using Employee’s monthly base salary in effect on the Separation Date. Such bonus award shall be payable at the same time other eligible participants in the MIP receive their payments, on or before March 15, 2021.</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parties acknowledge that Employee will receive pay for his accrued and unused vacation remaining (if any) as of the Separation Date with or without this Agreement. Further, as an inducement for the Company to agree to tender the Separation Payment to Employee, Employee acknowledges and affirms that he has been fully compensated for all hours actually worked and that there are no hours that he actually worked prior to the Separation Date for which he has not already been paid in full. Employee understands and agrees that, except as provided above and in Section 10 below, he has no rights to or claims under any other severance plans, bonus or incentive compensation plans of any type, including, but not limited to, the Pentair Management Incentive Plan, the Omnibus Stock Incentive Plan, the 2008 Omnibus Stock Incentive Plan, the 2012 Stock and Incentive Plan, the Pentair plc Employee Stock Purchase and Bonus Plan, the Pentair, Inc. Supplemental Executive Retirement Plan (together with its predecessors), the Pentair Inc. Restoration Plan (together with its predecessors), the Pentair Inc. Deferred Compensation Plan (referred to as the “Sidekick Plan”) or any plans of employers acquired by the Company with respect to options, restricted stock, restricted stock units or performance units. The Omnibus Stock Incentive Plan, the 2008 Omnibus Stock Incentive Plan, and the 2012 Stock and Incentive Plan are in the aggregate called the “Pentair Equity Plans” and the document(s) establishing the terms and conditions of the grants under the Pentair Equity Plans are called the “Terms &amp; Conditions” in this Agreement.</w:t>
      </w:r>
    </w:p>
    <w:p>
      <w:pPr>
        <w:spacing w:after="0" w:line="156" w:lineRule="exact"/>
        <w:rPr>
          <w:sz w:val="20"/>
          <w:szCs w:val="20"/>
          <w:color w:val="auto"/>
        </w:rPr>
      </w:pPr>
    </w:p>
    <w:p>
      <w:pPr>
        <w:ind w:firstLine="656"/>
        <w:spacing w:after="0" w:line="271" w:lineRule="auto"/>
        <w:tabs>
          <w:tab w:leader="none" w:pos="102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exchange for the benefits set forth in Section 1(b) in this Agreement, Employee, on behalf of himself, his agents, representatives, attorneys, assignees, heirs, executors, and administrators, hereby covenants not to sue and hereby releases and forever discharges the Company, and its past and present employees, agents, insurers, officials, officers, directors, divisions, parents (including Pentair plc), subsidiaries, predecessors and successors, and all affiliated entities and persons, and all of their respective past and present employees, agents, insurers, officials, officers, and directors from any and all claims and causes of action of any type arising, or which may have arisen, out of or in connection with his employment or the separation of his employment with the Company, including but not limited to claims, demands or actions arising under the National Labor Relations Act, Title VII of the Civil Rights Act of 1964, the Employee Retirement Income Security Act of 1974, the Age Discrimination in Employment Act of 1967 as amended by the Older Workers Benefit Protection Act, the Equal Pay Act, 42 U.S.C. § 1981, the Sarbanes-Oxley Act, the Dodd–Frank Wall Street Reform and Consumer Protection Act, the Fair Credit Reporting Act, the Vocational Rehabilitation Act, the Family and Medical Leave Act, the Worker Adjustment and Retraining Notification Act, the Fair Labor Standards Act, the Lily Ledbetter Fair Pay Act of 2009, the Americans with Disabilities Act, the Rehabilitation Act of 1973, the Genetic Information Nondiscrimination Act, the Immigration Reform and Control Act of 1986, the Civil Rights Act of 1991, the Occupational Safety and Health Act, the Consumer Credit Protection Act, the American Recovery and Reinvestment Act of 2009, the Asbestos Hazard Emergency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270" w:lineRule="auto"/>
        <w:rPr>
          <w:sz w:val="20"/>
          <w:szCs w:val="20"/>
          <w:color w:val="auto"/>
        </w:rPr>
      </w:pPr>
      <w:r>
        <w:rPr>
          <w:rFonts w:ascii="Arial" w:cs="Arial" w:eastAsia="Arial" w:hAnsi="Arial"/>
          <w:sz w:val="19"/>
          <w:szCs w:val="19"/>
          <w:color w:val="auto"/>
        </w:rPr>
        <w:t>Act, Employee Polygraph Protection Act, the Uniformed Services Employment and Reemployment Rights Act, California Fair Employment and Housing Act, the California Family Rights Act, the California Healthy Workplaces Healthy Families Act, the California Wage Theft Prevention Act, the California Equal Pay Act, the California WARN Act, the California Consumer Privacy Rights Act, the California Whistleblower Protection Act, the California Pregnancy Disability Leave Law, the California Paid KinCare Leave Law, the California Minimum Wage Law, the California Consumer Credit Reporting Agencies Act, the California Investigative Consumer Reporting Agencies Act, the California Confidentiality of Medical Information Act, the California Genetic Privacy Law, the California Use and Disclosure of HIV Tests Law, the California Employer Use of Social Media Law, the California Crime Victim Leave Law, the California Domestic Violence and Sexual Assault Victim Leave Law, the California Military and Military Spouse Leave Law, the California Alcohol and Drug Rehabilitation Leave Law, the California Organ and Bone Marrow Donor Leave Law, the California School Activity Leave Law, the California Occupational Safety and Health Law, the California Workers’ Compensation Law (excluding claims for benefits), the California Labor Code, the California Constitution, California common law and all other applicable state, county and local ordinances, statutes and regulations. Employee further understands that this discharge of claims extends to, but is not limited to, all claims which he may have as of the date of this Agreement based upon statutory or common law claims for defamation, libel, slander, assault, battery, negligent or intentional infliction of emotional distress, negligent hiring or retention, breach of contract, retaliation, whistleblowing, promissory estoppel, fraud, wrongful discharge, or any other theory, whether legal or equitable, and any and all claims for wages, salary, bonuses, commissions, damages, attorney’s fees or costs. Employee acknowledges that this release includes all claims that he is legally permitted to release, and as such, does not apply to any vested rights under the Company’s retirement plans, nor does it preclude him from filing an administrative charge with a government agency, though he may not recover any damages or receive any relief from the Company if he does file such a charge.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Waiver of Section 1542</w:t>
      </w:r>
      <w:r>
        <w:rPr>
          <w:rFonts w:ascii="Arial" w:cs="Arial" w:eastAsia="Arial" w:hAnsi="Arial"/>
          <w:sz w:val="19"/>
          <w:szCs w:val="19"/>
          <w:color w:val="auto"/>
        </w:rPr>
        <w:t>. In addition to the foregoing release of claims, Employee expressly waives any and all rights under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1542 of the Civil Code of the State of California, which provides that:</w:t>
      </w:r>
    </w:p>
    <w:p>
      <w:pPr>
        <w:spacing w:after="0" w:line="134" w:lineRule="exact"/>
        <w:rPr>
          <w:sz w:val="20"/>
          <w:szCs w:val="20"/>
          <w:color w:val="auto"/>
        </w:rPr>
      </w:pPr>
    </w:p>
    <w:p>
      <w:pPr>
        <w:ind w:left="1300" w:right="160"/>
        <w:spacing w:after="0" w:line="21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HIS/HER FAVOR AT THE TIME OF EXECUTING THE RELEASE, WHICH IF KNOWN BY HIM/HER MUST HAVE MATERIALLY AFFECTED HIS/HER SETTLEMENT WITH THE DEBTOR.</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Employee expressly and completely waives and releases any right or benefit which he/she has or may have under this law, or any similar law, pertaining to the claims which he/she is releasing herein. Employee is aware that he/she may later discover claims presently unknown or unsuspected, or facts in addition to or different from those which he/she now knows or believes to be true. Nevertheless, it is Employee’s intention to fully, finally and forever settle and release all such matters, and all related claims.</w:t>
      </w:r>
    </w:p>
    <w:p>
      <w:pPr>
        <w:spacing w:after="0" w:line="143" w:lineRule="exact"/>
        <w:rPr>
          <w:sz w:val="20"/>
          <w:szCs w:val="20"/>
          <w:color w:val="auto"/>
        </w:rPr>
      </w:pPr>
    </w:p>
    <w:p>
      <w:pPr>
        <w:ind w:right="980" w:firstLine="656"/>
        <w:spacing w:after="0" w:line="328" w:lineRule="auto"/>
        <w:tabs>
          <w:tab w:leader="none" w:pos="102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Separation from Employment</w:t>
      </w:r>
      <w:r>
        <w:rPr>
          <w:rFonts w:ascii="Arial" w:cs="Arial" w:eastAsia="Arial" w:hAnsi="Arial"/>
          <w:sz w:val="19"/>
          <w:szCs w:val="19"/>
          <w:color w:val="auto"/>
        </w:rPr>
        <w:t>. Employee’s employment with the company will end on December 31, 2020 (“Separation Date”), and employee is electing to sign this Agreement after his employment has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4" w:right="359" w:bottom="1440" w:gutter="0" w:footer="0" w:header="0"/>
        </w:sectPr>
      </w:pPr>
    </w:p>
    <w:bookmarkStart w:id="131" w:name="page132"/>
    <w:bookmarkEnd w:id="131"/>
    <w:p>
      <w:pPr>
        <w:ind w:firstLine="656"/>
        <w:spacing w:after="0" w:line="244" w:lineRule="auto"/>
        <w:tabs>
          <w:tab w:leader="none" w:pos="102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Confidential and Proprietary Information Acquired During Employment</w:t>
      </w:r>
      <w:r>
        <w:rPr>
          <w:rFonts w:ascii="Arial" w:cs="Arial" w:eastAsia="Arial" w:hAnsi="Arial"/>
          <w:sz w:val="21"/>
          <w:szCs w:val="21"/>
          <w:color w:val="auto"/>
        </w:rPr>
        <w:t>. Employee acknowledges that during his employment he had access to and assisted with the development of confidential and proprietary information. Employee agrees that he will continue to treat, as confidential, proprietary and privileged, any information, data, figures, projections, estimates, marketing plans, customer lists, lists of contract workers, tax records, personnel records, accounting procedures, formulas, contracts, business partners, alliances, ventures and all other confidential information which Employee acquired while working for the Company. Employee agrees that he will not release any such information to any person, firm, corporation or other entity at any time, except as may be required by law, or as agreed to in writing by the Company. Employee acknowledges that this obligation continues even after he has received the Confidentiality Payment set forth in Section 1(a) and applies regardless of whether this Agreement is rescinded, modified or deemed invalid. Employee further acknowledges that this obligation is separate and apart from the obligations provided for in Exhibit A and survives the expiration, termination or rescission of those specific obligations.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Employee acknowledges and agrees that any violation of this non-disclosure provision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to enforce the Company’s under this provision,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Employee’s breach of this provision, the Company may recoup the value of the Confidentiality Payment. In addition to the foregoing, the Company shall be entitled to collect from the Employee any reasonable attorney’s fees and costs occurred in bringing any action against Employee or otherwise to enforce the terms of this Agreement.</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1"/>
          <w:szCs w:val="21"/>
          <w:b w:val="1"/>
          <w:bCs w:val="1"/>
          <w:i w:val="1"/>
          <w:iCs w:val="1"/>
          <w:color w:val="auto"/>
        </w:rPr>
        <w:t>Immunity from Liability</w:t>
      </w:r>
      <w:r>
        <w:rPr>
          <w:rFonts w:ascii="Arial" w:cs="Arial" w:eastAsia="Arial" w:hAnsi="Arial"/>
          <w:sz w:val="21"/>
          <w:szCs w:val="21"/>
          <w:color w:val="auto"/>
        </w:rPr>
        <w:t>: Employee shall not be held criminally or civilly liable under any federal or state trade secret law for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disclosure of a trade secret that is made in confidence to a federal, state or local government official, either directly or indirectly, or to an attorney, and is made solely for the purpose of reporting or investigating a suspected violation of law. The same immunity will be provided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0" w:lineRule="exact"/>
        <w:rPr>
          <w:sz w:val="20"/>
          <w:szCs w:val="20"/>
          <w:color w:val="auto"/>
        </w:rPr>
      </w:pPr>
    </w:p>
    <w:p>
      <w:pPr>
        <w:ind w:right="120" w:firstLine="656"/>
        <w:spacing w:after="0" w:line="235" w:lineRule="auto"/>
        <w:tabs>
          <w:tab w:leader="none" w:pos="1026"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Confidentiality of Agreement; No Disparaging Remarks</w:t>
      </w:r>
      <w:r>
        <w:rPr>
          <w:rFonts w:ascii="Arial" w:cs="Arial" w:eastAsia="Arial" w:hAnsi="Arial"/>
          <w:sz w:val="22"/>
          <w:szCs w:val="22"/>
          <w:color w:val="auto"/>
        </w:rPr>
        <w:t>. Employee represents and agrees that he will keep the terms and facts of this Agreement completely confidential, and that he will not disclose any information concerning this Agreement to anyone, except for his counsel, tax accountant, spouse or except as may be required by law or agreed to in writing by the Company or as otherwise required for Employee to enforce or defend his rights hereunder. Further, subject to Section 14 below, Employee shall not make any disparaging remarks of any sort or otherwise communicate any disparaging comments about the Company, its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32" w:name="page133"/>
    <w:bookmarkEnd w:id="132"/>
    <w:p>
      <w:pPr>
        <w:ind w:right="20"/>
        <w:spacing w:after="0" w:line="238" w:lineRule="auto"/>
        <w:rPr>
          <w:sz w:val="20"/>
          <w:szCs w:val="20"/>
          <w:color w:val="auto"/>
        </w:rPr>
      </w:pPr>
      <w:r>
        <w:rPr>
          <w:rFonts w:ascii="Arial" w:cs="Arial" w:eastAsia="Arial" w:hAnsi="Arial"/>
          <w:sz w:val="22"/>
          <w:szCs w:val="22"/>
          <w:color w:val="auto"/>
        </w:rPr>
        <w:t>officers or directors, or about any of the other released persons or entities identified in Section 2 to any other person or entity. However, Employee shall not be held in breach of this provision if he discloses information to a federal, state or local government official, either directly or indirectly, or to an attorney, solely for the purpose of reporting or investigating a suspected violation of law.</w:t>
      </w:r>
    </w:p>
    <w:p>
      <w:pPr>
        <w:spacing w:after="0" w:line="185" w:lineRule="exact"/>
        <w:rPr>
          <w:sz w:val="20"/>
          <w:szCs w:val="20"/>
          <w:color w:val="auto"/>
        </w:rPr>
      </w:pPr>
    </w:p>
    <w:p>
      <w:pPr>
        <w:ind w:firstLine="656"/>
        <w:spacing w:after="0" w:line="271" w:lineRule="auto"/>
        <w:tabs>
          <w:tab w:leader="none" w:pos="102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Cooperation and Certification</w:t>
      </w:r>
      <w:r>
        <w:rPr>
          <w:rFonts w:ascii="Arial" w:cs="Arial" w:eastAsia="Arial" w:hAnsi="Arial"/>
          <w:sz w:val="19"/>
          <w:szCs w:val="19"/>
          <w:color w:val="auto"/>
        </w:rPr>
        <w:t>. At the request of the Company following the Separation Date and subject to Section 14 below, Employee will cooperate with the Company, with Pentair plc and with any affiliate of Pentair plc in any claims or lawsuits where Employee has knowledge of the facts. Employee shall, when requested by Company, provide testimony or other assistance in order to fulfill this obligation; provided, however, that, in connection with such litigation or investigation, Company shall attempt to accommodate Employee’s schedule, shall provide Employee with reasonable notice in advance of the times in which Employee’s cooperation or assistance is needed, and shall reimburse Employee for any reasonable expenses incurred in connection with such matters. Nothing in this Agreement prevents Employee from testifying at an administrative hearing, arbitration, deposition or in court in response to a lawful and properly served subpoena (provided Employee provides written notice of the service of the subpoena to the Company within twenty-four (24) hours of receipt), nor does it preclude Employee from filing an administrative charge with a government agency or cooperating with a government agency in connection with an administrative charge (though he may not recover damages or receive any relief from the Company if he does file such a charge as noted in Section 2 above). Finally, Employee certifies, warrants and represents that he has faithfully discharged his role with the Company at all times during his employment. Employee further certifies, warrants and represents that he is unaware of any actual or potential violations of law by the Company, Pentair plc, or any affiliate of Pentair plc.</w:t>
      </w:r>
    </w:p>
    <w:p>
      <w:pPr>
        <w:spacing w:after="0" w:line="164" w:lineRule="exact"/>
        <w:rPr>
          <w:rFonts w:ascii="Arial" w:cs="Arial" w:eastAsia="Arial" w:hAnsi="Arial"/>
          <w:sz w:val="19"/>
          <w:szCs w:val="19"/>
          <w:color w:val="auto"/>
        </w:rPr>
      </w:pPr>
    </w:p>
    <w:p>
      <w:pPr>
        <w:jc w:val="both"/>
        <w:ind w:right="160" w:firstLine="656"/>
        <w:spacing w:after="0" w:line="297" w:lineRule="auto"/>
        <w:tabs>
          <w:tab w:leader="none" w:pos="102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 Wrongdoing</w:t>
      </w:r>
      <w:r>
        <w:rPr>
          <w:rFonts w:ascii="Arial" w:cs="Arial" w:eastAsia="Arial" w:hAnsi="Arial"/>
          <w:sz w:val="19"/>
          <w:szCs w:val="19"/>
          <w:color w:val="auto"/>
        </w:rPr>
        <w:t>. Employee and the Company agree and acknowledge that the consideration exchanged herein does not constitute, and shall not be construed as, an admission of liability or wrongdoing on the part of Employee, the Company or any entity or person, and shall not be admissible in any proceeding as evidence of liability or wrongdoing by anyone.</w:t>
      </w:r>
    </w:p>
    <w:p>
      <w:pPr>
        <w:spacing w:after="0" w:line="133" w:lineRule="exact"/>
        <w:rPr>
          <w:rFonts w:ascii="Arial" w:cs="Arial" w:eastAsia="Arial" w:hAnsi="Arial"/>
          <w:sz w:val="19"/>
          <w:szCs w:val="19"/>
          <w:color w:val="auto"/>
        </w:rPr>
      </w:pPr>
    </w:p>
    <w:p>
      <w:pPr>
        <w:ind w:right="180" w:firstLine="656"/>
        <w:spacing w:after="0" w:line="245" w:lineRule="auto"/>
        <w:tabs>
          <w:tab w:leader="none" w:pos="1026"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Notification of Release and Right to Rescind</w:t>
      </w:r>
      <w:r>
        <w:rPr>
          <w:rFonts w:ascii="Arial" w:cs="Arial" w:eastAsia="Arial" w:hAnsi="Arial"/>
          <w:sz w:val="21"/>
          <w:szCs w:val="21"/>
          <w:color w:val="auto"/>
        </w:rPr>
        <w:t>. This Agreement contains a release of certain legal rights which Employee may have, including rights under the Age Discrimination in Employment Act. Employee is advised that he should consult with an attorney regarding such release and other aspects of this Agreement before signing this Agreement. Employee understands that he may nullify and rescind this entire Agreement at any time within the next seven (7) days of the date of signature below by indicating his desire to do so in writing and delivering that writing to the Company c/o Jill Hughes, Sr. Director, Executive Compensation, Pentair, 5500 Wayzata Blvd., Suite 900, Minneapolis MN 55416, by hand or by certified mail. Employee further understands that if he rescinds this Agreement on a timely basis, the Company will not be bound by the terms of this Agreement, and, in such event, Employee will have no right to receive or right to retain the financial benefits conferred under this Agreement.</w:t>
      </w:r>
    </w:p>
    <w:p>
      <w:pPr>
        <w:spacing w:after="0" w:line="184" w:lineRule="exact"/>
        <w:rPr>
          <w:rFonts w:ascii="Arial" w:cs="Arial" w:eastAsia="Arial" w:hAnsi="Arial"/>
          <w:sz w:val="21"/>
          <w:szCs w:val="21"/>
          <w:color w:val="auto"/>
        </w:rPr>
      </w:pPr>
    </w:p>
    <w:p>
      <w:pPr>
        <w:jc w:val="both"/>
        <w:ind w:right="100" w:firstLine="656"/>
        <w:spacing w:after="0"/>
        <w:tabs>
          <w:tab w:leader="none" w:pos="1026"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Outplacement</w:t>
      </w:r>
      <w:r>
        <w:rPr>
          <w:rFonts w:ascii="Arial" w:cs="Arial" w:eastAsia="Arial" w:hAnsi="Arial"/>
          <w:sz w:val="22"/>
          <w:szCs w:val="22"/>
          <w:color w:val="auto"/>
        </w:rPr>
        <w:t>. Provided Employee does not exercise his right of rescission under Section 8, then the Company shall pay for outplacement services provided for Employee’s benefit by a vendor selected by the Company to the extent such services are actually utilized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14" w:right="399" w:bottom="1440" w:gutter="0" w:footer="0" w:header="0"/>
        </w:sectPr>
      </w:pPr>
    </w:p>
    <w:bookmarkStart w:id="133" w:name="page134"/>
    <w:bookmarkEnd w:id="133"/>
    <w:p>
      <w:pPr>
        <w:ind w:right="100"/>
        <w:spacing w:after="0" w:line="250" w:lineRule="auto"/>
        <w:rPr>
          <w:sz w:val="20"/>
          <w:szCs w:val="20"/>
          <w:color w:val="auto"/>
        </w:rPr>
      </w:pPr>
      <w:r>
        <w:rPr>
          <w:rFonts w:ascii="Arial" w:cs="Arial" w:eastAsia="Arial" w:hAnsi="Arial"/>
          <w:sz w:val="22"/>
          <w:szCs w:val="22"/>
          <w:color w:val="auto"/>
        </w:rPr>
        <w:t>Employee within one (1) year following the Separation Date and to the extent the cost does not exceed the Company-determined maximum.</w:t>
      </w:r>
    </w:p>
    <w:p>
      <w:pPr>
        <w:spacing w:after="0" w:line="175" w:lineRule="exact"/>
        <w:rPr>
          <w:sz w:val="20"/>
          <w:szCs w:val="20"/>
          <w:color w:val="auto"/>
        </w:rPr>
      </w:pPr>
    </w:p>
    <w:p>
      <w:pPr>
        <w:ind w:right="40" w:firstLine="656"/>
        <w:spacing w:after="0" w:line="236" w:lineRule="auto"/>
        <w:tabs>
          <w:tab w:leader="none" w:pos="113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Restricted Stock Units, Performance Share Units and Stock Options under Pentair Equity Plans</w:t>
      </w:r>
      <w:r>
        <w:rPr>
          <w:rFonts w:ascii="Arial" w:cs="Arial" w:eastAsia="Arial" w:hAnsi="Arial"/>
          <w:sz w:val="22"/>
          <w:szCs w:val="22"/>
          <w:color w:val="auto"/>
        </w:rPr>
        <w:t>. If Employee has outstanding equity awards with respect to Pentair shares and long-term incentive cash awards, then Employee shall be entitled to, and the Company agrees to recognize, the following benefits in accordance with the applicable Terms &amp; Conditions: the Company agrees to treat Employee’s unearned restricted stock units, performance share units, and nonqualified stock options under the Pentair Equity Plans as noted below:</w:t>
      </w:r>
    </w:p>
    <w:p>
      <w:pPr>
        <w:spacing w:after="0" w:line="187" w:lineRule="exact"/>
        <w:rPr>
          <w:sz w:val="20"/>
          <w:szCs w:val="20"/>
          <w:color w:val="auto"/>
        </w:rPr>
      </w:pPr>
    </w:p>
    <w:p>
      <w:pPr>
        <w:ind w:left="1300" w:hanging="647"/>
        <w:spacing w:after="0" w:line="235"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Restricted Stock Units (RSUs)</w:t>
      </w:r>
      <w:r>
        <w:rPr>
          <w:rFonts w:ascii="Arial" w:cs="Arial" w:eastAsia="Arial" w:hAnsi="Arial"/>
          <w:sz w:val="22"/>
          <w:szCs w:val="22"/>
          <w:color w:val="auto"/>
        </w:rPr>
        <w:t>. The value of the RSUs (settled in stock) will vest in full upon Separation Date and those shares deposited into Employee’s brokerage account (reduced by applicable tax withholdings) within one month of the Separation Date. Provided, however, that if Employee is a “specified employee” within the meaning of Section 409A(a)(2)(B)(i) and if the Restricted Stock Units would be considered deferred compensation under Section 409A, then the shares (reduced by applicable withholdings) will be deposited six months following the Separation Date.</w:t>
      </w:r>
    </w:p>
    <w:p>
      <w:pPr>
        <w:spacing w:after="0" w:line="215" w:lineRule="exact"/>
        <w:rPr>
          <w:sz w:val="20"/>
          <w:szCs w:val="20"/>
          <w:color w:val="auto"/>
        </w:rPr>
      </w:pPr>
    </w:p>
    <w:p>
      <w:pPr>
        <w:ind w:left="1300" w:right="20" w:hanging="644"/>
        <w:spacing w:after="0" w:line="297" w:lineRule="auto"/>
        <w:tabs>
          <w:tab w:leader="none" w:pos="88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Performance Share Units (PSUs)</w:t>
      </w:r>
      <w:r>
        <w:rPr>
          <w:rFonts w:ascii="Arial" w:cs="Arial" w:eastAsia="Arial" w:hAnsi="Arial"/>
          <w:sz w:val="19"/>
          <w:szCs w:val="19"/>
          <w:color w:val="auto"/>
        </w:rPr>
        <w:t>. PSUs will be calculated on the Company’s actual performance. The payment will be made in shares of Pentair stock less appropriate shares withheld for taxes. The net shares will be deposited into the employee’s brokerage account as soon as administratively possible after the final performance is determined.</w:t>
      </w:r>
    </w:p>
    <w:p>
      <w:pPr>
        <w:spacing w:after="0" w:line="160" w:lineRule="exact"/>
        <w:rPr>
          <w:rFonts w:ascii="Arial" w:cs="Arial" w:eastAsia="Arial" w:hAnsi="Arial"/>
          <w:sz w:val="19"/>
          <w:szCs w:val="19"/>
          <w:color w:val="auto"/>
        </w:rPr>
      </w:pPr>
    </w:p>
    <w:p>
      <w:pPr>
        <w:ind w:left="1300" w:right="100" w:hanging="644"/>
        <w:spacing w:after="0" w:line="271" w:lineRule="auto"/>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Stock Options</w:t>
      </w:r>
      <w:r>
        <w:rPr>
          <w:rFonts w:ascii="Arial" w:cs="Arial" w:eastAsia="Arial" w:hAnsi="Arial"/>
          <w:sz w:val="19"/>
          <w:szCs w:val="19"/>
          <w:color w:val="auto"/>
        </w:rPr>
        <w:t>. Employee’s unvested Nonqualified Stock Options (NSOs) and Incentive Stock Options (ISOs) (collectively, “Outstanding Options”) shall remain outstanding and vest in accordance with the terms of the particular grant or award under the Pentair Equity Plans or applicable Terms &amp; Conditions under the earlier of the expiration date of the award of the fifth anniversary of the Separation Date. The Outstanding Options may be exercised by Employee until the earlier of the expiration date of the particular award or within five (5) years after the Separation Date, at the time and in the manner permitted under the terms of the applicable Pentair Equity Plan and the applicable Terms &amp; Conditions. Five (5) years after the Separation Date, all Outstanding Options unexercised by Employee shall be forfeited. Employee's stock options under the Pentair Equity Plans that had vested prior to the Separation Date (the "Previously Vested Options") may be exercised by Employee at any time in accordance with the time and in the manner permitted under the terms of the applicable Pentair Equity Plan without regard to whether he signs this Agreement. The Previously Vested Options shall expire and become non-exercisable in accordance with the terms of the applicable Pentair Equity Plan and the Terms &amp; Conditions without regard to whether Employee signs this Agreement. As for Employee’s ISOs, they are eligible for preferential tax treatment if exercised within a period of ninety (90) days following the Separation Date, and if exercised more than ninety (90) days following the Separation Date, they will be taxed as ordinary income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34" w:name="page135"/>
    <w:bookmarkEnd w:id="134"/>
    <w:p>
      <w:pPr>
        <w:ind w:left="620" w:right="180"/>
        <w:spacing w:after="0" w:line="236" w:lineRule="auto"/>
        <w:rPr>
          <w:sz w:val="20"/>
          <w:szCs w:val="20"/>
          <w:color w:val="auto"/>
        </w:rPr>
      </w:pPr>
      <w:r>
        <w:rPr>
          <w:rFonts w:ascii="Arial" w:cs="Arial" w:eastAsia="Arial" w:hAnsi="Arial"/>
          <w:sz w:val="22"/>
          <w:szCs w:val="22"/>
          <w:color w:val="auto"/>
        </w:rPr>
        <w:t>Employee acknowledges that all RSUs, PSUs and Stock Options that are not treated as earned in accordance with the Terms &amp; Conditions of the applicable award will automatically become void and that any and all options that Employee holds that are not exercisable as of the Separation Date are forfeited immediately as of the Separation Date. Employee acknowledges that it is Employee’s responsibility to review his personal brokerage account and take action prior to the expiration dates for each grant.</w:t>
      </w:r>
    </w:p>
    <w:p>
      <w:pPr>
        <w:spacing w:after="0" w:line="187" w:lineRule="exact"/>
        <w:rPr>
          <w:sz w:val="20"/>
          <w:szCs w:val="20"/>
          <w:color w:val="auto"/>
        </w:rPr>
      </w:pPr>
    </w:p>
    <w:p>
      <w:pPr>
        <w:ind w:left="-40" w:right="20" w:firstLine="656"/>
        <w:spacing w:after="0" w:line="275" w:lineRule="auto"/>
        <w:tabs>
          <w:tab w:leader="none" w:pos="108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Post-Employment Restrictive Covenants</w:t>
      </w:r>
      <w:r>
        <w:rPr>
          <w:rFonts w:ascii="Arial" w:cs="Arial" w:eastAsia="Arial" w:hAnsi="Arial"/>
          <w:sz w:val="19"/>
          <w:szCs w:val="19"/>
          <w:color w:val="auto"/>
        </w:rPr>
        <w:t>. As a condition of the Post-Employment Restrictive Covenant Payment set forth in Section 1(c) of this Agreement, Employee expressly agrees to the terms and conditions in the Non-Competition, and Non-Solicitation and Non-Disparagement Agreement set forth in Exhibit A. The parties agree that this is a material term of this Agreement and the sole reason why the Company has agreed to pay Employee the amount set forth in Section 1(c). In the event a court of competent jurisdiction finds Exhibit A, or any of the provisions therein, to be unenforceable, those provisions shall be severed from the Agreement and any consideration paid to Employee under Section 1(c) shall be returned to the Company and the Company will be relieved of making any remaining payments due under Section 1(c). The severance of Exhibit A, or any portion contained therein, shall not invalidate the rest of the Agreement or otherwise effect its enforceability.</w:t>
      </w:r>
    </w:p>
    <w:p>
      <w:pPr>
        <w:spacing w:after="0" w:line="157" w:lineRule="exact"/>
        <w:rPr>
          <w:rFonts w:ascii="Arial" w:cs="Arial" w:eastAsia="Arial" w:hAnsi="Arial"/>
          <w:sz w:val="19"/>
          <w:szCs w:val="19"/>
          <w:color w:val="auto"/>
        </w:rPr>
      </w:pPr>
    </w:p>
    <w:p>
      <w:pPr>
        <w:ind w:left="-40" w:right="100" w:firstLine="656"/>
        <w:spacing w:after="0" w:line="287" w:lineRule="auto"/>
        <w:tabs>
          <w:tab w:leader="none" w:pos="109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xml:space="preserve"> Employee covenants, warrants and represents that on or before the Separation Date, he will have returned any and all Company property that was ever in his possession or under his control to the Company prior to his signature of this Agreement, and this covenant, warranty and representation expressly extends to (but is not limited to) security card, keys, codes, materials, books, files, cell phones and laptop computer.</w:t>
      </w:r>
    </w:p>
    <w:p>
      <w:pPr>
        <w:spacing w:after="0" w:line="142" w:lineRule="exact"/>
        <w:rPr>
          <w:rFonts w:ascii="Arial" w:cs="Arial" w:eastAsia="Arial" w:hAnsi="Arial"/>
          <w:sz w:val="19"/>
          <w:szCs w:val="19"/>
          <w:color w:val="auto"/>
        </w:rPr>
      </w:pPr>
    </w:p>
    <w:p>
      <w:pPr>
        <w:ind w:left="-40" w:firstLine="656"/>
        <w:spacing w:after="0" w:line="273" w:lineRule="auto"/>
        <w:tabs>
          <w:tab w:leader="none" w:pos="109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Minnesota Law, Forum and Merger.</w:t>
      </w:r>
      <w:r>
        <w:rPr>
          <w:rFonts w:ascii="Arial" w:cs="Arial" w:eastAsia="Arial" w:hAnsi="Arial"/>
          <w:sz w:val="19"/>
          <w:szCs w:val="19"/>
          <w:color w:val="auto"/>
        </w:rPr>
        <w:t xml:space="preserve"> The terms of this Agreement shall be governed by the laws of the State of Minnesota, the location of Pentair’s main U.S. office, and shall be construed and enforced thereunder. Any dispute arising under this Agreement shall be determined exclusively by a Minnesota court of appropriate jurisdiction, and the parties acknowledge the existence of sufficient contacts to the State of Minnesota to confer exclusive jurisdiction upon courts in that state. This Agreement supersedes and replaces all prior oral and written agreements, understandings, and representations between Employee and the Company. Notwithstanding the foregoing, Employee’s Pentair 2012 Stock and Incentive Plan Restricted Stock Unit Award Agreement, and any other surviving agreements or contractual obligations relating to post-employment restrictive covenants shall remain in full force and effect. Further, Employee acknowledges that this release includes all claims that he is legally permitted to release, and as such, does not apply to any vested rights under the Company’s retirement plans, nor does it preclude him from filing an administrative charge with a government agency, though he may not recover any damages or receive any relief from the Company if he does file such a charge.</w:t>
      </w:r>
    </w:p>
    <w:p>
      <w:pPr>
        <w:spacing w:after="0" w:line="155" w:lineRule="exact"/>
        <w:rPr>
          <w:rFonts w:ascii="Arial" w:cs="Arial" w:eastAsia="Arial" w:hAnsi="Arial"/>
          <w:sz w:val="19"/>
          <w:szCs w:val="19"/>
          <w:color w:val="auto"/>
        </w:rPr>
      </w:pPr>
    </w:p>
    <w:p>
      <w:pPr>
        <w:jc w:val="both"/>
        <w:ind w:left="-40" w:firstLine="656"/>
        <w:spacing w:after="0" w:line="236" w:lineRule="auto"/>
        <w:tabs>
          <w:tab w:leader="none" w:pos="109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Administrative Charges, Investigations, and Proceedings</w:t>
      </w:r>
      <w:r>
        <w:rPr>
          <w:rFonts w:ascii="Arial" w:cs="Arial" w:eastAsia="Arial" w:hAnsi="Arial"/>
          <w:sz w:val="22"/>
          <w:szCs w:val="22"/>
          <w:color w:val="auto"/>
        </w:rPr>
        <w:t>. Nothing in this Agreement prohibits Employee from reporting possible violations of federal or state law or regulation to the government, including but not limited to the EEOC, Department of Justice, Securities and Exchange Commission, Congress, and any agency inspector general, or filing a charge with or participating in an investigation or proceeding conducted by the EEOC or a comparable state or local agency (collectively, any such activity shall be referred to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60"/>
          </w:cols>
          <w:pgMar w:left="360" w:top="1414" w:right="379" w:bottom="1440" w:gutter="0" w:footer="0" w:header="0"/>
        </w:sectPr>
      </w:pPr>
    </w:p>
    <w:bookmarkStart w:id="135" w:name="page136"/>
    <w:bookmarkEnd w:id="135"/>
    <w:p>
      <w:pPr>
        <w:ind w:right="120"/>
        <w:spacing w:after="0" w:line="277" w:lineRule="auto"/>
        <w:rPr>
          <w:sz w:val="20"/>
          <w:szCs w:val="20"/>
          <w:color w:val="auto"/>
        </w:rPr>
      </w:pPr>
      <w:r>
        <w:rPr>
          <w:rFonts w:ascii="Arial" w:cs="Arial" w:eastAsia="Arial" w:hAnsi="Arial"/>
          <w:sz w:val="19"/>
          <w:szCs w:val="19"/>
          <w:color w:val="auto"/>
        </w:rPr>
        <w:t>“Government Report”). Employee does not need prior authorization of the Company to make a Government Report and is not required to notify the Company that he has made a Government Report. The restrictions in Sections 5-6 above regarding confidentiality, non-disparagement and cooperation do not apply in connection with a Government Report. Notwithstanding the provisions of this section, Employee’s release of claims in Section 2 above waives any alleged right to recover any monetary damages, receive payment for attorneys’ fees, costs or disbursements or receive any relief from the Company in connection with any matter, including a Government Report, but this Agreement does not limit any right of Employee to receive a reward from the government for providing it information in connection with a Government Report.</w:t>
      </w:r>
    </w:p>
    <w:p>
      <w:pPr>
        <w:spacing w:after="0" w:line="152" w:lineRule="exact"/>
        <w:rPr>
          <w:sz w:val="20"/>
          <w:szCs w:val="20"/>
          <w:color w:val="auto"/>
        </w:rPr>
      </w:pPr>
    </w:p>
    <w:p>
      <w:pPr>
        <w:ind w:firstLine="656"/>
        <w:spacing w:after="0" w:line="279" w:lineRule="auto"/>
        <w:tabs>
          <w:tab w:leader="none" w:pos="1134"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Construction of this Agreement and Severability.</w:t>
      </w:r>
      <w:r>
        <w:rPr>
          <w:rFonts w:ascii="Arial" w:cs="Arial" w:eastAsia="Arial" w:hAnsi="Arial"/>
          <w:sz w:val="19"/>
          <w:szCs w:val="19"/>
          <w:color w:val="auto"/>
        </w:rPr>
        <w:t xml:space="preserve"> Should this Agreement require judicial interpretation, the court shall not construe the Agreement more strictly against any party, including the party who prepared it. This Agreement is results of negotiations where Employee consulted with counsel. Any portions of this Agreement, except for those provisions set forth in Exhibit A, that are found by a court of competent jurisdiction to be invalid, illegal, overly broad or unenforceable in any respect shall be revised to the minimum amount necessary in order to be valid and enforceable. The court shall not have this authority with respect to Exhibit A but shall instead follow the severance provision contained in Section 10 of this Agreement.</w:t>
      </w:r>
    </w:p>
    <w:p>
      <w:pPr>
        <w:spacing w:after="0" w:line="150" w:lineRule="exact"/>
        <w:rPr>
          <w:rFonts w:ascii="Arial" w:cs="Arial" w:eastAsia="Arial" w:hAnsi="Arial"/>
          <w:sz w:val="19"/>
          <w:szCs w:val="19"/>
          <w:color w:val="auto"/>
        </w:rPr>
      </w:pPr>
    </w:p>
    <w:p>
      <w:pPr>
        <w:ind w:right="40" w:firstLine="656"/>
        <w:spacing w:after="0" w:line="273" w:lineRule="auto"/>
        <w:tabs>
          <w:tab w:leader="none" w:pos="1134"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Employee Understands the Terms of this Agreement</w:t>
      </w:r>
      <w:r>
        <w:rPr>
          <w:rFonts w:ascii="Arial" w:cs="Arial" w:eastAsia="Arial" w:hAnsi="Arial"/>
          <w:sz w:val="19"/>
          <w:szCs w:val="19"/>
          <w:color w:val="auto"/>
        </w:rPr>
        <w:t>. Other than stated herein, Employee warrants that (a) no promise or inducement has been offered for this Agreement; (b) this Agreement is executed without reliance upon any statement or representation of the Company or its representatives concerning the nature and extent of any claims or liability therefor, if any;</w:t>
      </w:r>
    </w:p>
    <w:p>
      <w:pPr>
        <w:spacing w:after="0" w:line="1" w:lineRule="exact"/>
        <w:rPr>
          <w:rFonts w:ascii="Arial" w:cs="Arial" w:eastAsia="Arial" w:hAnsi="Arial"/>
          <w:sz w:val="19"/>
          <w:szCs w:val="19"/>
          <w:color w:val="auto"/>
        </w:rPr>
      </w:pPr>
    </w:p>
    <w:p>
      <w:pPr>
        <w:ind w:right="60" w:firstLine="8"/>
        <w:spacing w:after="0" w:line="272" w:lineRule="auto"/>
        <w:tabs>
          <w:tab w:leader="none" w:pos="29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Employee is legally competent to execute this Agreement and accepts full responsibility therefor; (d) the Company has advised Employee to consult with an attorney, and Employee has had a sufficient opportunity to consult with an attorney; (e) the Company has allowed Employee 21 days within which to consider this proposed Agreement; and (f) Employee fully understands this Agreement and has been advised by counsel (or has consciously chosen not to seek counsel) of the consequences of signing this Agreement. The parties acknowledge and agree that Employee may not sign this Agreement before Employee’s last day of employment with the Company and if Employee has not signed this proposed Agreement within the 21-day period following Employee’s separation from employment with the Company, then the offer of this Agreement shall expire by its own terms and be of no further force or effect without any further action required on the part of the Company.</w:t>
      </w:r>
    </w:p>
    <w:p>
      <w:pPr>
        <w:spacing w:after="0" w:line="161" w:lineRule="exact"/>
        <w:rPr>
          <w:rFonts w:ascii="Arial" w:cs="Arial" w:eastAsia="Arial" w:hAnsi="Arial"/>
          <w:sz w:val="19"/>
          <w:szCs w:val="19"/>
          <w:color w:val="auto"/>
        </w:rPr>
      </w:pPr>
    </w:p>
    <w:p>
      <w:pPr>
        <w:ind w:right="220" w:firstLine="656"/>
        <w:spacing w:after="0"/>
        <w:tabs>
          <w:tab w:leader="none" w:pos="1134"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The parties agree that this Agreement may be executed in two or more counterparts, each of which shall be deemed an original, and all of which taken together shall constitute a single instrument. Any words of gender shall include the other genders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136" w:name="page137"/>
    <w:bookmarkEnd w:id="13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00" w:type="dxa"/>
            <w:vAlign w:val="bottom"/>
          </w:tcPr>
          <w:p>
            <w:pPr>
              <w:spacing w:after="0"/>
              <w:rPr>
                <w:sz w:val="20"/>
                <w:szCs w:val="20"/>
                <w:color w:val="auto"/>
              </w:rPr>
            </w:pPr>
            <w:r>
              <w:rPr>
                <w:rFonts w:ascii="Arial" w:cs="Arial" w:eastAsia="Arial" w:hAnsi="Arial"/>
                <w:sz w:val="22"/>
                <w:szCs w:val="22"/>
                <w:color w:val="auto"/>
              </w:rPr>
              <w:t>Dated:</w:t>
            </w:r>
          </w:p>
        </w:tc>
        <w:tc>
          <w:tcPr>
            <w:tcW w:w="2400" w:type="dxa"/>
            <w:vAlign w:val="bottom"/>
            <w:tcBorders>
              <w:bottom w:val="single" w:sz="8" w:color="auto"/>
            </w:tcBorders>
          </w:tcPr>
          <w:p>
            <w:pPr>
              <w:ind w:left="680"/>
              <w:spacing w:after="0"/>
              <w:rPr>
                <w:sz w:val="20"/>
                <w:szCs w:val="20"/>
                <w:color w:val="auto"/>
              </w:rPr>
            </w:pPr>
            <w:r>
              <w:rPr>
                <w:rFonts w:ascii="Arial" w:cs="Arial" w:eastAsia="Arial" w:hAnsi="Arial"/>
                <w:sz w:val="22"/>
                <w:szCs w:val="22"/>
                <w:color w:val="auto"/>
                <w:w w:val="87"/>
              </w:rPr>
              <w:t>December 31, 2020</w:t>
            </w:r>
          </w:p>
        </w:tc>
        <w:tc>
          <w:tcPr>
            <w:tcW w:w="1000" w:type="dxa"/>
            <w:vAlign w:val="bottom"/>
          </w:tcPr>
          <w:p>
            <w:pPr>
              <w:spacing w:after="0"/>
              <w:rPr>
                <w:sz w:val="24"/>
                <w:szCs w:val="24"/>
                <w:color w:val="auto"/>
              </w:rPr>
            </w:pPr>
          </w:p>
        </w:tc>
        <w:tc>
          <w:tcPr>
            <w:tcW w:w="69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Karl R. Frykman</w:t>
            </w:r>
          </w:p>
        </w:tc>
      </w:tr>
      <w:tr>
        <w:trPr>
          <w:trHeight w:val="518"/>
        </w:trPr>
        <w:tc>
          <w:tcPr>
            <w:tcW w:w="900" w:type="dxa"/>
            <w:vAlign w:val="bottom"/>
          </w:tcPr>
          <w:p>
            <w:pPr>
              <w:spacing w:after="0"/>
              <w:rPr>
                <w:sz w:val="20"/>
                <w:szCs w:val="20"/>
                <w:color w:val="auto"/>
              </w:rPr>
            </w:pPr>
            <w:r>
              <w:rPr>
                <w:rFonts w:ascii="Arial" w:cs="Arial" w:eastAsia="Arial" w:hAnsi="Arial"/>
                <w:sz w:val="22"/>
                <w:szCs w:val="22"/>
                <w:color w:val="auto"/>
              </w:rPr>
              <w:t>Dated:</w:t>
            </w: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February 3, 2021</w:t>
            </w:r>
          </w:p>
        </w:tc>
        <w:tc>
          <w:tcPr>
            <w:tcW w:w="1000" w:type="dxa"/>
            <w:vAlign w:val="bottom"/>
          </w:tcPr>
          <w:p>
            <w:pPr>
              <w:spacing w:after="0"/>
              <w:rPr>
                <w:sz w:val="24"/>
                <w:szCs w:val="24"/>
                <w:color w:val="auto"/>
              </w:rPr>
            </w:pPr>
          </w:p>
        </w:tc>
        <w:tc>
          <w:tcPr>
            <w:tcW w:w="6920" w:type="dxa"/>
            <w:vAlign w:val="bottom"/>
            <w:gridSpan w:val="2"/>
          </w:tcPr>
          <w:p>
            <w:pPr>
              <w:ind w:left="20"/>
              <w:spacing w:after="0"/>
              <w:rPr>
                <w:sz w:val="20"/>
                <w:szCs w:val="20"/>
                <w:color w:val="auto"/>
              </w:rPr>
            </w:pPr>
            <w:r>
              <w:rPr>
                <w:rFonts w:ascii="Arial" w:cs="Arial" w:eastAsia="Arial" w:hAnsi="Arial"/>
                <w:sz w:val="22"/>
                <w:szCs w:val="22"/>
                <w:b w:val="1"/>
                <w:bCs w:val="1"/>
                <w:color w:val="auto"/>
              </w:rPr>
              <w:t>PENTAIR WATER POOL &amp; SPA, INC.</w:t>
            </w:r>
          </w:p>
        </w:tc>
      </w:tr>
      <w:tr>
        <w:trPr>
          <w:trHeight w:val="246"/>
        </w:trPr>
        <w:tc>
          <w:tcPr>
            <w:tcW w:w="9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ind w:left="20"/>
              <w:spacing w:after="0" w:line="245" w:lineRule="exact"/>
              <w:rPr>
                <w:sz w:val="20"/>
                <w:szCs w:val="20"/>
                <w:color w:val="auto"/>
              </w:rPr>
            </w:pPr>
            <w:r>
              <w:rPr>
                <w:rFonts w:ascii="Arial" w:cs="Arial" w:eastAsia="Arial" w:hAnsi="Arial"/>
                <w:sz w:val="22"/>
                <w:szCs w:val="22"/>
                <w:color w:val="auto"/>
              </w:rPr>
              <w:t>By</w:t>
            </w:r>
          </w:p>
        </w:tc>
        <w:tc>
          <w:tcPr>
            <w:tcW w:w="6300" w:type="dxa"/>
            <w:vAlign w:val="bottom"/>
          </w:tcPr>
          <w:p>
            <w:pPr>
              <w:ind w:left="20"/>
              <w:spacing w:after="0" w:line="245" w:lineRule="exact"/>
              <w:rPr>
                <w:sz w:val="20"/>
                <w:szCs w:val="20"/>
                <w:color w:val="auto"/>
              </w:rPr>
            </w:pPr>
            <w:r>
              <w:rPr>
                <w:rFonts w:ascii="Arial" w:cs="Arial" w:eastAsia="Arial" w:hAnsi="Arial"/>
                <w:sz w:val="22"/>
                <w:szCs w:val="22"/>
                <w:color w:val="auto"/>
              </w:rPr>
              <w:t>/s/ Karla C. Robertson</w:t>
            </w:r>
          </w:p>
        </w:tc>
      </w:tr>
      <w:tr>
        <w:trPr>
          <w:trHeight w:val="276"/>
        </w:trPr>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2"/>
                <w:szCs w:val="22"/>
                <w:color w:val="auto"/>
              </w:rPr>
              <w:t>Its</w:t>
            </w:r>
          </w:p>
        </w:tc>
        <w:tc>
          <w:tcPr>
            <w:tcW w:w="6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40"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NON-COMPETITION, NON-SOLICITATION AND NON-DISPARAGEMENT AGREEMENT</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Throughout his employment with the Pentair Water Pool &amp; Spa, Inc. (the “Company”), Employee held an executive position with global duties and responsibilities on behalf on Pentair, plc and its affiliates and became intimately familiar with trade secrets, know-how, business strategies, marketing strategies, product development, proprietary information and confidential information concerning the operations of the Pentair Entities. As a result of Employee’s intimate familiarity with the proprietary and confidential information regarding the Company, Employee acknowledges and agrees that he would be able to engage in unfair competition vis-à-vis the Pentair Entities in the event he were to: (i) become employed by or otherwise involved in any way with a competitor; (ii) solicit or accept competitive business from customers of the Company; or (iii) solicit employees of the Company. Accordingly, Employee agrees to the narrow post-employment restrictions set forth below.</w:t>
      </w:r>
    </w:p>
    <w:p>
      <w:pPr>
        <w:spacing w:after="0" w:line="400"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purpose of this Exhibit A, the following definition shall apply:</w:t>
      </w:r>
    </w:p>
    <w:p>
      <w:pPr>
        <w:spacing w:after="0" w:line="206" w:lineRule="exact"/>
        <w:rPr>
          <w:sz w:val="20"/>
          <w:szCs w:val="20"/>
          <w:color w:val="auto"/>
        </w:rPr>
      </w:pPr>
    </w:p>
    <w:p>
      <w:pPr>
        <w:ind w:left="1460" w:right="40"/>
        <w:spacing w:after="0" w:line="273" w:lineRule="auto"/>
        <w:rPr>
          <w:sz w:val="20"/>
          <w:szCs w:val="20"/>
          <w:color w:val="auto"/>
        </w:rPr>
      </w:pPr>
      <w:r>
        <w:rPr>
          <w:rFonts w:ascii="Arial" w:cs="Arial" w:eastAsia="Arial" w:hAnsi="Arial"/>
          <w:sz w:val="19"/>
          <w:szCs w:val="19"/>
          <w:u w:val="single" w:color="auto"/>
          <w:color w:val="auto"/>
        </w:rPr>
        <w:t>The Business</w:t>
      </w:r>
      <w:r>
        <w:rPr>
          <w:rFonts w:ascii="Arial" w:cs="Arial" w:eastAsia="Arial" w:hAnsi="Arial"/>
          <w:sz w:val="19"/>
          <w:szCs w:val="19"/>
          <w:color w:val="auto"/>
        </w:rPr>
        <w:t>. The “Business” means each of the business segments, business units, and subsidiary operations of Pentair plc and its subsidiary entities and affiliates on a global basis. The parties acknowledge that due to Employee’s executive position and global duties and responsibilities on behalf of Pentair plc and the Company:</w:t>
      </w:r>
    </w:p>
    <w:p>
      <w:pPr>
        <w:spacing w:after="0" w:line="1" w:lineRule="exact"/>
        <w:rPr>
          <w:sz w:val="20"/>
          <w:szCs w:val="20"/>
          <w:color w:val="auto"/>
        </w:rPr>
      </w:pPr>
    </w:p>
    <w:p>
      <w:pPr>
        <w:ind w:left="1460" w:firstLine="6"/>
        <w:spacing w:after="0" w:line="233" w:lineRule="auto"/>
        <w:tabs>
          <w:tab w:leader="none" w:pos="171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he is familiar with all business segments and business units of Pentair plc; (ii) he has been materially involved in all business segments and business units of Pentair plc on a global basis; and (iii) he has received lucrative financial benefits as a result of his exposure to and involvement in all business segments and business units of Pentair plc on a global basis.</w:t>
      </w:r>
    </w:p>
    <w:p>
      <w:pPr>
        <w:spacing w:after="0" w:line="215" w:lineRule="exact"/>
        <w:rPr>
          <w:sz w:val="20"/>
          <w:szCs w:val="20"/>
          <w:color w:val="auto"/>
        </w:rPr>
      </w:pPr>
    </w:p>
    <w:p>
      <w:pPr>
        <w:ind w:left="1460" w:right="320"/>
        <w:spacing w:after="0" w:line="328" w:lineRule="auto"/>
        <w:rPr>
          <w:sz w:val="20"/>
          <w:szCs w:val="20"/>
          <w:color w:val="auto"/>
        </w:rPr>
      </w:pPr>
      <w:r>
        <w:rPr>
          <w:rFonts w:ascii="Arial" w:cs="Arial" w:eastAsia="Arial" w:hAnsi="Arial"/>
          <w:sz w:val="19"/>
          <w:szCs w:val="19"/>
          <w:u w:val="single" w:color="auto"/>
          <w:color w:val="auto"/>
        </w:rPr>
        <w:t>Competitor</w:t>
      </w:r>
      <w:r>
        <w:rPr>
          <w:rFonts w:ascii="Arial" w:cs="Arial" w:eastAsia="Arial" w:hAnsi="Arial"/>
          <w:sz w:val="19"/>
          <w:szCs w:val="19"/>
          <w:color w:val="auto"/>
        </w:rPr>
        <w:t>. “Competitor” means any economic concern, whether an entity or a person, that competes against the Business in any geographic market where the Company, Pentair plc or any of its affiliates does business.</w:t>
      </w:r>
    </w:p>
    <w:p>
      <w:pPr>
        <w:spacing w:after="0" w:line="132" w:lineRule="exact"/>
        <w:rPr>
          <w:sz w:val="20"/>
          <w:szCs w:val="20"/>
          <w:color w:val="auto"/>
        </w:rPr>
      </w:pPr>
    </w:p>
    <w:p>
      <w:pPr>
        <w:ind w:left="1460" w:right="180"/>
        <w:spacing w:after="0" w:line="250" w:lineRule="auto"/>
        <w:rPr>
          <w:sz w:val="20"/>
          <w:szCs w:val="20"/>
          <w:color w:val="auto"/>
        </w:rPr>
      </w:pPr>
      <w:r>
        <w:rPr>
          <w:rFonts w:ascii="Arial" w:cs="Arial" w:eastAsia="Arial" w:hAnsi="Arial"/>
          <w:sz w:val="22"/>
          <w:szCs w:val="22"/>
          <w:u w:val="single" w:color="auto"/>
          <w:color w:val="auto"/>
        </w:rPr>
        <w:t>Pentair Entities</w:t>
      </w:r>
      <w:r>
        <w:rPr>
          <w:rFonts w:ascii="Arial" w:cs="Arial" w:eastAsia="Arial" w:hAnsi="Arial"/>
          <w:sz w:val="22"/>
          <w:szCs w:val="22"/>
          <w:color w:val="auto"/>
        </w:rPr>
        <w:t>. “Pentair Entities” includes the Company, Pentair plc, any affiliate of Pentair plc and any entity that is a spin-off from Pentair plc or its subsidiaries</w:t>
      </w:r>
    </w:p>
    <w:p>
      <w:pPr>
        <w:spacing w:after="0" w:line="175" w:lineRule="exact"/>
        <w:rPr>
          <w:sz w:val="20"/>
          <w:szCs w:val="20"/>
          <w:color w:val="auto"/>
        </w:rPr>
      </w:pPr>
    </w:p>
    <w:p>
      <w:pPr>
        <w:jc w:val="both"/>
        <w:ind w:firstLine="656"/>
        <w:spacing w:after="0" w:line="279" w:lineRule="auto"/>
        <w:tabs>
          <w:tab w:leader="none" w:pos="106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Employee agrees that for a twenty-four (24) month period following the Separation Date, he will not (whether in his individual capacity or as an agent of a third party) directly or indirectly, in whole or in part, provide services, whether as an employee, employer, owner, operator, manager, advisor, consultant, agent, partner, director, stockholder, officer, volunteer, intern, or any other similar capacity, to any entity anywhere in the world engaged in a business that is competitive with the Business of Pentair Entities. Notwithstanding the prior sentence, Employee is not prohibited from providing services to a competing entity if: (i) the duties and services provided by Employee to the competitor are not, in whole or in part,</w:t>
      </w:r>
    </w:p>
    <w:p>
      <w:pPr>
        <w:sectPr>
          <w:pgSz w:w="11900" w:h="16838" w:orient="portrait"/>
          <w:cols w:equalWidth="0" w:num="1">
            <w:col w:w="11240"/>
          </w:cols>
          <w:pgMar w:left="320" w:top="1408" w:right="339" w:bottom="1440" w:gutter="0" w:footer="0" w:header="0"/>
        </w:sectPr>
      </w:pPr>
    </w:p>
    <w:bookmarkStart w:id="138" w:name="page139"/>
    <w:bookmarkEnd w:id="138"/>
    <w:p>
      <w:pPr>
        <w:jc w:val="both"/>
        <w:spacing w:after="0" w:line="234" w:lineRule="auto"/>
        <w:rPr>
          <w:sz w:val="20"/>
          <w:szCs w:val="20"/>
          <w:color w:val="auto"/>
        </w:rPr>
      </w:pPr>
      <w:r>
        <w:rPr>
          <w:rFonts w:ascii="Arial" w:cs="Arial" w:eastAsia="Arial" w:hAnsi="Arial"/>
          <w:sz w:val="22"/>
          <w:szCs w:val="22"/>
          <w:color w:val="auto"/>
        </w:rPr>
        <w:t>substantially similar to the duties and services Employee provided to the Company or its affiliates; and (ii) the duties and services provided by Employee to the competitor are not reasonably likely to cause him to reveal trade secrets, know-how, customer lists, customer contracts, customer needs, business strategies, marketing strategies, product development, proprietary information and confidential information concerning the business of the Company or its affiliates. Nothing in this Agreement prohibits Employee from purchasing or owning less than five percent (5%) of the publicly traded securities of any corporation, provided that the ownership represents a passive investment and that Employee is not a controlling person of, or a member of a group that controls, the corporation.</w:t>
      </w:r>
    </w:p>
    <w:p>
      <w:pPr>
        <w:spacing w:after="0" w:line="191" w:lineRule="exact"/>
        <w:rPr>
          <w:sz w:val="20"/>
          <w:szCs w:val="20"/>
          <w:color w:val="auto"/>
        </w:rPr>
      </w:pPr>
    </w:p>
    <w:p>
      <w:pPr>
        <w:jc w:val="both"/>
        <w:ind w:firstLine="656"/>
        <w:spacing w:after="0" w:line="252" w:lineRule="auto"/>
        <w:tabs>
          <w:tab w:leader="none" w:pos="108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Employee agrees that for a twenty-four (24) month period following the Separation Date, he will not, for himself or for any third party, directly or indirectly, (i) solicit or accept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Employee agree that engaging in any of the following activities will be a violation of the above paragraph: (1) soliciting for a hire or soliciting for retainer as an independent consultant or as contingent worker any employee of the Pentair Entities; (2) participating in the recruitment of any employee of the Pentair Entities; (3) serving as a reference for an employee of the Pentair Entities; (4) offering an opinion regarding the candidacy as a potential employee, independent consultant or contingent worker of an individual employed by the Pentair Entities; (5) assisting or encouraging any third party to pursue an employee of the Pentair Entities for potential employment, independent consulting or contingent worker opportunities; or (6) assisting or encouraging any employee of the Pentair Entities to leave their current position in order to be an employee, independent consultant or contingent worker for a third party.</w:t>
      </w:r>
    </w:p>
    <w:p>
      <w:pPr>
        <w:spacing w:after="0" w:line="180" w:lineRule="exact"/>
        <w:rPr>
          <w:sz w:val="20"/>
          <w:szCs w:val="20"/>
          <w:color w:val="auto"/>
        </w:rPr>
      </w:pPr>
    </w:p>
    <w:p>
      <w:pPr>
        <w:jc w:val="both"/>
        <w:ind w:firstLine="656"/>
        <w:spacing w:after="0" w:line="248" w:lineRule="auto"/>
        <w:tabs>
          <w:tab w:leader="none" w:pos="1255"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xml:space="preserve"> Employee agrees that he will not make disparaging remarks of any sort or otherwise communicate any disparaging comments to any other person or entity, about the Companies and any of its divisions, subsidiaries, predecessors and successors, and any affiliated entities and persons, and all of their respective past and present employees, agents, insurers, officials, officers and directors. However, Employee shall not be held in breach of this provision if he discloses confidential information to a federal, state or local government official, either directly or indirectly, or to an attorney, solely for the purpose of reporting or investigating a suspected violation of law.</w:t>
      </w:r>
    </w:p>
    <w:p>
      <w:pPr>
        <w:spacing w:after="0" w:line="176" w:lineRule="exact"/>
        <w:rPr>
          <w:rFonts w:ascii="Arial" w:cs="Arial" w:eastAsia="Arial" w:hAnsi="Arial"/>
          <w:sz w:val="21"/>
          <w:szCs w:val="21"/>
          <w:color w:val="auto"/>
        </w:rPr>
      </w:pPr>
    </w:p>
    <w:p>
      <w:pPr>
        <w:ind w:left="1040" w:hanging="384"/>
        <w:spacing w:after="0"/>
        <w:tabs>
          <w:tab w:leader="none" w:pos="1040"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Reasonableness and Notice.</w:t>
      </w:r>
      <w:r>
        <w:rPr>
          <w:rFonts w:ascii="Arial" w:cs="Arial" w:eastAsia="Arial" w:hAnsi="Arial"/>
          <w:sz w:val="19"/>
          <w:szCs w:val="19"/>
          <w:color w:val="auto"/>
        </w:rPr>
        <w:t xml:space="preserve"> Employee agrees that in light of the money and benefits conferred to him under Section 1</w:t>
      </w:r>
    </w:p>
    <w:p>
      <w:pPr>
        <w:spacing w:after="0" w:line="42" w:lineRule="exact"/>
        <w:rPr>
          <w:rFonts w:ascii="Arial" w:cs="Arial" w:eastAsia="Arial" w:hAnsi="Arial"/>
          <w:sz w:val="19"/>
          <w:szCs w:val="19"/>
          <w:color w:val="auto"/>
        </w:rPr>
      </w:pPr>
    </w:p>
    <w:p>
      <w:pPr>
        <w:jc w:val="both"/>
        <w:ind w:firstLine="8"/>
        <w:spacing w:after="0" w:line="243" w:lineRule="auto"/>
        <w:tabs>
          <w:tab w:leader="none" w:pos="30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of this Agreement, the restrictive covenants imposed above are reasonable and will not result in any hardship to Employee. Further, Employee acknowledges and agrees that a breach of any obligation under this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Agreement, the Company shall be entitled to an accounting, and to the repayment of all profits, compensation, commissions, fees, or other remuneration which you or any other entity or person has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139" w:name="page140"/>
    <w:bookmarkEnd w:id="139"/>
    <w:p>
      <w:pPr>
        <w:jc w:val="both"/>
        <w:spacing w:after="0" w:line="233" w:lineRule="auto"/>
        <w:rPr>
          <w:sz w:val="20"/>
          <w:szCs w:val="20"/>
          <w:color w:val="auto"/>
        </w:rPr>
      </w:pPr>
      <w:r>
        <w:rPr>
          <w:rFonts w:ascii="Arial" w:cs="Arial" w:eastAsia="Arial" w:hAnsi="Arial"/>
          <w:sz w:val="22"/>
          <w:szCs w:val="22"/>
          <w:color w:val="auto"/>
        </w:rPr>
        <w:t>directly or indirectly realized on its behalf or on behalf of another and/or may realize, as a result of, growing out of, or in connection with the violation which is the subject of the suit. Further, in the event of your breach of the above sections, the Company may recoup the value the Post-Employment Restrictive Covenant Payment. In addition to the foregoing, the Company shall be entitled to collect from the Employee any reasonable attorney’s fees and costs occurred in bringing any action against Employee or otherwise to enforce the terms of this Agreement. The parties agree that it is their intent that the restrictions be enforced to the maximum allowable extent or modified to permit enforcement to the maximum allowable extent under the laws of Minnesota as determined by a court of appropriate jurisdiction in Minnesota, and the parties further agree to and acknowledge the sufficiency of the parties’ contacts with the State of Minnesota in order to confer exclusive jurisdiction of Minnesota courts applying Minnesota law.</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Employee agrees that while the restrictive covenants imposed under this Exhibit A are in effect, Employee shall give written notice to the Company within ten days after accepting any other employment, position, or ownership interest with any entity that has operations which compete with the operations of any of the Pentair Entities. Such written notice shall be delivered to the Company c/o Karla Robertson, Pentair General Counsel &amp; Secretary, Pentair plc, Suite 900, 5500 Wayzata Boulevard, Golden Valley, MN 55416, by hand or by certified mail. Employee agrees that the Company may notify such new employer, company or corporate entity that Employee is bound by this Agreement and, at the Company's election, furnish such employer, company or corporate entity with a copy of Exhibit A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Pentair plc and subsidiaries as of December 31, 2020</w:t>
      </w:r>
    </w:p>
    <w:p>
      <w:pPr>
        <w:sectPr>
          <w:pgSz w:w="11900" w:h="16838" w:orient="portrait"/>
          <w:cols w:equalWidth="0" w:num="1">
            <w:col w:w="11200"/>
          </w:cols>
          <w:pgMar w:left="360" w:top="891"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Aplex Industries,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Aqua Membranes, Inc.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Incorporation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Aquion (Xi'an) Water Treatment Equipment Co., Ltd.</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Arial" w:cs="Arial" w:eastAsia="Arial" w:hAnsi="Arial"/>
          <w:sz w:val="15"/>
          <w:szCs w:val="15"/>
          <w:color w:val="auto"/>
        </w:rPr>
        <w:t>China</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Aquion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Hong Kong</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Aquion,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Be the Change Labs, Inc.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Century Mfg.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97"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 xml:space="preserve">Chansuba Pumps Private Limited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India</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ClearWater Tech,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Enviro Water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Epps,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Mauritius</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ETE Coliban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Everpure Japan Kabushiki Kaisha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(Suzhou) Co., Ltd </w:t>
      </w:r>
      <w:r>
        <w:rPr>
          <w:rFonts w:ascii="Arial" w:cs="Arial" w:eastAsia="Arial" w:hAnsi="Arial"/>
          <w:sz w:val="10"/>
          <w:szCs w:val="10"/>
          <w:color w:val="auto"/>
        </w:rPr>
        <w:t>(3)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LLC </w:t>
      </w:r>
      <w:r>
        <w:rPr>
          <w:rFonts w:ascii="Arial" w:cs="Arial" w:eastAsia="Arial" w:hAnsi="Arial"/>
          <w:sz w:val="10"/>
          <w:szCs w:val="10"/>
          <w:color w:val="auto"/>
        </w:rPr>
        <w:t>(3)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FilterSoft,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Fleck Controls,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Goyen Controls Co.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Goyen Valve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Greenspan Environmental Technology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Haffmans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Netherlands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Haffmans North America, Inc.</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Hawley Group Canada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Holding Nijhuis Pompen B.V.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Hypro EU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Infinite Water Solutions Private Limited </w:t>
      </w:r>
      <w:r>
        <w:rPr>
          <w:rFonts w:ascii="Arial" w:cs="Arial" w:eastAsia="Arial" w:hAnsi="Arial"/>
          <w:sz w:val="10"/>
          <w:szCs w:val="10"/>
          <w:color w:val="auto"/>
        </w:rPr>
        <w:t>(3)</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Jung Pumpen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Lincoln Automotive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McNeil (Ohio)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MECAIR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Milperra Developments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Pool Builder,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Moraine Properties,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Nano Terra, Inc. </w:t>
      </w:r>
      <w:r>
        <w:rPr>
          <w:rFonts w:ascii="Arial" w:cs="Arial" w:eastAsia="Arial" w:hAnsi="Arial"/>
          <w:sz w:val="10"/>
          <w:szCs w:val="10"/>
          <w:color w:val="auto"/>
        </w:rPr>
        <w:t>(4)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Nijhuis Pompen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Panthro Acquisition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Pelican Holding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(NZ)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Aquatic Eco-Systems,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Canada,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Clean Process Technologies India Private Limited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Denmark Holding 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Environmental Systems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Epsilon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Pentair Federal Pump,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Pentair Filtration Sales &amp; Service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Pentair Filtration Solutions, LLC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Pentair Finance Group GmbH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Pentair Finance Holding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ectPr>
          <w:pgSz w:w="11900" w:h="16838" w:orient="portrait"/>
          <w:cols w:equalWidth="0" w:num="2">
            <w:col w:w="6240" w:space="720"/>
            <w:col w:w="4240"/>
          </w:cols>
          <w:pgMar w:left="360" w:top="891"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color w:val="auto"/>
        </w:rPr>
        <w:t>Pentair Finance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Control International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Services AG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Flow Technologies de Mexico, S. de R.L. de C.V.</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Pacific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France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Group (Thailand) Limited </w:t>
      </w:r>
      <w:r>
        <w:rPr>
          <w:rFonts w:ascii="Arial" w:cs="Arial" w:eastAsia="Arial" w:hAnsi="Arial"/>
          <w:sz w:val="10"/>
          <w:szCs w:val="10"/>
          <w:color w:val="auto"/>
        </w:rPr>
        <w:t>(5)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(UK)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Holding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Investments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Kenya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Luxembourg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Management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Belgium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Middle East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Nanosoft US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Euro Finance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Finance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(Water)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Philippines, Inc. </w:t>
      </w:r>
      <w:r>
        <w:rPr>
          <w:rFonts w:ascii="Arial" w:cs="Arial" w:eastAsia="Arial" w:hAnsi="Arial"/>
          <w:sz w:val="10"/>
          <w:szCs w:val="10"/>
          <w:color w:val="auto"/>
        </w:rPr>
        <w:t>(5)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Residential Filtration,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Services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Sudmo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Tamimi LLC </w:t>
      </w:r>
      <w:r>
        <w:rPr>
          <w:rFonts w:ascii="Arial" w:cs="Arial" w:eastAsia="Arial" w:hAnsi="Arial"/>
          <w:sz w:val="10"/>
          <w:szCs w:val="10"/>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Trading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Transport,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Tubing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UK Group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UK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US LLC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US LLC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US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Valves &amp; Controls del Uruguay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(Suzhou)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Asia Pacific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Belgium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Brazil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do Brasil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Arab Emirates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ectPr>
          <w:pgSz w:w="11900" w:h="16838" w:orient="portrait"/>
          <w:cols w:equalWidth="0" w:num="2">
            <w:col w:w="6240" w:space="720"/>
            <w:col w:w="3139"/>
          </w:cols>
          <w:pgMar w:left="360" w:top="1034" w:right="1440"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Pentair Water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Latinamerica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Operations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Polska Sp.zoo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Pool and Spa,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Proces Technologie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Process Technology B.V.</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Water Purification Systems (Shanghai) Co.,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Water Spain,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Treatment (OH)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Treatment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Water Treatment Private Limited </w:t>
      </w:r>
      <w:r>
        <w:rPr>
          <w:rFonts w:ascii="Arial" w:cs="Arial" w:eastAsia="Arial" w:hAnsi="Arial"/>
          <w:sz w:val="10"/>
          <w:szCs w:val="10"/>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Water-Mexico,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Penwald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PFAM,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Plymouth Products,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Procam Controls,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PTG Accessories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Seneca Enterprises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Sta-Rite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Sta-Rite de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Sta-Rite Industries,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Surface Logix LLC </w:t>
      </w:r>
      <w:r>
        <w:rPr>
          <w:rFonts w:ascii="Arial" w:cs="Arial" w:eastAsia="Arial" w:hAnsi="Arial"/>
          <w:sz w:val="10"/>
          <w:szCs w:val="10"/>
          <w:color w:val="auto"/>
        </w:rPr>
        <w:t>(8)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Tupelo Real Estate,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(NingBo)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Holding II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Union Engineering Latam Ltda </w:t>
      </w: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ectPr>
          <w:pgSz w:w="11900" w:h="16838" w:orient="portrait"/>
          <w:cols w:equalWidth="0" w:num="2">
            <w:col w:w="6240" w:space="720"/>
            <w:col w:w="3139"/>
          </w:cols>
          <w:pgMar w:left="360" w:top="1034" w:right="1440" w:bottom="1440" w:gutter="0" w:footer="0" w:header="0"/>
        </w:sectPr>
      </w:pPr>
    </w:p>
    <w:p>
      <w:pPr>
        <w:spacing w:after="0"/>
        <w:rPr>
          <w:sz w:val="20"/>
          <w:szCs w:val="20"/>
          <w:color w:val="auto"/>
        </w:rPr>
      </w:pPr>
      <w:r>
        <w:rPr>
          <w:rFonts w:ascii="Arial" w:cs="Arial" w:eastAsia="Arial" w:hAnsi="Arial"/>
          <w:sz w:val="16"/>
          <w:szCs w:val="16"/>
          <w:color w:val="auto"/>
        </w:rPr>
        <w:t>Union Engineering North America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Urban Organics Pentair Group,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Urban Organics Schmidt Real Estate Group, LLC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Urban Organics St. Paul, LLC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Voltea Ltd. </w:t>
      </w:r>
      <w:r>
        <w:rPr>
          <w:rFonts w:ascii="Arial" w:cs="Arial" w:eastAsia="Arial" w:hAnsi="Arial"/>
          <w:sz w:val="10"/>
          <w:szCs w:val="10"/>
          <w:color w:val="auto"/>
        </w:rPr>
        <w:t>(10)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Water Ingenuity Holdings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Webster Electric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WICOR Industries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X-Flow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ectPr>
          <w:pgSz w:w="11900" w:h="16838" w:orient="portrait"/>
          <w:cols w:equalWidth="0" w:num="2">
            <w:col w:w="6240" w:space="720"/>
            <w:col w:w="3139"/>
          </w:cols>
          <w:pgMar w:left="360" w:top="1034" w:right="1440" w:bottom="1440" w:gutter="0" w:footer="0" w:header="0"/>
          <w:type w:val="continuous"/>
        </w:sectPr>
      </w:pPr>
    </w:p>
    <w:bookmarkStart w:id="143" w:name="page144"/>
    <w:bookmarkEnd w:id="143"/>
    <w:p>
      <w:pPr>
        <w:ind w:left="400" w:hanging="363"/>
        <w:spacing w:after="0"/>
        <w:tabs>
          <w:tab w:leader="none" w:pos="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10.37% owned</w:t>
      </w:r>
    </w:p>
    <w:p>
      <w:pPr>
        <w:spacing w:after="0" w:line="55" w:lineRule="exact"/>
        <w:rPr>
          <w:rFonts w:ascii="Arial" w:cs="Arial" w:eastAsia="Arial" w:hAnsi="Arial"/>
          <w:sz w:val="14"/>
          <w:szCs w:val="14"/>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47%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50%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4.81%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99.99% owned</w:t>
      </w:r>
    </w:p>
    <w:p>
      <w:pPr>
        <w:spacing w:after="0" w:line="55" w:lineRule="exact"/>
        <w:rPr>
          <w:rFonts w:ascii="Arial" w:cs="Arial" w:eastAsia="Arial" w:hAnsi="Arial"/>
          <w:sz w:val="14"/>
          <w:szCs w:val="14"/>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70%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76%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0.03% owned</w:t>
      </w:r>
    </w:p>
    <w:p>
      <w:pPr>
        <w:spacing w:after="0" w:line="32" w:lineRule="exact"/>
        <w:rPr>
          <w:rFonts w:ascii="Arial" w:cs="Arial" w:eastAsia="Arial" w:hAnsi="Arial"/>
          <w:sz w:val="16"/>
          <w:szCs w:val="16"/>
          <w:color w:val="auto"/>
        </w:rPr>
      </w:pPr>
    </w:p>
    <w:p>
      <w:pPr>
        <w:ind w:left="400" w:hanging="363"/>
        <w:spacing w:after="0"/>
        <w:tabs>
          <w:tab w:leader="none" w:pos="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99% owned</w:t>
      </w:r>
    </w:p>
    <w:p>
      <w:pPr>
        <w:spacing w:after="0" w:line="32"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4"/>
          <w:szCs w:val="14"/>
          <w:color w:val="auto"/>
        </w:rPr>
        <w:t>1.69% owned</w:t>
      </w:r>
    </w:p>
    <w:p>
      <w:pPr>
        <w:sectPr>
          <w:pgSz w:w="11900" w:h="16838" w:orient="portrait"/>
          <w:cols w:equalWidth="0" w:num="1">
            <w:col w:w="9999"/>
          </w:cols>
          <w:pgMar w:left="460" w:top="1034"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right="400"/>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333-184150, 333-184151, 333-184152 and 333-238544 on Form S-8 and Registration Statement No. 333-231828 on Form S-3 of our reports dated February 16, 2021, relating to the financial statements of Pentair plc and the effectiveness of Pentair plc’s internal control over financial reporting, appearing in this Annual Report on Form 10-K for the year ended December 31, 2020.</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89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760" w:type="dxa"/>
            <w:vAlign w:val="bottom"/>
            <w:gridSpan w:val="3"/>
          </w:tcPr>
          <w:p>
            <w:pPr>
              <w:ind w:left="160"/>
              <w:spacing w:after="0"/>
              <w:rPr>
                <w:sz w:val="20"/>
                <w:szCs w:val="20"/>
                <w:color w:val="auto"/>
              </w:rPr>
            </w:pPr>
            <w:r>
              <w:rPr>
                <w:rFonts w:ascii="Arial" w:cs="Arial" w:eastAsia="Arial" w:hAnsi="Arial"/>
                <w:sz w:val="14"/>
                <w:szCs w:val="14"/>
                <w:b w:val="1"/>
                <w:bCs w:val="1"/>
                <w:color w:val="auto"/>
              </w:rPr>
              <w:t>Title</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Mona Abutaleb Stephenson</w:t>
            </w:r>
          </w:p>
        </w:tc>
        <w:tc>
          <w:tcPr>
            <w:tcW w:w="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Mona Abutaleb Stephenson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Glynis A. Bryan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Glynis A. Bryan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 Michael Glenn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T. Michael Glenn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Theodore L. Harris</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Theodore L. Harris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A. Jones</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David A. Jones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Gregory E. Knight</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Gregory E. Knight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T. Speetzen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Michael T. Speetzen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Billie I. Williamson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Billie I. Williamson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240"/>
          </w:cols>
          <w:pgMar w:left="320" w:top="89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16,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16,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Pentair plc (the “Company”) on Form 10-K for the period ended December 31, 2020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16,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Pentair plc (the “Company”) on Form 10-K for the period ended December 31, 2020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16,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lvl w:ilvl="1">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2"/>
    </w:lvl>
  </w:abstractNum>
  <w:abstractNum w:abstractNumId="49">
    <w:nsid w:val="7FFFCA11"/>
    <w:multiLevelType w:val="hybridMultilevel"/>
    <w:lvl w:ilvl="0">
      <w:lvlJc w:val="left"/>
      <w:lvlText w:val="%1."/>
      <w:numFmt w:val="decimal"/>
      <w:start w:val="9"/>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1."/>
      <w:numFmt w:val="decimal"/>
      <w:start w:val="12"/>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1."/>
      <w:numFmt w:val="decimal"/>
      <w:start w:val="15"/>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decimal"/>
      <w:start w:val="21"/>
    </w:lvl>
  </w:abstractNum>
  <w:abstractNum w:abstractNumId="65">
    <w:nsid w:val="2DF6D648"/>
    <w:multiLevelType w:val="hybridMultilevel"/>
    <w:lvl w:ilvl="0">
      <w:lvlJc w:val="left"/>
      <w:lvlText w:val="%1"/>
      <w:numFmt w:val="decimal"/>
      <w:start w:val="101"/>
    </w:lvl>
  </w:abstractNum>
  <w:abstractNum w:abstractNumId="66">
    <w:nsid w:val="46B7D447"/>
    <w:multiLevelType w:val="hybridMultilevel"/>
    <w:lvl w:ilvl="0">
      <w:lvlJc w:val="left"/>
      <w:lvlText w:val="*"/>
      <w:numFmt w:val="bullet"/>
      <w:start w:val="1"/>
    </w:lvl>
    <w:lvl w:ilvl="1">
      <w:lvlJc w:val="left"/>
      <w:lvlText w:val="%2"/>
      <w:numFmt w:val="decimal"/>
      <w:start w:val="104"/>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1)"/>
      <w:numFmt w:val="decimal"/>
      <w:start w:val="1"/>
    </w:lvl>
    <w:lvl w:ilvl="1">
      <w:lvlJc w:val="left"/>
      <w:lvlText w:val="(%2)"/>
      <w:numFmt w:val="lowerRoman"/>
      <w:start w:val="1"/>
    </w:lvl>
  </w:abstractNum>
  <w:abstractNum w:abstractNumId="75">
    <w:nsid w:val="49DA307D"/>
    <w:multiLevelType w:val="hybridMultilevel"/>
    <w:lvl w:ilvl="0">
      <w:lvlJc w:val="left"/>
      <w:lvlText w:val="(%1)"/>
      <w:numFmt w:val="decimal"/>
      <w:start w:val="8"/>
    </w:lvl>
  </w:abstractNum>
  <w:abstractNum w:abstractNumId="76">
    <w:nsid w:val="7055A5F5"/>
    <w:multiLevelType w:val="hybridMultilevel"/>
    <w:lvl w:ilvl="0">
      <w:lvlJc w:val="left"/>
      <w:lvlText w:val="(%1)"/>
      <w:numFmt w:val="lowerLetter"/>
      <w:start w:val="1"/>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lowerLetter"/>
      <w:start w:val="3"/>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1)"/>
      <w:numFmt w:val="lowerLetter"/>
      <w:start w:val="2"/>
    </w:lvl>
    <w:lvl w:ilvl="1">
      <w:lvlJc w:val="left"/>
      <w:lvlText w:val="(%2)"/>
      <w:numFmt w:val="decimal"/>
      <w:start w:val="12"/>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9"/>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lowerRoman"/>
      <w:start w:val="3"/>
    </w:lvl>
  </w:abstractNum>
  <w:abstractNum w:abstractNumId="91">
    <w:nsid w:val="14FCE74E"/>
    <w:multiLevelType w:val="hybridMultilevel"/>
    <w:lvl w:ilvl="0">
      <w:lvlJc w:val="left"/>
      <w:lvlText w:val="%1."/>
      <w:numFmt w:val="decimal"/>
      <w:start w:val="1"/>
    </w:lvl>
    <w:lvl w:ilvl="1">
      <w:lvlJc w:val="left"/>
      <w:lvlText w:val="(%2)"/>
      <w:numFmt w:val="lowerLetter"/>
      <w:start w:val="1"/>
    </w:lvl>
  </w:abstractNum>
  <w:abstractNum w:abstractNumId="92">
    <w:nsid w:val="6A3DD3E8"/>
    <w:multiLevelType w:val="hybridMultilevel"/>
    <w:lvl w:ilvl="0">
      <w:lvlJc w:val="left"/>
      <w:lvlText w:val="%1."/>
      <w:numFmt w:val="decimal"/>
      <w:start w:val="2"/>
    </w:lvl>
    <w:lvl w:ilvl="1">
      <w:lvlJc w:val="left"/>
      <w:lvlText w:val="%2."/>
      <w:numFmt w:val="decimal"/>
      <w:start w:val="3"/>
    </w:lvl>
  </w:abstractNum>
  <w:abstractNum w:abstractNumId="93">
    <w:nsid w:val="71C91298"/>
    <w:multiLevelType w:val="hybridMultilevel"/>
    <w:lvl w:ilvl="0">
      <w:lvlJc w:val="left"/>
      <w:lvlText w:val="%1."/>
      <w:numFmt w:val="decimal"/>
      <w:start w:val="1"/>
    </w:lvl>
    <w:lvl w:ilvl="1">
      <w:lvlJc w:val="left"/>
      <w:lvlText w:val="%2."/>
      <w:numFmt w:val="lowerLetter"/>
      <w:start w:val="1"/>
    </w:lvl>
  </w:abstractNum>
  <w:abstractNum w:abstractNumId="94">
    <w:nsid w:val="9DAF632"/>
    <w:multiLevelType w:val="hybridMultilevel"/>
    <w:lvl w:ilvl="0">
      <w:lvlJc w:val="left"/>
      <w:lvlText w:val="%1."/>
      <w:numFmt w:val="decimal"/>
      <w:start w:val="2"/>
    </w:lvl>
  </w:abstractNum>
  <w:abstractNum w:abstractNumId="95">
    <w:nsid w:val="53299938"/>
    <w:multiLevelType w:val="hybridMultilevel"/>
    <w:lvl w:ilvl="0">
      <w:lvlJc w:val="left"/>
      <w:lvlText w:val="%1."/>
      <w:numFmt w:val="decimal"/>
      <w:start w:val="3"/>
    </w:lvl>
  </w:abstractNum>
  <w:abstractNum w:abstractNumId="96">
    <w:nsid w:val="1FBFE8E0"/>
    <w:multiLevelType w:val="hybridMultilevel"/>
    <w:lvl w:ilvl="0">
      <w:lvlJc w:val="left"/>
      <w:lvlText w:val="%1."/>
      <w:numFmt w:val="decimal"/>
      <w:start w:val="4"/>
    </w:lvl>
  </w:abstractNum>
  <w:abstractNum w:abstractNumId="97">
    <w:nsid w:val="5092CA79"/>
    <w:multiLevelType w:val="hybridMultilevel"/>
    <w:lvl w:ilvl="0">
      <w:lvlJc w:val="left"/>
      <w:lvlText w:val="%1."/>
      <w:numFmt w:val="decimal"/>
      <w:start w:val="5"/>
    </w:lvl>
  </w:abstractNum>
  <w:abstractNum w:abstractNumId="98">
    <w:nsid w:val="1D545C4D"/>
    <w:multiLevelType w:val="hybridMultilevel"/>
    <w:lvl w:ilvl="0">
      <w:lvlJc w:val="left"/>
      <w:lvlText w:val="%1."/>
      <w:numFmt w:val="decimal"/>
      <w:start w:val="6"/>
    </w:lvl>
  </w:abstractNum>
  <w:abstractNum w:abstractNumId="99">
    <w:nsid w:val="59ADEA3D"/>
    <w:multiLevelType w:val="hybridMultilevel"/>
    <w:lvl w:ilvl="0">
      <w:lvlJc w:val="left"/>
      <w:lvlText w:val="%1."/>
      <w:numFmt w:val="decimal"/>
      <w:start w:val="10"/>
    </w:lvl>
  </w:abstractNum>
  <w:abstractNum w:abstractNumId="100">
    <w:nsid w:val="288F1A34"/>
    <w:multiLevelType w:val="hybridMultilevel"/>
    <w:lvl w:ilvl="0">
      <w:lvlJc w:val="left"/>
      <w:lvlText w:val="%1."/>
      <w:numFmt w:val="lowerRoman"/>
      <w:start w:val="2"/>
    </w:lvl>
  </w:abstractNum>
  <w:abstractNum w:abstractNumId="101">
    <w:nsid w:val="2A155DBC"/>
    <w:multiLevelType w:val="hybridMultilevel"/>
    <w:lvl w:ilvl="0">
      <w:lvlJc w:val="left"/>
      <w:lvlText w:val="%1."/>
      <w:numFmt w:val="decimal"/>
      <w:start w:val="11"/>
    </w:lvl>
  </w:abstractNum>
  <w:abstractNum w:abstractNumId="102">
    <w:nsid w:val="1D9F6E5F"/>
    <w:multiLevelType w:val="hybridMultilevel"/>
    <w:lvl w:ilvl="0">
      <w:lvlJc w:val="left"/>
      <w:lvlText w:val="%1"/>
      <w:numFmt w:val="lowerLetter"/>
      <w:start w:val="1"/>
    </w:lvl>
    <w:lvl w:ilvl="1">
      <w:lvlJc w:val="left"/>
      <w:lvlText w:val="%2."/>
      <w:numFmt w:val="decimal"/>
      <w:start w:val="15"/>
    </w:lvl>
  </w:abstractNum>
  <w:abstractNum w:abstractNumId="103">
    <w:nsid w:val="97E1B4E"/>
    <w:multiLevelType w:val="hybridMultilevel"/>
    <w:lvl w:ilvl="0">
      <w:lvlJc w:val="left"/>
      <w:lvlText w:val="(%1)"/>
      <w:numFmt w:val="lowerLetter"/>
      <w:start w:val="3"/>
    </w:lvl>
    <w:lvl w:ilvl="1">
      <w:lvlJc w:val="left"/>
      <w:lvlText w:val="%2."/>
      <w:numFmt w:val="decimal"/>
      <w:start w:val="17"/>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lowerRoman"/>
      <w:start w:val="1"/>
    </w:lvl>
  </w:abstractNum>
  <w:abstractNum w:abstractNumId="106">
    <w:nsid w:val="53584BCB"/>
    <w:multiLevelType w:val="hybridMultilevel"/>
    <w:lvl w:ilvl="0">
      <w:lvlJc w:val="left"/>
      <w:lvlText w:val="%1."/>
      <w:numFmt w:val="decimal"/>
      <w:start w:val="2"/>
    </w:lvl>
  </w:abstractNum>
  <w:abstractNum w:abstractNumId="107">
    <w:nsid w:val="415E286C"/>
    <w:multiLevelType w:val="hybridMultilevel"/>
    <w:lvl w:ilvl="0">
      <w:lvlJc w:val="left"/>
      <w:lvlText w:val="%1."/>
      <w:numFmt w:val="decimal"/>
      <w:start w:val="3"/>
    </w:lvl>
  </w:abstractNum>
  <w:abstractNum w:abstractNumId="108">
    <w:nsid w:val="7C58FD05"/>
    <w:multiLevelType w:val="hybridMultilevel"/>
    <w:lvl w:ilvl="0">
      <w:lvlJc w:val="left"/>
      <w:lvlText w:val="%1"/>
      <w:numFmt w:val="lowerLetter"/>
      <w:start w:val="1"/>
    </w:lvl>
    <w:lvl w:ilvl="1">
      <w:lvlJc w:val="left"/>
      <w:lvlText w:val="%2."/>
      <w:numFmt w:val="decimal"/>
      <w:start w:val="4"/>
    </w:lvl>
  </w:abstractNum>
  <w:abstractNum w:abstractNumId="109">
    <w:nsid w:val="23D86AAC"/>
    <w:multiLevelType w:val="hybridMultilevel"/>
    <w:lvl w:ilvl="0">
      <w:lvlJc w:val="left"/>
      <w:lvlText w:val="(%1)"/>
      <w:numFmt w:val="lowerLetter"/>
      <w:start w:val="3"/>
    </w:lvl>
    <w:lvl w:ilvl="1">
      <w:lvlJc w:val="left"/>
      <w:lvlText w:val="%2"/>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2" Type="http://schemas.openxmlformats.org/officeDocument/2006/relationships/image" Target="media/image98.png"/><Relationship Id="rId127"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05" Type="http://schemas.openxmlformats.org/officeDocument/2006/relationships/hyperlink" Target="http://www.sec.gov/Archives/edgar/data/77360/000119312517164403/d365501dex31.htm" TargetMode="External"/><Relationship Id="rId106" Type="http://schemas.openxmlformats.org/officeDocument/2006/relationships/hyperlink" Target="http://www.sec.gov/Archives/edgar/data/77360/000119312512408001/d409131dex41.htm" TargetMode="External"/><Relationship Id="rId107" Type="http://schemas.openxmlformats.org/officeDocument/2006/relationships/hyperlink" Target="http://www.sec.gov/Archives/edgar/data/77360/000119312512408001/d409131dex43.htm" TargetMode="External"/><Relationship Id="rId108" Type="http://schemas.openxmlformats.org/officeDocument/2006/relationships/hyperlink" Target="http://www.sec.gov/Archives/edgar/data/77360/000119312512506767/d456536dex41.htm" TargetMode="External"/><Relationship Id="rId109" Type="http://schemas.openxmlformats.org/officeDocument/2006/relationships/hyperlink" Target="http://www.sec.gov/Archives/edgar/data/77360/000119312514206241/d728966dex43.htm" TargetMode="External"/><Relationship Id="rId110" Type="http://schemas.openxmlformats.org/officeDocument/2006/relationships/hyperlink" Target="http://www.sec.gov/Archives/edgar/data/77360/000007736017000025/exhibit41seventhsupplement.htm" TargetMode="External"/><Relationship Id="rId111" Type="http://schemas.openxmlformats.org/officeDocument/2006/relationships/hyperlink" Target="http://www.sec.gov/Archives/edgar/data/77360/000104746911004332/a2203678zex-4_5.htm" TargetMode="External"/><Relationship Id="rId113" Type="http://schemas.openxmlformats.org/officeDocument/2006/relationships/hyperlink" Target="http://www.sec.gov/Archives/edgar/data/77360/000110465911027276/a11-10890_9ex4d2.htm" TargetMode="External"/><Relationship Id="rId114" Type="http://schemas.openxmlformats.org/officeDocument/2006/relationships/hyperlink" Target="http://www.sec.gov/Archives/edgar/data/77360/000119312512411468/d417892dex41.htm" TargetMode="External"/><Relationship Id="rId115" Type="http://schemas.openxmlformats.org/officeDocument/2006/relationships/hyperlink" Target="http://www.sec.gov/Archives/edgar/data/77360/000119312512506767/d456536dex42.htm" TargetMode="External"/><Relationship Id="rId116" Type="http://schemas.openxmlformats.org/officeDocument/2006/relationships/hyperlink" Target="http://www.sec.gov/Archives/edgar/data/77360/000119312514206241/d728966dex42.htm" TargetMode="External"/><Relationship Id="rId117" Type="http://schemas.openxmlformats.org/officeDocument/2006/relationships/hyperlink" Target="http://www.sec.gov/Archives/edgar/data/77360/000007736017000025/exhibit42sixthsupplemental.htm" TargetMode="External"/><Relationship Id="rId118" Type="http://schemas.openxmlformats.org/officeDocument/2006/relationships/hyperlink" Target="http://www.sec.gov/Archives/edgar/data/77360/000007736018000018/exhibit41.htm" TargetMode="External"/><Relationship Id="rId119" Type="http://schemas.openxmlformats.org/officeDocument/2006/relationships/hyperlink" Target="http://www.sec.gov/Archives/edgar/data/77360/000110465919070581/tm1924589d1_ex4-1.htm" TargetMode="External"/><Relationship Id="rId120" Type="http://schemas.openxmlformats.org/officeDocument/2006/relationships/hyperlink" Target="http://www.sec.gov/Archives/edgar/data/77360/000119312515321236/d19886dex41.htm" TargetMode="External"/><Relationship Id="rId121" Type="http://schemas.openxmlformats.org/officeDocument/2006/relationships/hyperlink" Target="http://www.sec.gov/Archives/edgar/data/77360/000119312515321236/d19886dex44.htm" TargetMode="External"/><Relationship Id="rId122" Type="http://schemas.openxmlformats.org/officeDocument/2006/relationships/hyperlink" Target="http://www.sec.gov/Archives/edgar/data/77360/000007736017000025/exhibit43fifthsupplemental.htm" TargetMode="External"/><Relationship Id="rId123" Type="http://schemas.openxmlformats.org/officeDocument/2006/relationships/hyperlink" Target="http://www.sec.gov/Archives/edgar/data/77360/000110465919037009/a19-10746_8ex4d2.htm" TargetMode="External"/><Relationship Id="rId124" Type="http://schemas.openxmlformats.org/officeDocument/2006/relationships/hyperlink" Target="http://www.sec.gov/Archives/edgar/data/77360/000007736020000031/exhibit42seventhsupple.htm" TargetMode="External"/><Relationship Id="rId125" Type="http://schemas.openxmlformats.org/officeDocument/2006/relationships/hyperlink" Target="http://www.sec.gov/Archives/edgar/data/77360/000007736020000031/exhibit41eighthsupplem.htm" TargetMode="External"/><Relationship Id="rId126" Type="http://schemas.openxmlformats.org/officeDocument/2006/relationships/hyperlink" Target="http://www.sec.gov/Archives/edgar/data/77360/000007736018000018/exhibit22.htm" TargetMode="External"/><Relationship Id="rId128" Type="http://schemas.openxmlformats.org/officeDocument/2006/relationships/hyperlink" Target="http://www.sec.gov/Archives/edgar/data/77360/000007736017000008/ex102pentairplc2012stockan.htm" TargetMode="External"/><Relationship Id="rId129" Type="http://schemas.openxmlformats.org/officeDocument/2006/relationships/hyperlink" Target="http://www.sec.gov/Archives/edgar/data/77360/000119312514223285/d738414dex107.htm" TargetMode="External"/><Relationship Id="rId130" Type="http://schemas.openxmlformats.org/officeDocument/2006/relationships/hyperlink" Target="http://www.sec.gov/Archives/edgar/data/77360/000119312514223285/d738414dex1010.htm" TargetMode="External"/><Relationship Id="rId131" Type="http://schemas.openxmlformats.org/officeDocument/2006/relationships/hyperlink" Target="http://www.sec.gov/Archives/edgar/data/77360/000007736017000008/ex1092008omnibusstockincen.htm" TargetMode="External"/><Relationship Id="rId132" Type="http://schemas.openxmlformats.org/officeDocument/2006/relationships/hyperlink" Target="http://www.sec.gov/Archives/edgar/data/77360/000119312512411468/d417892dex1012.htm" TargetMode="External"/><Relationship Id="rId133" Type="http://schemas.openxmlformats.org/officeDocument/2006/relationships/hyperlink" Target="http://www.sec.gov/Archives/edgar/data/77360/000007736018000027/exhibit10120180630.htm" TargetMode="External"/><Relationship Id="rId134" Type="http://schemas.openxmlformats.org/officeDocument/2006/relationships/hyperlink" Target="http://www.sec.gov/Archives/edgar/data/77360/000007736018000027/exhibit10220180630.htm" TargetMode="External"/><Relationship Id="rId135" Type="http://schemas.openxmlformats.org/officeDocument/2006/relationships/hyperlink" Target="http://www.sec.gov/Archives/edgar/data/77360/000007736018000027/exhibit10320180630.htm" TargetMode="External"/><Relationship Id="rId136" Type="http://schemas.openxmlformats.org/officeDocument/2006/relationships/hyperlink" Target="http://www.sec.gov/Archives/edgar/data/77360/000119312514223285/d738414dex106.htm" TargetMode="External"/><Relationship Id="rId137" Type="http://schemas.openxmlformats.org/officeDocument/2006/relationships/hyperlink" Target="http://www.sec.gov/Archives/edgar/data/77360/000007736019000006/ex1017non-qualifieddeferre.htm" TargetMode="External"/><Relationship Id="rId138" Type="http://schemas.openxmlformats.org/officeDocument/2006/relationships/hyperlink" Target="http://www.sec.gov/Archives/edgar/data/77360/0000077360-96-000028.txt" TargetMode="External"/><Relationship Id="rId139" Type="http://schemas.openxmlformats.org/officeDocument/2006/relationships/hyperlink" Target="http://www.sec.gov/Archives/edgar/data/77360/000119312514223285/d738414dex1013.htm" TargetMode="External"/><Relationship Id="rId140" Type="http://schemas.openxmlformats.org/officeDocument/2006/relationships/hyperlink" Target="http://www.sec.gov/Archives/edgar/data/77360/000119312514223285/d738414dex1014.htm" TargetMode="External"/><Relationship Id="rId141" Type="http://schemas.openxmlformats.org/officeDocument/2006/relationships/hyperlink" Target="http://www.sec.gov/Archives/edgar/data/77360/000119312514223285/d738414dex1015.htm" TargetMode="External"/><Relationship Id="rId142" Type="http://schemas.openxmlformats.org/officeDocument/2006/relationships/hyperlink" Target="http://www.sec.gov/Archives/edgar/data/77360/000119312514223285/d738414dex1016.htm" TargetMode="External"/><Relationship Id="rId143" Type="http://schemas.openxmlformats.org/officeDocument/2006/relationships/hyperlink" Target="http://www.sec.gov/Archives/edgar/data/77360/000007736018000016/ex102pentairkeytalentaward.htm" TargetMode="External"/><Relationship Id="rId144" Type="http://schemas.openxmlformats.org/officeDocument/2006/relationships/hyperlink" Target="http://www.sec.gov/Archives/edgar/data/77360/000007736017000008/ex1031pentairplc2012stocka.htm" TargetMode="External"/><Relationship Id="rId147" Type="http://schemas.openxmlformats.org/officeDocument/2006/relationships/hyperlink" Target="http://www.sec.gov/Archives/edgar/data/77360/000007736018000016/ex103pentairrsuawardagreem.htm" TargetMode="External"/><Relationship Id="rId148" Type="http://schemas.openxmlformats.org/officeDocument/2006/relationships/hyperlink" Target="http://www.sec.gov/Archives/edgar/data/77360/000007736018000016/ex104pentairstockoptionagr.htm" TargetMode="External"/><Relationship Id="rId149" Type="http://schemas.openxmlformats.org/officeDocument/2006/relationships/hyperlink" Target="http://www.sec.gov/Archives/edgar/data/77360/000007736018000016/ex105pentairpsuawardagreem.htm" TargetMode="External"/><Relationship Id="rId150" Type="http://schemas.openxmlformats.org/officeDocument/2006/relationships/hyperlink" Target="http://www.sec.gov/Archives/edgar/data/77360/000007736019000006/ex1032formofexecutiveoffic.htm" TargetMode="External"/><Relationship Id="rId151" Type="http://schemas.openxmlformats.org/officeDocument/2006/relationships/hyperlink" Target="http://www.sec.gov/Archives/edgar/data/77360/000104746920001649/a2240951zdef14a.htm#a66" TargetMode="External"/><Relationship Id="rId152" Type="http://schemas.openxmlformats.org/officeDocument/2006/relationships/hyperlink" Target="http://www.sec.gov/Archives/edgar/data/77360/000110465920064373/tm2020013d2_ex99-1.htm" TargetMode="External"/><Relationship Id="rId153" Type="http://schemas.openxmlformats.org/officeDocument/2006/relationships/hyperlink" Target="http://www.sec.gov/Archives/edgar/data/77360/000110465920064373/tm2020013d2_ex99-2.htm" TargetMode="External"/><Relationship Id="rId154" Type="http://schemas.openxmlformats.org/officeDocument/2006/relationships/hyperlink" Target="http://www.sec.gov/Archives/edgar/data/77360/000110465920064373/tm2020013d2_ex99-3.htm" TargetMode="External"/><Relationship Id="rId155" Type="http://schemas.openxmlformats.org/officeDocument/2006/relationships/hyperlink" Target="http://www.sec.gov/Archives/edgar/data/77360/000110465920064373/tm2020013d2_ex99-4.htm" TargetMode="External"/><Relationship Id="rId156" Type="http://schemas.openxmlformats.org/officeDocument/2006/relationships/hyperlink" Target="http://www.sec.gov/Archives/edgar/data/77360/000110465920064373/tm2020013d2_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2021-02-16T16:29:50Z</dcterms:created>
  <dcterms:modified xsi:type="dcterms:W3CDTF">2021-02-16T16:29:50Z</dcterms:modified>
</cp:coreProperties>
</file>