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0" w:lineRule="exact"/>
        <w:rPr>
          <w:sz w:val="24"/>
          <w:szCs w:val="24"/>
          <w:color w:val="auto"/>
        </w:rPr>
      </w:pPr>
    </w:p>
    <w:p>
      <w:pPr>
        <w:ind w:left="1180" w:right="1080" w:hanging="1145"/>
        <w:spacing w:after="0" w:line="485" w:lineRule="auto"/>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001-11625</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Ireland</w:t>
            </w:r>
          </w:p>
        </w:tc>
        <w:tc>
          <w:tcPr>
            <w:tcW w:w="536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98-1141328</w:t>
            </w:r>
          </w:p>
        </w:tc>
      </w:tr>
      <w:tr>
        <w:trPr>
          <w:trHeight w:val="27"/>
        </w:trPr>
        <w:tc>
          <w:tcPr>
            <w:tcW w:w="5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43 London Wall, London, EC2M 5TF,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44-207-347-8925</w:t>
      </w:r>
    </w:p>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(§223.405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316"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1"/>
              </w:rPr>
              <w:t>Smaller reporting</w:t>
            </w:r>
          </w:p>
        </w:tc>
        <w:tc>
          <w:tcPr>
            <w:tcW w:w="1600" w:type="dxa"/>
            <w:vAlign w:val="bottom"/>
          </w:tcPr>
          <w:p>
            <w:pPr>
              <w:jc w:val="center"/>
              <w:ind w:left="25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50"/>
        </w:trPr>
        <w:tc>
          <w:tcPr>
            <w:tcW w:w="2140" w:type="dxa"/>
            <w:vAlign w:val="bottom"/>
            <w:vMerge w:val="continue"/>
          </w:tcPr>
          <w:p>
            <w:pPr>
              <w:spacing w:after="0"/>
              <w:rPr>
                <w:sz w:val="21"/>
                <w:szCs w:val="21"/>
                <w:color w:val="auto"/>
              </w:rPr>
            </w:pPr>
          </w:p>
        </w:tc>
        <w:tc>
          <w:tcPr>
            <w:tcW w:w="1840" w:type="dxa"/>
            <w:vAlign w:val="bottom"/>
          </w:tcPr>
          <w:p>
            <w:pPr>
              <w:ind w:left="300"/>
              <w:spacing w:after="0"/>
              <w:rPr>
                <w:sz w:val="20"/>
                <w:szCs w:val="20"/>
                <w:color w:val="auto"/>
              </w:rPr>
            </w:pPr>
            <w:r>
              <w:rPr>
                <w:rFonts w:ascii="Arial" w:cs="Arial" w:eastAsia="Arial" w:hAnsi="Arial"/>
                <w:sz w:val="18"/>
                <w:szCs w:val="18"/>
                <w:color w:val="auto"/>
              </w:rPr>
              <w:t>Accelerated filer o</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company o</w:t>
            </w:r>
          </w:p>
        </w:tc>
        <w:tc>
          <w:tcPr>
            <w:tcW w:w="1600" w:type="dxa"/>
            <w:vAlign w:val="bottom"/>
          </w:tcPr>
          <w:p>
            <w:pPr>
              <w:jc w:val="center"/>
              <w:ind w:left="230"/>
              <w:spacing w:after="0"/>
              <w:rPr>
                <w:sz w:val="20"/>
                <w:szCs w:val="20"/>
                <w:color w:val="auto"/>
              </w:rPr>
            </w:pPr>
            <w:r>
              <w:rPr>
                <w:rFonts w:ascii="Arial" w:cs="Arial" w:eastAsia="Arial" w:hAnsi="Arial"/>
                <w:sz w:val="18"/>
                <w:szCs w:val="18"/>
                <w:color w:val="auto"/>
                <w:w w:val="90"/>
              </w:rPr>
              <w:t>company o</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1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1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March 31, 2017, 182,245,086 shares of Registrant’s common stock were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94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89"/>
              </w:rPr>
              <w:t>Pentair plc and Subsidiaries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460" w:type="dxa"/>
            <w:vAlign w:val="bottom"/>
            <w:gridSpan w:val="13"/>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6"/>
            <w:vMerge w:val="continue"/>
          </w:tcPr>
          <w:p>
            <w:pPr>
              <w:spacing w:after="0"/>
              <w:rPr>
                <w:sz w:val="24"/>
                <w:szCs w:val="24"/>
                <w:color w:val="auto"/>
              </w:rPr>
            </w:pPr>
          </w:p>
        </w:tc>
        <w:tc>
          <w:tcPr>
            <w:tcW w:w="7460" w:type="dxa"/>
            <w:vAlign w:val="bottom"/>
            <w:gridSpan w:val="13"/>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2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(Loss) for the three months ended</w:t>
              </w:r>
            </w:hyperlink>
          </w:p>
        </w:tc>
        <w:tc>
          <w:tcPr>
            <w:tcW w:w="100" w:type="dxa"/>
            <w:vAlign w:val="bottom"/>
          </w:tcPr>
          <w:p>
            <w:pPr>
              <w:spacing w:after="0"/>
              <w:rPr>
                <w:sz w:val="24"/>
                <w:szCs w:val="24"/>
                <w:color w:val="auto"/>
              </w:rPr>
            </w:pPr>
          </w:p>
        </w:tc>
        <w:tc>
          <w:tcPr>
            <w:tcW w:w="900" w:type="dxa"/>
            <w:vAlign w:val="bottom"/>
            <w:gridSpan w:val="4"/>
            <w:vMerge w:val="restart"/>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88"/>
        </w:trPr>
        <w:tc>
          <w:tcPr>
            <w:tcW w:w="2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140" w:type="dxa"/>
            <w:vAlign w:val="bottom"/>
            <w:gridSpan w:val="17"/>
            <w:vMerge w:val="restart"/>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March 31, 2017 and 2016</w:t>
              </w:r>
            </w:hyperlink>
          </w:p>
        </w:tc>
        <w:tc>
          <w:tcPr>
            <w:tcW w:w="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140" w:type="dxa"/>
            <w:vAlign w:val="bottom"/>
            <w:gridSpan w:val="17"/>
            <w:vMerge w:val="continue"/>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2017 and December 31, 2016</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76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months ended March 31, 2017 and 2016</w:t>
              </w:r>
            </w:hyperlink>
          </w:p>
        </w:tc>
        <w:tc>
          <w:tcPr>
            <w:tcW w:w="720" w:type="dxa"/>
            <w:vAlign w:val="bottom"/>
            <w:gridSpan w:val="3"/>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Changes in Equity for the three months ended March 31, 2017 and 2016</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080" w:type="dxa"/>
            <w:vAlign w:val="bottom"/>
            <w:tcBorders>
              <w:top w:val="single" w:sz="8" w:color="0000EE"/>
            </w:tcBorders>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24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4"/>
                <w:szCs w:val="24"/>
                <w:color w:val="auto"/>
              </w:rPr>
            </w:pPr>
          </w:p>
        </w:tc>
        <w:tc>
          <w:tcPr>
            <w:tcW w:w="186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8"/>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Controls and Procedures</w:t>
              </w:r>
            </w:hyperlink>
          </w:p>
        </w:tc>
        <w:tc>
          <w:tcPr>
            <w:tcW w:w="2540" w:type="dxa"/>
            <w:vAlign w:val="bottom"/>
            <w:gridSpan w:val="4"/>
          </w:tcPr>
          <w:p>
            <w:pPr>
              <w:spacing w:after="0"/>
              <w:rPr>
                <w:sz w:val="24"/>
                <w:szCs w:val="24"/>
                <w:color w:val="auto"/>
              </w:rPr>
            </w:pPr>
          </w:p>
        </w:tc>
        <w:tc>
          <w:tcPr>
            <w:tcW w:w="40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7760" w:type="dxa"/>
            <w:vAlign w:val="bottom"/>
            <w:gridSpan w:val="16"/>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6"/>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Risk Factors</w:t>
              </w:r>
            </w:hyperlink>
          </w:p>
        </w:tc>
        <w:tc>
          <w:tcPr>
            <w:tcW w:w="420" w:type="dxa"/>
            <w:vAlign w:val="bottom"/>
          </w:tcPr>
          <w:p>
            <w:pPr>
              <w:spacing w:after="0"/>
              <w:rPr>
                <w:sz w:val="24"/>
                <w:szCs w:val="24"/>
                <w:color w:val="auto"/>
              </w:rPr>
            </w:pPr>
          </w:p>
        </w:tc>
        <w:tc>
          <w:tcPr>
            <w:tcW w:w="6980" w:type="dxa"/>
            <w:vAlign w:val="bottom"/>
            <w:gridSpan w:val="11"/>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gridSpan w:val="12"/>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Unregistered Sales of Equity Securities and Use of Proceeds</w:t>
              </w:r>
            </w:hyperlink>
          </w:p>
        </w:tc>
        <w:tc>
          <w:tcPr>
            <w:tcW w:w="40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6.</w:t>
            </w:r>
          </w:p>
        </w:tc>
        <w:tc>
          <w:tcPr>
            <w:tcW w:w="4320" w:type="dxa"/>
            <w:vAlign w:val="bottom"/>
            <w:gridSpan w:val="1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40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885"/>
        </w:trPr>
        <w:tc>
          <w:tcPr>
            <w:tcW w:w="2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3240" w:type="dxa"/>
            <w:vAlign w:val="bottom"/>
            <w:gridSpan w:val="7"/>
          </w:tcPr>
          <w:p>
            <w:pPr>
              <w:jc w:val="right"/>
              <w:ind w:right="35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Three months ended</w:t>
            </w:r>
          </w:p>
        </w:tc>
      </w:tr>
      <w:tr>
        <w:trPr>
          <w:trHeight w:val="153"/>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408"/>
              <w:spacing w:after="0" w:line="153"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30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March 31,</w:t>
            </w:r>
          </w:p>
        </w:tc>
      </w:tr>
      <w:tr>
        <w:trPr>
          <w:trHeight w:val="205"/>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1,183.5</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1,190.0</w:t>
            </w:r>
          </w:p>
        </w:tc>
      </w:tr>
      <w:tr>
        <w:trPr>
          <w:trHeight w:val="21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761.2</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758.7</w:t>
            </w: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422.3</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431.3</w:t>
            </w: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253.9</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250.1</w:t>
            </w:r>
          </w:p>
        </w:tc>
      </w:tr>
      <w:tr>
        <w:trPr>
          <w:trHeight w:val="216"/>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138.4</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152.7</w:t>
            </w: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197"/>
        </w:trPr>
        <w:tc>
          <w:tcPr>
            <w:tcW w:w="8240" w:type="dxa"/>
            <w:vAlign w:val="bottom"/>
          </w:tcPr>
          <w:p>
            <w:pPr>
              <w:ind w:left="40"/>
              <w:spacing w:after="0"/>
              <w:rPr>
                <w:sz w:val="20"/>
                <w:szCs w:val="20"/>
                <w:color w:val="auto"/>
              </w:rPr>
            </w:pPr>
            <w:r>
              <w:rPr>
                <w:rFonts w:ascii="Arial" w:cs="Arial" w:eastAsia="Arial" w:hAnsi="Arial"/>
                <w:sz w:val="14"/>
                <w:szCs w:val="14"/>
                <w:color w:val="auto"/>
              </w:rPr>
              <w:t>Equity income of unconsolidated subsidiaries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103.6</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116.9</w:t>
            </w:r>
          </w:p>
        </w:tc>
      </w:tr>
      <w:tr>
        <w:trPr>
          <w:trHeight w:val="216"/>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80.7</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91.8</w:t>
            </w:r>
          </w:p>
        </w:tc>
      </w:tr>
      <w:tr>
        <w:trPr>
          <w:trHeight w:val="216"/>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r>
      <w:tr>
        <w:trPr>
          <w:trHeight w:val="25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87.8</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107.4</w:t>
            </w: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87.8</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107.4</w:t>
            </w:r>
          </w:p>
        </w:tc>
      </w:tr>
      <w:tr>
        <w:trPr>
          <w:trHeight w:val="222"/>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cumulative translation adjustment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r>
      <w:tr>
        <w:trPr>
          <w:trHeight w:val="21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 of $0.0 and ($0.5), respectively</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r>
      <w:tr>
        <w:trPr>
          <w:trHeight w:val="210"/>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165.1</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120.7</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Earnings per ordinary share</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Continuing operations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0.44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0.50</w:t>
            </w:r>
          </w:p>
        </w:tc>
      </w:tr>
      <w:tr>
        <w:trPr>
          <w:trHeight w:val="216"/>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r>
      <w:tr>
        <w:trPr>
          <w:trHeight w:val="25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ordinary share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0.48</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0.59</w:t>
            </w: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Continuing operations</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0.44</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0.50</w:t>
            </w:r>
          </w:p>
        </w:tc>
      </w:tr>
      <w:tr>
        <w:trPr>
          <w:trHeight w:val="216"/>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r>
      <w:tr>
        <w:trPr>
          <w:trHeight w:val="25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ordinary share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0.48</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0.59</w:t>
            </w: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0"/>
        </w:trPr>
        <w:tc>
          <w:tcPr>
            <w:tcW w:w="8240" w:type="dxa"/>
            <w:vAlign w:val="bottom"/>
          </w:tcPr>
          <w:p>
            <w:pPr>
              <w:ind w:left="40"/>
              <w:spacing w:after="0"/>
              <w:rPr>
                <w:sz w:val="20"/>
                <w:szCs w:val="20"/>
                <w:color w:val="auto"/>
              </w:rPr>
            </w:pPr>
            <w:r>
              <w:rPr>
                <w:rFonts w:ascii="Arial" w:cs="Arial" w:eastAsia="Arial" w:hAnsi="Arial"/>
                <w:sz w:val="14"/>
                <w:szCs w:val="14"/>
                <w:color w:val="auto"/>
              </w:rPr>
              <w:t>Basic</w:t>
            </w:r>
          </w:p>
        </w:tc>
        <w:tc>
          <w:tcPr>
            <w:tcW w:w="2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182.0</w:t>
            </w:r>
          </w:p>
        </w:tc>
        <w:tc>
          <w:tcPr>
            <w:tcW w:w="3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180.7</w:t>
            </w:r>
          </w:p>
        </w:tc>
      </w:tr>
      <w:tr>
        <w:trPr>
          <w:trHeight w:val="222"/>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182.4</w:t>
            </w:r>
          </w:p>
        </w:tc>
      </w:tr>
      <w:tr>
        <w:trPr>
          <w:trHeight w:val="20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Cash dividends paid per ordinary share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0.345</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0.33</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798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52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40"/>
        </w:trPr>
        <w:tc>
          <w:tcPr>
            <w:tcW w:w="7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16"/>
                <w:szCs w:val="16"/>
                <w:b w:val="1"/>
                <w:bCs w:val="1"/>
                <w:color w:val="auto"/>
              </w:rPr>
              <w:t>Assets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$26.1 and $25.6, respectively</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914.4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764.0</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524.2</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264.8</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253.4</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 held for sale</w:t>
            </w:r>
          </w:p>
        </w:tc>
        <w:tc>
          <w:tcPr>
            <w:tcW w:w="5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877.8</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891.9</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assets</w:t>
            </w:r>
          </w:p>
        </w:tc>
        <w:tc>
          <w:tcPr>
            <w:tcW w:w="5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2,841.1</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2,672.0</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538.6</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4,295.3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4,217.4</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1,622.5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1,631.8</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Non-current assets held for sale</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2,311.9</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2,292.9</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8,425.0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8,324.2</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11,818.0</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11,534.8</w:t>
            </w:r>
          </w:p>
        </w:tc>
      </w:tr>
      <w:tr>
        <w:trPr>
          <w:trHeight w:val="73"/>
        </w:trPr>
        <w:tc>
          <w:tcPr>
            <w:tcW w:w="7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7980" w:type="dxa"/>
            <w:vAlign w:val="bottom"/>
            <w:tcBorders>
              <w:bottom w:val="single" w:sz="8" w:color="CCEEFF"/>
            </w:tcBorders>
            <w:shd w:val="clear" w:color="auto" w:fill="CCEEFF"/>
          </w:tcPr>
          <w:p>
            <w:pPr>
              <w:ind w:left="4960"/>
              <w:spacing w:after="0"/>
              <w:rPr>
                <w:sz w:val="20"/>
                <w:szCs w:val="20"/>
                <w:color w:val="auto"/>
              </w:rPr>
            </w:pPr>
            <w:r>
              <w:rPr>
                <w:rFonts w:ascii="Arial" w:cs="Arial" w:eastAsia="Arial" w:hAnsi="Arial"/>
                <w:sz w:val="16"/>
                <w:szCs w:val="16"/>
                <w:b w:val="1"/>
                <w:bCs w:val="1"/>
                <w:color w:val="auto"/>
              </w:rPr>
              <w:t>Liabilities and Equity</w:t>
            </w:r>
          </w:p>
        </w:tc>
        <w:tc>
          <w:tcPr>
            <w:tcW w:w="5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maturities of long-term debt and short-term borrowings</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387.3</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436.6</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compensation and benefits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166.1</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558.6</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511.5</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held for sale</w:t>
            </w:r>
          </w:p>
        </w:tc>
        <w:tc>
          <w:tcPr>
            <w:tcW w:w="5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303.0</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356.2</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5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1,397.6</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1,471.2</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4,528.9</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4,278.4</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602.2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609.5</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Non-current liabilities held for sale</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506.7</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505.9</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7,443.2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7,280.4</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Ordinary shares $0.01 par value, 426.0 authorized, 182.2 and 181.8 issued at March 31, 2017 and December 31, 2016,</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5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2,940.0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2,920.8</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2,091.9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2,068.1</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(659.0)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(736.3)</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4,374.8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4,254.4</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11,818.0</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11,534.8</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40"/>
        </w:trPr>
        <w:tc>
          <w:tcPr>
            <w:tcW w:w="8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16"/>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8"/>
                <w:szCs w:val="18"/>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2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40"/>
        </w:trPr>
        <w:tc>
          <w:tcPr>
            <w:tcW w:w="8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87.8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107.4</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6"/>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w w:val="90"/>
              </w:rPr>
              <w:t>Adjustments to reconcile net income from continuing operations to net cash provided by (used for) operating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8240" w:type="dxa"/>
            <w:vAlign w:val="bottom"/>
          </w:tcPr>
          <w:p>
            <w:pPr>
              <w:ind w:left="200"/>
              <w:spacing w:after="0"/>
              <w:rPr>
                <w:sz w:val="20"/>
                <w:szCs w:val="20"/>
                <w:color w:val="auto"/>
              </w:rPr>
            </w:pPr>
            <w:r>
              <w:rPr>
                <w:rFonts w:ascii="Arial" w:cs="Arial" w:eastAsia="Arial" w:hAnsi="Arial"/>
                <w:sz w:val="16"/>
                <w:szCs w:val="16"/>
                <w:b w:val="1"/>
                <w:bCs w:val="1"/>
                <w:color w:val="auto"/>
              </w:rPr>
              <w:t>of continuing operations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income of unconsolidated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21.3</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operating activities of continuing operations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operating activities of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operating activities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(23.6)</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(56.7)</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investing activities of continuing operations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 of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investing activities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(repayments) receipts of short-term borrowings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receipts of commercial paper and revolving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138.4</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 withheld</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169.0</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77.2</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1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w:t>
            </w:r>
          </w:p>
        </w:tc>
      </w:tr>
      <w:tr>
        <w:trPr>
          <w:trHeight w:val="21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238.1</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158.1</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restart"/>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restart"/>
          </w:tcPr>
          <w:p>
            <w:pPr>
              <w:jc w:val="center"/>
              <w:ind w:right="10"/>
              <w:spacing w:after="0" w:line="135"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44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2016</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181.8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2,920.8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2,068.1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4,254.4</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77.3</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2017</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182.2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2,940.0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2,091.9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(659.0)</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4,374.8</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60" w:type="dxa"/>
            <w:vAlign w:val="bottom"/>
          </w:tcPr>
          <w:p>
            <w:pPr>
              <w:spacing w:after="0"/>
              <w:rPr>
                <w:sz w:val="24"/>
                <w:szCs w:val="24"/>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30"/>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10"/>
              <w:spacing w:after="0" w:line="117"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4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2015</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180.5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2,860.3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1,791.7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(645.0)</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4,008.8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13.3</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2016</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180.7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2,874.8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1,839.3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(631.7)</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4,084.2</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01"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Responsibility for Interim Financial Statements</w:t>
      </w:r>
    </w:p>
    <w:p>
      <w:pPr>
        <w:spacing w:after="0" w:line="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Pentair plc (formerly Pentair Ltd.)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can be condensed or omitted.</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2016.</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March 2016, the Financial Accounting Standards Board ("FASB") issued a new accounting standard for share-based payments. The guidance simplifies several aspects of the accounting for employee share-based payment transactions, including the accounting for income taxes, forfeitures, and statutory tax withholding requirements, as well as classification of excess tax benefits in the Condensed Consolidated Statements of Cash Flows. We adopted the new standard in the first quarter of 2017. The impact of the adoption resulted in the following:</w:t>
      </w:r>
    </w:p>
    <w:p>
      <w:pPr>
        <w:spacing w:after="0" w:line="136" w:lineRule="exact"/>
        <w:rPr>
          <w:sz w:val="20"/>
          <w:szCs w:val="20"/>
          <w:color w:val="auto"/>
        </w:rPr>
      </w:pPr>
    </w:p>
    <w:p>
      <w:pPr>
        <w:ind w:left="660" w:right="14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excess tax benefits and deficiencies arising from employee share-based payment awards, and dividends on those awards, will be recognized within income taxes in the period in which they occur rather than within additional paid-in-capital. Our adoption of this requirement under the new standard had no material impact for the quarter ended March 31, 2017.</w:t>
      </w:r>
    </w:p>
    <w:p>
      <w:pPr>
        <w:spacing w:after="0" w:line="127"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no longer presents excess tax benefits within cash flows from financing activities in the Condensed Consolidated Statements of Cash Flows; instead these are now reflected within cash flows from operating activities. The Company elected to apply this change prospectively.</w:t>
      </w:r>
    </w:p>
    <w:p>
      <w:pPr>
        <w:spacing w:after="0" w:line="69"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elected not to change its policy on accounting for forfeitures and continues to estimate the total number of awards for which the requisite service period will not be rendered.</w:t>
      </w:r>
    </w:p>
    <w:p>
      <w:pPr>
        <w:spacing w:after="0" w:line="116"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excluded the excess tax benefits from the assumed proceeds available to repurchase shares in the computation of our diluted earnings per share for the quarter ended March 31, 2017. This increased diluted weighted average common shares outstanding by less than 200,000 shares for the aforementioned period.</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2016, the FASB issued new accounting requirements regarding accounting for leases, which require an entity to recognize both assets and liabilities arising from financing and operating leases, along with additional qualitative and quantitative disclosures. The requirements are effective for annual reporting periods beginning after December 15, 2018, including interim periods within that reporting period, and early adoption is permitted. We have not yet determined the potential effects on our financial condition or results of operations.</w:t>
      </w:r>
    </w:p>
    <w:p>
      <w:pPr>
        <w:spacing w:after="0" w:line="2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May 2014, the FASB issued new accounting requirements for the recognition of revenue from contracts with customers. The new requirements also include additional disclosure about the nature, amount, timing and uncertainty of revenue and cash flows arising from customer contracts, including significant judgments and changes in judgments and assets recognized from costs incurred to obtain or fulfill a contract. The requirements are effective for annual reporting periods beginning after December 15, 2017, including interim periods within that reporting period. The Company intends to adopt the new revenue guidance as of January 1, 2018 and is currently evaluating the overall impact this standard will have on our consolidated financial statements and related disclosures. The Company expects to utilize the modified retrospective transition method of adoption with adjustment to beginning retained earnings for the cumulative effect of the change.</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61"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August 18, 2016, we entered into a Share Purchase Agreement (the "Purchase Agreement") to sell our Valves &amp; Controls business to Emerson Electric Co. for a purchase price of $3.15 billion in cash, subject to certain customary adjustments. We expect the sale to close in the second quarter of 2017, subject to customary regulatory approvals and closing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the Valves &amp; Controls business have been presented as discontinued operations and the related assets and liabilities have been reclassified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held for sale for all periods presented. The Valves &amp; Controls business was previously disclosed as a stand-alone reporting segment. Transaction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 million related to the sale of Valves &amp; Controls were incurred during the three months ended March 31, 2017 and were recorded within </w:t>
      </w:r>
      <w:r>
        <w:rPr>
          <w:rFonts w:ascii="Arial" w:cs="Arial" w:eastAsia="Arial" w:hAnsi="Arial"/>
          <w:sz w:val="16"/>
          <w:szCs w:val="16"/>
          <w:i w:val="1"/>
          <w:iCs w:val="1"/>
          <w:color w:val="auto"/>
        </w:rPr>
        <w:t>Selling,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and administrative </w:t>
      </w:r>
      <w:r>
        <w:rPr>
          <w:rFonts w:ascii="Arial" w:cs="Arial" w:eastAsia="Arial" w:hAnsi="Arial"/>
          <w:sz w:val="18"/>
          <w:szCs w:val="18"/>
          <w:color w:val="auto"/>
        </w:rPr>
        <w:t>expenses in the operating results of discontinued operations presented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of discontinued operations are summarized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49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49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4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49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267.9</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282.8</w:t>
            </w:r>
          </w:p>
        </w:tc>
      </w:tr>
      <w:tr>
        <w:trPr>
          <w:trHeight w:val="27"/>
        </w:trPr>
        <w:tc>
          <w:tcPr>
            <w:tcW w:w="49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81.5</w:t>
            </w:r>
          </w:p>
        </w:tc>
      </w:tr>
      <w:tr>
        <w:trPr>
          <w:trHeight w:val="27"/>
        </w:trPr>
        <w:tc>
          <w:tcPr>
            <w:tcW w:w="49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35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67"/>
        </w:trPr>
        <w:tc>
          <w:tcPr>
            <w:tcW w:w="494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10"/>
        </w:trPr>
        <w:tc>
          <w:tcPr>
            <w:tcW w:w="49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3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49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3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5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49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3300" w:type="dxa"/>
            <w:vAlign w:val="bottom"/>
          </w:tcPr>
          <w:p>
            <w:pPr>
              <w:jc w:val="right"/>
              <w:ind w:right="239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carrying amounts of major classes of assets and liabilities that were classified as held for sale on the Condensed Consolidated Balance Sheets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2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8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477.6</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491.5</w:t>
            </w: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37"/>
        </w:trPr>
        <w:tc>
          <w:tcPr>
            <w:tcW w:w="8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Current assets held for sale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891.9</w:t>
            </w:r>
          </w:p>
        </w:tc>
      </w:tr>
      <w:tr>
        <w:trPr>
          <w:trHeight w:val="67"/>
        </w:trPr>
        <w:tc>
          <w:tcPr>
            <w:tcW w:w="82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996.4</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996.4</w:t>
            </w: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Asbestos-related insurance receivable</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107.4</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108.5</w:t>
            </w: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37"/>
        </w:trPr>
        <w:tc>
          <w:tcPr>
            <w:tcW w:w="8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Non-current assets held for sale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2,292.9</w:t>
            </w:r>
          </w:p>
        </w:tc>
      </w:tr>
      <w:tr>
        <w:trPr>
          <w:trHeight w:val="67"/>
        </w:trPr>
        <w:tc>
          <w:tcPr>
            <w:tcW w:w="82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r>
      <w:tr>
        <w:trPr>
          <w:trHeight w:val="237"/>
        </w:trPr>
        <w:tc>
          <w:tcPr>
            <w:tcW w:w="8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Current liabilities held for sale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356.2</w:t>
            </w:r>
          </w:p>
        </w:tc>
      </w:tr>
      <w:tr>
        <w:trPr>
          <w:trHeight w:val="67"/>
        </w:trPr>
        <w:tc>
          <w:tcPr>
            <w:tcW w:w="82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171.3</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162.8</w:t>
            </w: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Asbestos-related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82.6</w:t>
            </w:r>
          </w:p>
        </w:tc>
      </w:tr>
      <w:tr>
        <w:trPr>
          <w:trHeight w:val="27"/>
        </w:trPr>
        <w:tc>
          <w:tcPr>
            <w:tcW w:w="8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505.9</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7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06"/>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7840" w:type="dxa"/>
            <w:vAlign w:val="bottom"/>
          </w:tcPr>
          <w:p>
            <w:pPr>
              <w:ind w:left="260"/>
              <w:spacing w:after="0"/>
              <w:rPr>
                <w:sz w:val="20"/>
                <w:szCs w:val="20"/>
                <w:color w:val="auto"/>
              </w:rPr>
            </w:pPr>
            <w:r>
              <w:rPr>
                <w:rFonts w:ascii="Arial" w:cs="Arial" w:eastAsia="Arial" w:hAnsi="Arial"/>
                <w:sz w:val="18"/>
                <w:szCs w:val="18"/>
                <w:b w:val="1"/>
                <w:bCs w:val="1"/>
                <w:color w:val="auto"/>
              </w:rPr>
              <w:t>Share Plans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w w:val="92"/>
              </w:rPr>
              <w:t>Total share-based compensation expense for the three months ended March 31, 2017 and 2016 was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4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5"/>
        </w:trPr>
        <w:tc>
          <w:tcPr>
            <w:tcW w:w="40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2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8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8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40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2017, we issued our annual share-based compensation grants under the Pentair plc 2012 Stock and Incentive Plan to eligible employees. The total number of awards issued was approximately 1.4 million, of which 0.3 million were restricted stock units, 0.9 million were stock options and 0.2 million were performance share units. The weighted-average grant date fair value of the restricted stock units, stock options and performance share units issued was $58.93, $12.57 and $58.41,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34"/>
        </w:trPr>
        <w:tc>
          <w:tcPr>
            <w:tcW w:w="6140" w:type="dxa"/>
            <w:vAlign w:val="bottom"/>
          </w:tcPr>
          <w:p>
            <w:pPr>
              <w:spacing w:after="0"/>
              <w:rPr>
                <w:sz w:val="20"/>
                <w:szCs w:val="20"/>
                <w:color w:val="auto"/>
              </w:rPr>
            </w:pPr>
          </w:p>
        </w:tc>
        <w:tc>
          <w:tcPr>
            <w:tcW w:w="52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34"/>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2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280" w:type="dxa"/>
            <w:vAlign w:val="bottom"/>
          </w:tcPr>
          <w:p>
            <w:pPr>
              <w:jc w:val="right"/>
              <w:ind w:right="90"/>
              <w:spacing w:after="0"/>
              <w:rPr>
                <w:sz w:val="20"/>
                <w:szCs w:val="20"/>
                <w:color w:val="auto"/>
              </w:rPr>
            </w:pPr>
            <w:r>
              <w:rPr>
                <w:rFonts w:ascii="Arial" w:cs="Arial" w:eastAsia="Arial" w:hAnsi="Arial"/>
                <w:sz w:val="18"/>
                <w:szCs w:val="18"/>
                <w:color w:val="auto"/>
              </w:rPr>
              <w:t>6.3</w:t>
            </w:r>
          </w:p>
        </w:tc>
      </w:tr>
    </w:tbl>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9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During the three months ended March 31, 2017 and the year ended December 31, 2016, we continued execution of certain business restructuring initiatives aimed at reducing our fixed cost structure and realigning our business. Initiatives during the three months ended March 31, 2017 included the reduction in hourly and salaried headcount of approximately 200 employees, consisting of approximately 100 in Water and 100 in Electrical. Initiatives during the year ended December 31, 2016 included the reduction in hourly and salaried headcount of approximately 650 employees, consisting of approximately 300 in Water and 350 in Electrical.</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 related costs included in </w:t>
      </w: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xml:space="preserve"> expenses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included costs for severance and other restructuring costs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7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0"/>
                <w:szCs w:val="20"/>
                <w:color w:val="auto"/>
              </w:rPr>
            </w:pPr>
          </w:p>
        </w:tc>
      </w:tr>
      <w:tr>
        <w:trPr>
          <w:trHeight w:val="34"/>
        </w:trPr>
        <w:tc>
          <w:tcPr>
            <w:tcW w:w="8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25"/>
        </w:trPr>
        <w:tc>
          <w:tcPr>
            <w:tcW w:w="8240" w:type="dxa"/>
            <w:vAlign w:val="bottom"/>
          </w:tcPr>
          <w:p>
            <w:pPr>
              <w:spacing w:after="0"/>
              <w:rPr>
                <w:sz w:val="19"/>
                <w:szCs w:val="19"/>
                <w:color w:val="auto"/>
              </w:rPr>
            </w:pPr>
          </w:p>
        </w:tc>
        <w:tc>
          <w:tcPr>
            <w:tcW w:w="116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March 31,</w:t>
            </w:r>
          </w:p>
        </w:tc>
        <w:tc>
          <w:tcPr>
            <w:tcW w:w="380" w:type="dxa"/>
            <w:vAlign w:val="bottom"/>
          </w:tcPr>
          <w:p>
            <w:pPr>
              <w:spacing w:after="0"/>
              <w:rPr>
                <w:sz w:val="19"/>
                <w:szCs w:val="19"/>
                <w:color w:val="auto"/>
              </w:rPr>
            </w:pPr>
          </w:p>
        </w:tc>
        <w:tc>
          <w:tcPr>
            <w:tcW w:w="1240" w:type="dxa"/>
            <w:vAlign w:val="bottom"/>
          </w:tcPr>
          <w:p>
            <w:pPr>
              <w:jc w:val="center"/>
              <w:ind w:left="310"/>
              <w:spacing w:after="0"/>
              <w:rPr>
                <w:sz w:val="20"/>
                <w:szCs w:val="20"/>
                <w:color w:val="auto"/>
              </w:rPr>
            </w:pPr>
            <w:r>
              <w:rPr>
                <w:rFonts w:ascii="Arial" w:cs="Arial" w:eastAsia="Arial" w:hAnsi="Arial"/>
                <w:sz w:val="18"/>
                <w:szCs w:val="18"/>
                <w:b w:val="1"/>
                <w:bCs w:val="1"/>
                <w:color w:val="auto"/>
                <w:w w:val="96"/>
              </w:rPr>
              <w:t>March 31,</w:t>
            </w:r>
          </w:p>
        </w:tc>
        <w:tc>
          <w:tcPr>
            <w:tcW w:w="400" w:type="dxa"/>
            <w:vAlign w:val="bottom"/>
          </w:tcPr>
          <w:p>
            <w:pPr>
              <w:spacing w:after="0"/>
              <w:rPr>
                <w:sz w:val="19"/>
                <w:szCs w:val="19"/>
                <w:color w:val="auto"/>
              </w:rPr>
            </w:pP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6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2017</w:t>
            </w:r>
          </w:p>
        </w:tc>
        <w:tc>
          <w:tcPr>
            <w:tcW w:w="380" w:type="dxa"/>
            <w:vAlign w:val="bottom"/>
          </w:tcPr>
          <w:p>
            <w:pPr>
              <w:spacing w:after="0"/>
              <w:rPr>
                <w:sz w:val="20"/>
                <w:szCs w:val="20"/>
                <w:color w:val="auto"/>
              </w:rPr>
            </w:pP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2016</w:t>
            </w:r>
          </w:p>
        </w:tc>
        <w:tc>
          <w:tcPr>
            <w:tcW w:w="400" w:type="dxa"/>
            <w:vAlign w:val="bottom"/>
          </w:tcPr>
          <w:p>
            <w:pPr>
              <w:spacing w:after="0"/>
              <w:rPr>
                <w:sz w:val="20"/>
                <w:szCs w:val="20"/>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116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20.6</w:t>
            </w:r>
          </w:p>
        </w:tc>
        <w:tc>
          <w:tcPr>
            <w:tcW w:w="124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w:t>
            </w:r>
          </w:p>
        </w:tc>
      </w:tr>
      <w:tr>
        <w:trPr>
          <w:trHeight w:val="27"/>
        </w:trPr>
        <w:tc>
          <w:tcPr>
            <w:tcW w:w="8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116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20.9</w:t>
            </w:r>
          </w:p>
        </w:tc>
        <w:tc>
          <w:tcPr>
            <w:tcW w:w="124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240" w:type="dxa"/>
            <w:vAlign w:val="bottom"/>
          </w:tcPr>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8240" w:type="dxa"/>
            <w:vAlign w:val="bottom"/>
          </w:tcPr>
          <w:p>
            <w:pPr>
              <w:spacing w:after="0"/>
              <w:rPr>
                <w:sz w:val="20"/>
                <w:szCs w:val="20"/>
                <w:color w:val="auto"/>
              </w:rPr>
            </w:pPr>
            <w:r>
              <w:rPr>
                <w:rFonts w:ascii="Arial" w:cs="Arial" w:eastAsia="Arial" w:hAnsi="Arial"/>
                <w:sz w:val="18"/>
                <w:szCs w:val="18"/>
                <w:color w:val="auto"/>
              </w:rPr>
              <w:t>Restructuring costs (benefits) by reportable segment were as follows:</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8240" w:type="dxa"/>
            <w:vAlign w:val="bottom"/>
          </w:tcPr>
          <w:p>
            <w:pPr>
              <w:spacing w:after="0"/>
              <w:rPr>
                <w:sz w:val="24"/>
                <w:szCs w:val="24"/>
                <w:color w:val="auto"/>
              </w:rPr>
            </w:pPr>
          </w:p>
        </w:tc>
        <w:tc>
          <w:tcPr>
            <w:tcW w:w="27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r>
      <w:tr>
        <w:trPr>
          <w:trHeight w:val="34"/>
        </w:trPr>
        <w:tc>
          <w:tcPr>
            <w:tcW w:w="8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25"/>
        </w:trPr>
        <w:tc>
          <w:tcPr>
            <w:tcW w:w="8240" w:type="dxa"/>
            <w:vAlign w:val="bottom"/>
          </w:tcPr>
          <w:p>
            <w:pPr>
              <w:spacing w:after="0"/>
              <w:rPr>
                <w:sz w:val="19"/>
                <w:szCs w:val="19"/>
                <w:color w:val="auto"/>
              </w:rPr>
            </w:pPr>
          </w:p>
        </w:tc>
        <w:tc>
          <w:tcPr>
            <w:tcW w:w="116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March 31,</w:t>
            </w:r>
          </w:p>
        </w:tc>
        <w:tc>
          <w:tcPr>
            <w:tcW w:w="380" w:type="dxa"/>
            <w:vAlign w:val="bottom"/>
          </w:tcPr>
          <w:p>
            <w:pPr>
              <w:spacing w:after="0"/>
              <w:rPr>
                <w:sz w:val="19"/>
                <w:szCs w:val="19"/>
                <w:color w:val="auto"/>
              </w:rPr>
            </w:pPr>
          </w:p>
        </w:tc>
        <w:tc>
          <w:tcPr>
            <w:tcW w:w="1240" w:type="dxa"/>
            <w:vAlign w:val="bottom"/>
          </w:tcPr>
          <w:p>
            <w:pPr>
              <w:jc w:val="center"/>
              <w:ind w:left="310"/>
              <w:spacing w:after="0"/>
              <w:rPr>
                <w:sz w:val="20"/>
                <w:szCs w:val="20"/>
                <w:color w:val="auto"/>
              </w:rPr>
            </w:pPr>
            <w:r>
              <w:rPr>
                <w:rFonts w:ascii="Arial" w:cs="Arial" w:eastAsia="Arial" w:hAnsi="Arial"/>
                <w:sz w:val="18"/>
                <w:szCs w:val="18"/>
                <w:b w:val="1"/>
                <w:bCs w:val="1"/>
                <w:color w:val="auto"/>
                <w:w w:val="96"/>
              </w:rPr>
              <w:t>March 31,</w:t>
            </w:r>
          </w:p>
        </w:tc>
        <w:tc>
          <w:tcPr>
            <w:tcW w:w="400" w:type="dxa"/>
            <w:vAlign w:val="bottom"/>
          </w:tcPr>
          <w:p>
            <w:pPr>
              <w:spacing w:after="0"/>
              <w:rPr>
                <w:sz w:val="19"/>
                <w:szCs w:val="19"/>
                <w:color w:val="auto"/>
              </w:rPr>
            </w:pP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6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2017</w:t>
            </w:r>
          </w:p>
        </w:tc>
        <w:tc>
          <w:tcPr>
            <w:tcW w:w="380" w:type="dxa"/>
            <w:vAlign w:val="bottom"/>
          </w:tcPr>
          <w:p>
            <w:pPr>
              <w:spacing w:after="0"/>
              <w:rPr>
                <w:sz w:val="20"/>
                <w:szCs w:val="20"/>
                <w:color w:val="auto"/>
              </w:rPr>
            </w:pP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2016</w:t>
            </w:r>
          </w:p>
        </w:tc>
        <w:tc>
          <w:tcPr>
            <w:tcW w:w="400" w:type="dxa"/>
            <w:vAlign w:val="bottom"/>
          </w:tcPr>
          <w:p>
            <w:pPr>
              <w:spacing w:after="0"/>
              <w:rPr>
                <w:sz w:val="20"/>
                <w:szCs w:val="20"/>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116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4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1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12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116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20.9</w:t>
            </w:r>
          </w:p>
        </w:tc>
        <w:tc>
          <w:tcPr>
            <w:tcW w:w="12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440"/>
        </w:trPr>
        <w:tc>
          <w:tcPr>
            <w:tcW w:w="8240" w:type="dxa"/>
            <w:vAlign w:val="bottom"/>
          </w:tcPr>
          <w:p>
            <w:pPr>
              <w:ind w:left="5620"/>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three months ended March 31,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2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2017</w:t>
            </w:r>
          </w:p>
        </w:tc>
      </w:tr>
      <w:tr>
        <w:trPr>
          <w:trHeight w:val="34"/>
        </w:trPr>
        <w:tc>
          <w:tcPr>
            <w:tcW w:w="8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7"/>
        </w:trPr>
        <w:tc>
          <w:tcPr>
            <w:tcW w:w="8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62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06"/>
        </w:trPr>
        <w:tc>
          <w:tcPr>
            <w:tcW w:w="620" w:type="dxa"/>
            <w:vAlign w:val="bottom"/>
          </w:tcPr>
          <w:p>
            <w:pPr>
              <w:spacing w:after="0"/>
              <w:rPr>
                <w:sz w:val="20"/>
                <w:szCs w:val="20"/>
                <w:color w:val="auto"/>
              </w:rPr>
            </w:pPr>
            <w:r>
              <w:rPr>
                <w:rFonts w:ascii="Arial" w:cs="Arial" w:eastAsia="Arial" w:hAnsi="Arial"/>
                <w:sz w:val="18"/>
                <w:szCs w:val="18"/>
                <w:b w:val="1"/>
                <w:bCs w:val="1"/>
                <w:color w:val="auto"/>
              </w:rPr>
              <w:t>5.</w:t>
            </w:r>
          </w:p>
        </w:tc>
        <w:tc>
          <w:tcPr>
            <w:tcW w:w="7620" w:type="dxa"/>
            <w:vAlign w:val="bottom"/>
          </w:tcPr>
          <w:p>
            <w:pPr>
              <w:jc w:val="right"/>
              <w:ind w:right="5990"/>
              <w:spacing w:after="0"/>
              <w:rPr>
                <w:sz w:val="20"/>
                <w:szCs w:val="20"/>
                <w:color w:val="auto"/>
              </w:rPr>
            </w:pPr>
            <w:r>
              <w:rPr>
                <w:rFonts w:ascii="Arial" w:cs="Arial" w:eastAsia="Arial" w:hAnsi="Arial"/>
                <w:sz w:val="18"/>
                <w:szCs w:val="18"/>
                <w:b w:val="1"/>
                <w:bCs w:val="1"/>
                <w:color w:val="auto"/>
                <w:w w:val="91"/>
              </w:rPr>
              <w:t>Earnings Per Share</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40"/>
        </w:trPr>
        <w:tc>
          <w:tcPr>
            <w:tcW w:w="6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6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6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9"/>
                <w:szCs w:val="19"/>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2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2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2016</w:t>
            </w:r>
          </w:p>
        </w:tc>
      </w:tr>
      <w:tr>
        <w:trPr>
          <w:trHeight w:val="34"/>
        </w:trPr>
        <w:tc>
          <w:tcPr>
            <w:tcW w:w="8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0"/>
        </w:trPr>
        <w:tc>
          <w:tcPr>
            <w:tcW w:w="82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67"/>
        </w:trPr>
        <w:tc>
          <w:tcPr>
            <w:tcW w:w="82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rPr>
              <w:t>Basic</w:t>
            </w:r>
          </w:p>
        </w:tc>
        <w:tc>
          <w:tcPr>
            <w:tcW w:w="7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182.0</w:t>
            </w: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180.7</w:t>
            </w: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impact of stock options, restricted stock units and performance share units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Diluted</w:t>
            </w:r>
          </w:p>
        </w:tc>
        <w:tc>
          <w:tcPr>
            <w:tcW w:w="7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182.4</w:t>
            </w:r>
          </w:p>
        </w:tc>
      </w:tr>
      <w:tr>
        <w:trPr>
          <w:trHeight w:val="67"/>
        </w:trPr>
        <w:tc>
          <w:tcPr>
            <w:tcW w:w="82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ordinary share</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7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27"/>
        </w:trPr>
        <w:tc>
          <w:tcPr>
            <w:tcW w:w="8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7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Diluted</w:t>
            </w:r>
          </w:p>
        </w:tc>
        <w:tc>
          <w:tcPr>
            <w:tcW w:w="7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8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27"/>
        </w:trPr>
        <w:tc>
          <w:tcPr>
            <w:tcW w:w="8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r>
      <w:tr>
        <w:trPr>
          <w:trHeight w:val="20"/>
        </w:trPr>
        <w:tc>
          <w:tcPr>
            <w:tcW w:w="82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Anti-dilutive stock options excluded from the calculation of diluted earnings per share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2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64"/>
        </w:trPr>
        <w:tc>
          <w:tcPr>
            <w:tcW w:w="620" w:type="dxa"/>
            <w:vAlign w:val="bottom"/>
          </w:tcPr>
          <w:p>
            <w:pPr>
              <w:spacing w:after="0"/>
              <w:rPr>
                <w:sz w:val="24"/>
                <w:szCs w:val="24"/>
                <w:color w:val="auto"/>
              </w:rPr>
            </w:pPr>
          </w:p>
        </w:tc>
        <w:tc>
          <w:tcPr>
            <w:tcW w:w="7620" w:type="dxa"/>
            <w:vAlign w:val="bottom"/>
          </w:tcPr>
          <w:p>
            <w:pPr>
              <w:jc w:val="right"/>
              <w:ind w:right="23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7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34"/>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223.5</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2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 excess of billings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68.7</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assets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342.0</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335.0</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892.8</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863.7</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47.9</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7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assets</w:t>
            </w:r>
          </w:p>
        </w:tc>
        <w:tc>
          <w:tcPr>
            <w:tcW w:w="2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182.1</w:t>
            </w:r>
          </w:p>
        </w:tc>
      </w:tr>
      <w:tr>
        <w:trPr>
          <w:trHeight w:val="67"/>
        </w:trPr>
        <w:tc>
          <w:tcPr>
            <w:tcW w:w="570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7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Dividends payable</w:t>
            </w: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rebates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78.2</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in excess of cost</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87.3</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197.4</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Self-insurance liabilities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5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28.2</w:t>
            </w:r>
          </w:p>
        </w:tc>
      </w:tr>
      <w:tr>
        <w:trPr>
          <w:trHeight w:val="27"/>
        </w:trPr>
        <w:tc>
          <w:tcPr>
            <w:tcW w:w="5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121" w:right="29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December 31,</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Foreign currency</w:t>
            </w:r>
          </w:p>
        </w:tc>
        <w:tc>
          <w:tcPr>
            <w:tcW w:w="360" w:type="dxa"/>
            <w:vAlign w:val="bottom"/>
          </w:tcPr>
          <w:p>
            <w:pPr>
              <w:spacing w:after="0"/>
              <w:rPr>
                <w:sz w:val="18"/>
                <w:szCs w:val="18"/>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25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7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w w:val="87"/>
              </w:rPr>
              <w:t>Acquisitions/divestitures</w:t>
            </w:r>
          </w:p>
        </w:tc>
        <w:tc>
          <w:tcPr>
            <w:tcW w:w="18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translation/other</w:t>
            </w:r>
          </w:p>
        </w:tc>
        <w:tc>
          <w:tcPr>
            <w:tcW w:w="36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34"/>
        </w:trPr>
        <w:tc>
          <w:tcPr>
            <w:tcW w:w="2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2,064.6</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17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2,222.8</w:t>
            </w:r>
          </w:p>
        </w:tc>
        <w:tc>
          <w:tcPr>
            <w:tcW w:w="8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2,230.7</w:t>
            </w:r>
          </w:p>
        </w:tc>
      </w:tr>
      <w:tr>
        <w:trPr>
          <w:trHeight w:val="27"/>
        </w:trPr>
        <w:tc>
          <w:tcPr>
            <w:tcW w:w="2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4,217.4</w:t>
            </w:r>
          </w:p>
        </w:tc>
        <w:tc>
          <w:tcPr>
            <w:tcW w:w="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4,295.3</w:t>
            </w:r>
          </w:p>
        </w:tc>
      </w:tr>
      <w:tr>
        <w:trPr>
          <w:trHeight w:val="20"/>
        </w:trPr>
        <w:tc>
          <w:tcPr>
            <w:tcW w:w="2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January 2017, we completed acquisitions with purchase prices totaling $56.7 million in cash, net of cash acquired. The pro-forma impact of these acquisitions was not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March 31,</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34"/>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(366.8)</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1,478.0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(346.7)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1,131.3</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Proprietary technology and patents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139.8</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(95.5)</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(100.3)</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1,172.7</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1,622.5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1,631.8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$24.0 million and $24.2 million for the three months ended March 31, 2017 and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2017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Q2-Q4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2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7"/>
        </w:trPr>
        <w:tc>
          <w:tcPr>
            <w:tcW w:w="3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r>
      <w:tr>
        <w:trPr>
          <w:trHeight w:val="783"/>
        </w:trPr>
        <w:tc>
          <w:tcPr>
            <w:tcW w:w="3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26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6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interest rate at</w:t>
            </w:r>
          </w:p>
        </w:tc>
        <w:tc>
          <w:tcPr>
            <w:tcW w:w="138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Maturity</w:t>
            </w:r>
          </w:p>
        </w:tc>
        <w:tc>
          <w:tcPr>
            <w:tcW w:w="46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6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March 31, 2017</w:t>
            </w:r>
          </w:p>
        </w:tc>
        <w:tc>
          <w:tcPr>
            <w:tcW w:w="138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Year</w:t>
            </w:r>
          </w:p>
        </w:tc>
        <w:tc>
          <w:tcPr>
            <w:tcW w:w="4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43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6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1"/>
              </w:rPr>
              <w:t>1.962%</w:t>
            </w:r>
          </w:p>
        </w:tc>
        <w:tc>
          <w:tcPr>
            <w:tcW w:w="13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2019</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260" w:type="dxa"/>
            <w:vAlign w:val="bottom"/>
          </w:tcPr>
          <w:p>
            <w:pPr>
              <w:jc w:val="center"/>
              <w:ind w:left="130"/>
              <w:spacing w:after="0"/>
              <w:rPr>
                <w:sz w:val="20"/>
                <w:szCs w:val="20"/>
                <w:color w:val="auto"/>
              </w:rPr>
            </w:pPr>
            <w:r>
              <w:rPr>
                <w:rFonts w:ascii="Arial" w:cs="Arial" w:eastAsia="Arial" w:hAnsi="Arial"/>
                <w:sz w:val="18"/>
                <w:szCs w:val="18"/>
                <w:color w:val="auto"/>
                <w:w w:val="91"/>
              </w:rPr>
              <w:t>2.446%</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2019</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671.9</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576.8</w:t>
            </w:r>
          </w:p>
        </w:tc>
      </w:tr>
      <w:tr>
        <w:trPr>
          <w:trHeight w:val="27"/>
        </w:trPr>
        <w:tc>
          <w:tcPr>
            <w:tcW w:w="4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1.875%</w:t>
            </w:r>
          </w:p>
        </w:tc>
        <w:tc>
          <w:tcPr>
            <w:tcW w:w="13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2017</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4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60" w:type="dxa"/>
            <w:vAlign w:val="bottom"/>
          </w:tcPr>
          <w:p>
            <w:pPr>
              <w:jc w:val="center"/>
              <w:ind w:left="130"/>
              <w:spacing w:after="0"/>
              <w:rPr>
                <w:sz w:val="20"/>
                <w:szCs w:val="20"/>
                <w:color w:val="auto"/>
              </w:rPr>
            </w:pPr>
            <w:r>
              <w:rPr>
                <w:rFonts w:ascii="Arial" w:cs="Arial" w:eastAsia="Arial" w:hAnsi="Arial"/>
                <w:sz w:val="18"/>
                <w:szCs w:val="18"/>
                <w:color w:val="auto"/>
                <w:w w:val="91"/>
              </w:rPr>
              <w:t>2.900%</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2018</w:t>
            </w:r>
          </w:p>
        </w:tc>
        <w:tc>
          <w:tcPr>
            <w:tcW w:w="4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0"/>
        </w:trPr>
        <w:tc>
          <w:tcPr>
            <w:tcW w:w="4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2.650%</w:t>
            </w:r>
          </w:p>
        </w:tc>
        <w:tc>
          <w:tcPr>
            <w:tcW w:w="13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2019</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70"/>
        </w:trPr>
        <w:tc>
          <w:tcPr>
            <w:tcW w:w="4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 Euro </w:t>
            </w:r>
            <w:r>
              <w:rPr>
                <w:rFonts w:ascii="Arial" w:cs="Arial" w:eastAsia="Arial" w:hAnsi="Arial"/>
                <w:sz w:val="25"/>
                <w:szCs w:val="25"/>
                <w:color w:val="auto"/>
                <w:vertAlign w:val="superscript"/>
              </w:rPr>
              <w:t>(1)</w:t>
            </w:r>
          </w:p>
        </w:tc>
        <w:tc>
          <w:tcPr>
            <w:tcW w:w="2260" w:type="dxa"/>
            <w:vAlign w:val="bottom"/>
          </w:tcPr>
          <w:p>
            <w:pPr>
              <w:jc w:val="center"/>
              <w:ind w:left="130"/>
              <w:spacing w:after="0"/>
              <w:rPr>
                <w:sz w:val="20"/>
                <w:szCs w:val="20"/>
                <w:color w:val="auto"/>
              </w:rPr>
            </w:pPr>
            <w:r>
              <w:rPr>
                <w:rFonts w:ascii="Arial" w:cs="Arial" w:eastAsia="Arial" w:hAnsi="Arial"/>
                <w:sz w:val="18"/>
                <w:szCs w:val="18"/>
                <w:color w:val="auto"/>
                <w:w w:val="91"/>
              </w:rPr>
              <w:t>2.450%</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2019</w:t>
            </w:r>
          </w:p>
        </w:tc>
        <w:tc>
          <w:tcPr>
            <w:tcW w:w="4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540.7</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520.7</w:t>
            </w:r>
          </w:p>
        </w:tc>
      </w:tr>
      <w:tr>
        <w:trPr>
          <w:trHeight w:val="270"/>
        </w:trPr>
        <w:tc>
          <w:tcPr>
            <w:tcW w:w="4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3.625%</w:t>
            </w:r>
          </w:p>
        </w:tc>
        <w:tc>
          <w:tcPr>
            <w:tcW w:w="13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2020</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70"/>
        </w:trPr>
        <w:tc>
          <w:tcPr>
            <w:tcW w:w="4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60" w:type="dxa"/>
            <w:vAlign w:val="bottom"/>
          </w:tcPr>
          <w:p>
            <w:pPr>
              <w:jc w:val="center"/>
              <w:ind w:left="130"/>
              <w:spacing w:after="0"/>
              <w:rPr>
                <w:sz w:val="20"/>
                <w:szCs w:val="20"/>
                <w:color w:val="auto"/>
              </w:rPr>
            </w:pPr>
            <w:r>
              <w:rPr>
                <w:rFonts w:ascii="Arial" w:cs="Arial" w:eastAsia="Arial" w:hAnsi="Arial"/>
                <w:sz w:val="18"/>
                <w:szCs w:val="18"/>
                <w:color w:val="auto"/>
                <w:w w:val="91"/>
              </w:rPr>
              <w:t>5.000%</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2021</w:t>
            </w:r>
          </w:p>
        </w:tc>
        <w:tc>
          <w:tcPr>
            <w:tcW w:w="4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0"/>
        </w:trPr>
        <w:tc>
          <w:tcPr>
            <w:tcW w:w="4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3.150%</w:t>
            </w:r>
          </w:p>
        </w:tc>
        <w:tc>
          <w:tcPr>
            <w:tcW w:w="13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2022</w:t>
            </w:r>
          </w:p>
        </w:tc>
        <w:tc>
          <w:tcPr>
            <w:tcW w:w="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r>
      <w:tr>
        <w:trPr>
          <w:trHeight w:val="270"/>
        </w:trPr>
        <w:tc>
          <w:tcPr>
            <w:tcW w:w="4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260" w:type="dxa"/>
            <w:vAlign w:val="bottom"/>
          </w:tcPr>
          <w:p>
            <w:pPr>
              <w:jc w:val="center"/>
              <w:ind w:left="130"/>
              <w:spacing w:after="0"/>
              <w:rPr>
                <w:sz w:val="20"/>
                <w:szCs w:val="20"/>
                <w:color w:val="auto"/>
              </w:rPr>
            </w:pPr>
            <w:r>
              <w:rPr>
                <w:rFonts w:ascii="Arial" w:cs="Arial" w:eastAsia="Arial" w:hAnsi="Arial"/>
                <w:sz w:val="18"/>
                <w:szCs w:val="18"/>
                <w:color w:val="auto"/>
                <w:w w:val="91"/>
              </w:rPr>
              <w:t>4.650%</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89"/>
              </w:rPr>
              <w:t>2025</w:t>
            </w:r>
          </w:p>
        </w:tc>
        <w:tc>
          <w:tcPr>
            <w:tcW w:w="4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N/A</w:t>
            </w:r>
          </w:p>
        </w:tc>
        <w:tc>
          <w:tcPr>
            <w:tcW w:w="13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26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43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4,529.6</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4,279.2</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Less: Current maturities and short-term borrowings</w:t>
            </w:r>
          </w:p>
        </w:tc>
        <w:tc>
          <w:tcPr>
            <w:tcW w:w="2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3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4,278.4</w:t>
            </w:r>
          </w:p>
        </w:tc>
      </w:tr>
      <w:tr>
        <w:trPr>
          <w:trHeight w:val="20"/>
        </w:trPr>
        <w:tc>
          <w:tcPr>
            <w:tcW w:w="43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5" w:lineRule="exact"/>
        <w:rPr>
          <w:sz w:val="20"/>
          <w:szCs w:val="20"/>
          <w:color w:val="auto"/>
        </w:rPr>
      </w:pPr>
    </w:p>
    <w:p>
      <w:pPr>
        <w:ind w:left="220" w:hanging="185"/>
        <w:spacing w:after="0"/>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plc and PISG</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October 2014, Pentair plc, Pentair Investments Switzerland GmbH ("PISG"), Pentair Finance S.A. ("PFSA") and Pentair, Inc. entered into an amended and restated credit agreement (the "Credit Facility"), with Pentair plc and PISG as guarantors and PFSA and Pentair, Inc. as borrowers. The Credit Facility had a maximum aggregate availability of $2,100.0 million and a maturity date of October 3, 2019. Borrowings under the Credit Facility generally bear interest at a variable rate equal to the London Interbank Offered Rate ("LIBOR") plus a specified margin based upon PFSA's credit ratings. PFSA must pay a facility fee ranging from 9.0 to 25.0 basis points per annum (based upon PFSA's credit ratings) on the amount of each lender's commitment and letter of credit fee for each letter of credit issued and outstanding under the Credit Facility.</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August 2015, Pentair plc, PISG and PFSA entered into a First Amendment to the Credit Facility (the "First Amendment"), which, among other things, increased the Leverage Ratio (as defined below). In September 2015, Pentair plc, PISG and PFSA entered into a Second Amendment to the Credit Facility (the "Second Amendment"), which, among other things, increased the maximum aggregate availability to $2,500.0 million. Additionally, in September 2016, Pentair plc, PISG and PFSA entered into a Third Amendment to the Credit Facility (the "Third Amendment," and collectively with the First Amendment and the Second Amendment, the "Amendments"), which, among other things, increased the Leverage Ratio to the amounts specified below, and amended the definition of EBITDA to include earnings from discontinued operations for operations subject to a sale agreement until such disposition actually occurs.</w:t>
      </w:r>
    </w:p>
    <w:p>
      <w:pPr>
        <w:spacing w:after="0" w:line="1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Credit Facility. PFSA uses the Credit Facility as back-up liquidity to support 100% of commercial paper outstanding. As of March 31, 2017 and December 31, 2016, PFSA had $532.7 million and $398.7 million, respectively, of commercial paper outstanding, all of which was classified as long-term debt as we have the intent and the ability to refinance such obligations on a long-term basis under the Credit Facility.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debt agreements contain certain financial covenants, the most restrictive of which are in the Credit Facility (as updated for the Amendments), including that we may not permit (i) the ratio of our consolidated debt plus synthetic lease obligations to our consolidated net income (excluding, among other things, non-cash gains and losses) before interest, taxes, depreciation, amortization, non-cash share-based compensation expense, and up to a lifetime maximum $25.0 million of costs, fees and expenses incurred in connection with certain acquisitions, investments, dispositions and the issuance, repayment or refinancing of debt,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("EBITDA") for the four consecutive fiscal quarters then ended (the "Leverage Ratio") to exceed (a) 4.25 to 1.00 as of the last day of the period of four consecutive fiscal quarters ending on March 31, 2017; (b) 4.00 to 1.00 as of the last day of the period of four consecutive fiscal quarters ending on June 30, 2017; and (c) 3.50 to 1.00 as of the last day of any period of four consecutive fiscal quarters ending thereafter, and (ii) the ratio of our EBITDA for the four consecutive fiscal quarters 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March 31, 2017, we were in compliance with all financial covenants in our debt agreements.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availability under the Credit Facility was $1,295.4 million as of March 31, 2017, which was limited to $96.2 million by the maximum Leverage Ratio in the Credit Facility’s credit agreement.</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the Credit Facility, we have various other credit facilities with an aggregate availability of $53.2 million, of which there were no outstanding borrowings at March 31, 2017. Borrowings under these credit facilities bear interest at variable rates.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$350.0 million of fixed rate senior notes maturing in September 2017. We classified this debt as long-term as of March 31, 2017 as we have the intent and ability to refinance such obligation on a long-term basis under the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March 31, 2017 matures on a calendar year basis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Q2-Q4</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3"/>
                <w:szCs w:val="23"/>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Thereafter</w:t>
            </w:r>
          </w:p>
        </w:tc>
        <w:tc>
          <w:tcPr>
            <w:tcW w:w="26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2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Contractual debt obligation maturities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4,546.0</w:t>
            </w:r>
          </w:p>
        </w:tc>
      </w:tr>
      <w:tr>
        <w:trPr>
          <w:trHeight w:val="27"/>
        </w:trPr>
        <w:tc>
          <w:tcPr>
            <w:tcW w:w="2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7800" w:firstLine="8"/>
        <w:spacing w:after="0" w:line="276" w:lineRule="auto"/>
        <w:tabs>
          <w:tab w:leader="none" w:pos="648"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ind w:right="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March 31, 2017 and December 31, 2016, we had outstanding foreign currency derivative contracts with gross notional U.S. dollar equivalent amounts of $470.8 million and $475.6 million, respectively. The impact of these contracts on the Condensed Consolidated Statements of Operations and Comprehensive Income (Loss) is not material for any period presented.</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Gains or losses on foreign currency contracts designated as hedges are reclassified out of Accumulated Other Comprehensive Loss ("AOCI") and into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expense in the Condensed Consolidated Statements of Operations and Comprehensive Income (Loss) upon settlement.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reclassifications during the three months ended March 31, 2017 and 2016 were not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net investments in foreign subsidiaries that are subject to changes in the foreign currency exchange rate. In September 2015, we designated the €500 million 2.45% Senior Notes due 2019 (the "2019 Euro Notes") as a net investment hedge for a portion of our net investment in our Euro denominated subsidiaries. The gains/losses on the 2019 Euro Notes have been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included as a component of the cumulative translation adjustment account within AOCI. As of March 31, 2017 and December 31, 2016, we had deferred foreign currency gains of $24.1 million and $44.2 million, respectively, in AOCI associated with the net investment hedge activity.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352"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380" w:right="760" w:hanging="773"/>
        <w:spacing w:after="0" w:line="342"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500" w:hanging="330"/>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short-term financial instruments (cash and cash equivalents, accounts and notes receivable, accounts and notes payable and variable-rate debt) — recorded amount approximates fair value because of the short maturity period;</w:t>
      </w:r>
    </w:p>
    <w:p>
      <w:pPr>
        <w:spacing w:after="0" w:line="116" w:lineRule="exact"/>
        <w:rPr>
          <w:rFonts w:ascii="Arial" w:cs="Arial" w:eastAsia="Arial" w:hAnsi="Arial"/>
          <w:sz w:val="18"/>
          <w:szCs w:val="18"/>
          <w:color w:val="auto"/>
        </w:rPr>
      </w:pPr>
    </w:p>
    <w:p>
      <w:pPr>
        <w:ind w:left="460" w:right="140" w:hanging="330"/>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long-term fixed-rate debt, including current maturities — fair value is based on market quotes available for issuance of debt with similar terms, which are inputs that are classified as Level 2 in the valuation hierarchy defined by the accounting guidance; and</w:t>
      </w:r>
    </w:p>
    <w:p>
      <w:pPr>
        <w:spacing w:after="0" w:line="116" w:lineRule="exact"/>
        <w:rPr>
          <w:rFonts w:ascii="Arial" w:cs="Arial" w:eastAsia="Arial" w:hAnsi="Arial"/>
          <w:sz w:val="18"/>
          <w:szCs w:val="18"/>
          <w:color w:val="auto"/>
        </w:rPr>
      </w:pPr>
    </w:p>
    <w:p>
      <w:pPr>
        <w:ind w:left="460" w:right="100" w:hanging="330"/>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contract agreements — fair values are determined through the use of models that consider various assumptions, including time value, yield curves, as well as other relevant economic measures, which are inputs that are classified as Level 2 in the valuation hierarchy defined by the accounting guidance.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Recorded</w:t>
            </w:r>
          </w:p>
        </w:tc>
        <w:tc>
          <w:tcPr>
            <w:tcW w:w="460" w:type="dxa"/>
            <w:vAlign w:val="bottom"/>
          </w:tcPr>
          <w:p>
            <w:pPr>
              <w:spacing w:after="0"/>
              <w:rPr>
                <w:sz w:val="19"/>
                <w:szCs w:val="19"/>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Recorded</w:t>
            </w:r>
          </w:p>
        </w:tc>
        <w:tc>
          <w:tcPr>
            <w:tcW w:w="38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Fair</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460" w:type="dxa"/>
            <w:vAlign w:val="bottom"/>
          </w:tcPr>
          <w:p>
            <w:pPr>
              <w:spacing w:after="0"/>
              <w:rPr>
                <w:sz w:val="20"/>
                <w:szCs w:val="20"/>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34"/>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976.3</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3,340.7</w:t>
            </w:r>
          </w:p>
        </w:tc>
        <w:tc>
          <w:tcPr>
            <w:tcW w:w="4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3,320.7</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3,427.1</w:t>
            </w:r>
          </w:p>
        </w:tc>
      </w:tr>
      <w:tr>
        <w:trPr>
          <w:trHeight w:val="27"/>
        </w:trPr>
        <w:tc>
          <w:tcPr>
            <w:tcW w:w="5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4,546.0</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4,403.4</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ind w:left="420"/>
              <w:spacing w:after="0"/>
              <w:rPr>
                <w:sz w:val="20"/>
                <w:szCs w:val="20"/>
                <w:color w:val="auto"/>
              </w:rPr>
            </w:pPr>
            <w:r>
              <w:rPr>
                <w:rFonts w:ascii="Arial" w:cs="Arial" w:eastAsia="Arial" w:hAnsi="Arial"/>
                <w:sz w:val="18"/>
                <w:szCs w:val="18"/>
                <w:b w:val="1"/>
                <w:bCs w:val="1"/>
                <w:color w:val="auto"/>
              </w:rPr>
              <w:t>March 31, 2017</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4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96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4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Foreign currency contract assets</w:t>
            </w:r>
          </w:p>
        </w:tc>
        <w:tc>
          <w:tcPr>
            <w:tcW w:w="2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4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43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Deferred compensation plan assets </w:t>
            </w:r>
            <w:r>
              <w:rPr>
                <w:rFonts w:ascii="Arial" w:cs="Arial" w:eastAsia="Arial" w:hAnsi="Arial"/>
                <w:sz w:val="25"/>
                <w:szCs w:val="25"/>
                <w:color w:val="auto"/>
                <w:vertAlign w:val="superscript"/>
              </w:rPr>
              <w:t>(1)</w:t>
            </w:r>
          </w:p>
        </w:tc>
        <w:tc>
          <w:tcPr>
            <w:tcW w:w="20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w:t>
            </w:r>
          </w:p>
        </w:tc>
      </w:tr>
      <w:tr>
        <w:trPr>
          <w:trHeight w:val="26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recurring fair value measurements</w:t>
            </w:r>
          </w:p>
        </w:tc>
        <w:tc>
          <w:tcPr>
            <w:tcW w:w="2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r>
      <w:tr>
        <w:trPr>
          <w:trHeight w:val="20"/>
        </w:trPr>
        <w:tc>
          <w:tcPr>
            <w:tcW w:w="43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380" w:type="dxa"/>
            <w:vAlign w:val="bottom"/>
          </w:tcPr>
          <w:p>
            <w:pPr>
              <w:spacing w:after="0"/>
              <w:rPr>
                <w:sz w:val="24"/>
                <w:szCs w:val="24"/>
                <w:color w:val="auto"/>
              </w:rPr>
            </w:pPr>
          </w:p>
        </w:tc>
        <w:tc>
          <w:tcPr>
            <w:tcW w:w="2020" w:type="dxa"/>
            <w:vAlign w:val="bottom"/>
          </w:tcPr>
          <w:p>
            <w:pPr>
              <w:jc w:val="right"/>
              <w:ind w:right="51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34"/>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6380" w:type="dxa"/>
            <w:vAlign w:val="bottom"/>
            <w:tcBorders>
              <w:bottom w:val="single" w:sz="8" w:color="auto"/>
            </w:tcBorders>
          </w:tcPr>
          <w:p>
            <w:pPr>
              <w:ind w:left="20"/>
              <w:spacing w:after="0" w:line="270" w:lineRule="exact"/>
              <w:rPr>
                <w:sz w:val="20"/>
                <w:szCs w:val="20"/>
                <w:color w:val="auto"/>
              </w:rPr>
            </w:pPr>
            <w:r>
              <w:rPr>
                <w:rFonts w:ascii="Arial" w:cs="Arial" w:eastAsia="Arial" w:hAnsi="Arial"/>
                <w:sz w:val="18"/>
                <w:szCs w:val="18"/>
                <w:color w:val="auto"/>
              </w:rPr>
              <w:t xml:space="preserve">Deferred compensation plan assets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9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(2)</w:t>
      </w:r>
    </w:p>
    <w:p>
      <w:pPr>
        <w:spacing w:after="0" w:line="122" w:lineRule="exact"/>
        <w:rPr>
          <w:sz w:val="20"/>
          <w:szCs w:val="20"/>
          <w:color w:val="auto"/>
        </w:rPr>
      </w:pPr>
    </w:p>
    <w:p>
      <w:pPr>
        <w:ind w:left="460" w:hanging="330"/>
        <w:spacing w:after="0" w:line="302" w:lineRule="auto"/>
        <w:tabs>
          <w:tab w:leader="none" w:pos="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Deferred compensation plan assets include mutual funds, common/collective trusts and cash equivalents for payment of certain non-qualified benefits for retired, terminated and active employees. The fair value of mutual funds and cash equivalents were based on quoted market prices in active markets. The underlying investments in the common/collective trusts primarily include intermediate and long-term debt securities, corporate debt securities, equity securities and fixed income securities. The overall fair value of the common/collective trusts are based on observable inputs.</w:t>
      </w:r>
    </w:p>
    <w:p>
      <w:pPr>
        <w:spacing w:after="0" w:line="100" w:lineRule="exact"/>
        <w:rPr>
          <w:rFonts w:ascii="Arial" w:cs="Arial" w:eastAsia="Arial" w:hAnsi="Arial"/>
          <w:sz w:val="16"/>
          <w:szCs w:val="16"/>
          <w:color w:val="auto"/>
        </w:rPr>
      </w:pPr>
    </w:p>
    <w:p>
      <w:pPr>
        <w:ind w:left="460" w:right="80" w:hanging="330"/>
        <w:spacing w:after="0" w:line="276" w:lineRule="auto"/>
        <w:tabs>
          <w:tab w:leader="none" w:pos="4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During the fourth quarter of 2016, we completed our annual intangible assets impairment review. As a result, we recorded a pre-tax non-cash impairment charge of $13.3 million for a trade name intangible in 2016. The impairment charge reduced the carrying value of the impacted trade name intangible to $0. The fair value of trade names is measured using the relief-from-royalty method. This method assumes the trade name has value to the extent that the owner is relieved of the obligation to pay royalties for the benefits receive from them. This method requires us to estimate the future revenue for the related brands, the appropriate royalty rate and the weighted average cost of capital.</w:t>
      </w:r>
    </w:p>
    <w:p>
      <w:pPr>
        <w:spacing w:after="0" w:line="276"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manage our affairs so that we are centrally managed and controlled in the United Kingdom (the "U.K.") and therefore have our tax residency in the U.K. The provision for income taxes consists of provisions for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effective income tax rate for the three months ended March 31, 2017 was 22.1%, compared to 21.5% for 2016. We continue to actively pursue initiatives to reduce our effective tax rate. The tax rate in any quarter can be affected positively or negatively by adjustments that are required to be reported in the specific quarter of resolution.</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liability for uncertain tax positions was $70.5 million and $71.1 million at March 31, 2017 and December 31, 2016,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(Loss), which is consistent with our past practices.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our pension plans for the three months ended March 31, 2017 and 2016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7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8"/>
              </w:rPr>
              <w:t>U.S. pension plans</w:t>
            </w:r>
          </w:p>
        </w:tc>
        <w:tc>
          <w:tcPr>
            <w:tcW w:w="400" w:type="dxa"/>
            <w:vAlign w:val="bottom"/>
          </w:tcPr>
          <w:p>
            <w:pPr>
              <w:spacing w:after="0"/>
              <w:rPr>
                <w:sz w:val="20"/>
                <w:szCs w:val="20"/>
                <w:color w:val="auto"/>
              </w:rPr>
            </w:pPr>
          </w:p>
        </w:tc>
      </w:tr>
      <w:tr>
        <w:trPr>
          <w:trHeight w:val="34"/>
        </w:trPr>
        <w:tc>
          <w:tcPr>
            <w:tcW w:w="8240" w:type="dxa"/>
            <w:vAlign w:val="bottom"/>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8240" w:type="dxa"/>
            <w:vAlign w:val="bottom"/>
          </w:tcPr>
          <w:p>
            <w:pPr>
              <w:spacing w:after="0"/>
              <w:rPr>
                <w:sz w:val="21"/>
                <w:szCs w:val="21"/>
                <w:color w:val="auto"/>
              </w:rPr>
            </w:pPr>
          </w:p>
        </w:tc>
        <w:tc>
          <w:tcPr>
            <w:tcW w:w="27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9"/>
              </w:rPr>
              <w:t>Three months ended</w:t>
            </w:r>
          </w:p>
        </w:tc>
        <w:tc>
          <w:tcPr>
            <w:tcW w:w="400" w:type="dxa"/>
            <w:vAlign w:val="bottom"/>
          </w:tcPr>
          <w:p>
            <w:pPr>
              <w:spacing w:after="0"/>
              <w:rPr>
                <w:sz w:val="21"/>
                <w:szCs w:val="21"/>
                <w:color w:val="auto"/>
              </w:rPr>
            </w:pPr>
          </w:p>
        </w:tc>
      </w:tr>
      <w:tr>
        <w:trPr>
          <w:trHeight w:val="34"/>
        </w:trPr>
        <w:tc>
          <w:tcPr>
            <w:tcW w:w="8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25"/>
        </w:trPr>
        <w:tc>
          <w:tcPr>
            <w:tcW w:w="8240" w:type="dxa"/>
            <w:vAlign w:val="bottom"/>
          </w:tcPr>
          <w:p>
            <w:pPr>
              <w:spacing w:after="0"/>
              <w:rPr>
                <w:sz w:val="19"/>
                <w:szCs w:val="19"/>
                <w:color w:val="auto"/>
              </w:rPr>
            </w:pPr>
          </w:p>
        </w:tc>
        <w:tc>
          <w:tcPr>
            <w:tcW w:w="118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Pr>
          <w:p>
            <w:pPr>
              <w:spacing w:after="0"/>
              <w:rPr>
                <w:sz w:val="19"/>
                <w:szCs w:val="19"/>
                <w:color w:val="auto"/>
              </w:rPr>
            </w:pP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96"/>
              </w:rPr>
              <w:t>March 31,</w:t>
            </w:r>
          </w:p>
        </w:tc>
        <w:tc>
          <w:tcPr>
            <w:tcW w:w="400" w:type="dxa"/>
            <w:vAlign w:val="bottom"/>
          </w:tcPr>
          <w:p>
            <w:pPr>
              <w:spacing w:after="0"/>
              <w:rPr>
                <w:sz w:val="19"/>
                <w:szCs w:val="19"/>
                <w:color w:val="auto"/>
              </w:rPr>
            </w:pP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2017</w:t>
            </w:r>
          </w:p>
        </w:tc>
        <w:tc>
          <w:tcPr>
            <w:tcW w:w="400" w:type="dxa"/>
            <w:vAlign w:val="bottom"/>
          </w:tcPr>
          <w:p>
            <w:pPr>
              <w:spacing w:after="0"/>
              <w:rPr>
                <w:sz w:val="20"/>
                <w:szCs w:val="20"/>
                <w:color w:val="auto"/>
              </w:rPr>
            </w:pPr>
          </w:p>
        </w:tc>
        <w:tc>
          <w:tcPr>
            <w:tcW w:w="120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2016</w:t>
            </w:r>
          </w:p>
        </w:tc>
        <w:tc>
          <w:tcPr>
            <w:tcW w:w="400" w:type="dxa"/>
            <w:vAlign w:val="bottom"/>
          </w:tcPr>
          <w:p>
            <w:pPr>
              <w:spacing w:after="0"/>
              <w:rPr>
                <w:sz w:val="20"/>
                <w:szCs w:val="20"/>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8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(2.9)</w:t>
            </w: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(2.9)</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18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8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521"/>
        </w:trPr>
        <w:tc>
          <w:tcPr>
            <w:tcW w:w="8240" w:type="dxa"/>
            <w:vAlign w:val="bottom"/>
          </w:tcPr>
          <w:p>
            <w:pPr>
              <w:spacing w:after="0"/>
              <w:rPr>
                <w:sz w:val="24"/>
                <w:szCs w:val="24"/>
                <w:color w:val="auto"/>
              </w:rPr>
            </w:pPr>
          </w:p>
        </w:tc>
        <w:tc>
          <w:tcPr>
            <w:tcW w:w="27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Non-U.S. pension plans</w:t>
            </w:r>
          </w:p>
        </w:tc>
        <w:tc>
          <w:tcPr>
            <w:tcW w:w="400" w:type="dxa"/>
            <w:vAlign w:val="bottom"/>
          </w:tcPr>
          <w:p>
            <w:pPr>
              <w:spacing w:after="0"/>
              <w:rPr>
                <w:sz w:val="24"/>
                <w:szCs w:val="24"/>
                <w:color w:val="auto"/>
              </w:rPr>
            </w:pPr>
          </w:p>
        </w:tc>
      </w:tr>
      <w:tr>
        <w:trPr>
          <w:trHeight w:val="34"/>
        </w:trPr>
        <w:tc>
          <w:tcPr>
            <w:tcW w:w="8240" w:type="dxa"/>
            <w:vAlign w:val="bottom"/>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8240" w:type="dxa"/>
            <w:vAlign w:val="bottom"/>
          </w:tcPr>
          <w:p>
            <w:pPr>
              <w:spacing w:after="0"/>
              <w:rPr>
                <w:sz w:val="21"/>
                <w:szCs w:val="21"/>
                <w:color w:val="auto"/>
              </w:rPr>
            </w:pPr>
          </w:p>
        </w:tc>
        <w:tc>
          <w:tcPr>
            <w:tcW w:w="27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9"/>
              </w:rPr>
              <w:t>Three months ended</w:t>
            </w:r>
          </w:p>
        </w:tc>
        <w:tc>
          <w:tcPr>
            <w:tcW w:w="400" w:type="dxa"/>
            <w:vAlign w:val="bottom"/>
          </w:tcPr>
          <w:p>
            <w:pPr>
              <w:spacing w:after="0"/>
              <w:rPr>
                <w:sz w:val="21"/>
                <w:szCs w:val="21"/>
                <w:color w:val="auto"/>
              </w:rPr>
            </w:pPr>
          </w:p>
        </w:tc>
      </w:tr>
      <w:tr>
        <w:trPr>
          <w:trHeight w:val="34"/>
        </w:trPr>
        <w:tc>
          <w:tcPr>
            <w:tcW w:w="8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25"/>
        </w:trPr>
        <w:tc>
          <w:tcPr>
            <w:tcW w:w="8240" w:type="dxa"/>
            <w:vAlign w:val="bottom"/>
          </w:tcPr>
          <w:p>
            <w:pPr>
              <w:spacing w:after="0"/>
              <w:rPr>
                <w:sz w:val="19"/>
                <w:szCs w:val="19"/>
                <w:color w:val="auto"/>
              </w:rPr>
            </w:pPr>
          </w:p>
        </w:tc>
        <w:tc>
          <w:tcPr>
            <w:tcW w:w="118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Pr>
          <w:p>
            <w:pPr>
              <w:spacing w:after="0"/>
              <w:rPr>
                <w:sz w:val="19"/>
                <w:szCs w:val="19"/>
                <w:color w:val="auto"/>
              </w:rPr>
            </w:pP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96"/>
              </w:rPr>
              <w:t>March 31,</w:t>
            </w:r>
          </w:p>
        </w:tc>
        <w:tc>
          <w:tcPr>
            <w:tcW w:w="400" w:type="dxa"/>
            <w:vAlign w:val="bottom"/>
          </w:tcPr>
          <w:p>
            <w:pPr>
              <w:spacing w:after="0"/>
              <w:rPr>
                <w:sz w:val="19"/>
                <w:szCs w:val="19"/>
                <w:color w:val="auto"/>
              </w:rPr>
            </w:pP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2017</w:t>
            </w:r>
          </w:p>
        </w:tc>
        <w:tc>
          <w:tcPr>
            <w:tcW w:w="400" w:type="dxa"/>
            <w:vAlign w:val="bottom"/>
          </w:tcPr>
          <w:p>
            <w:pPr>
              <w:spacing w:after="0"/>
              <w:rPr>
                <w:sz w:val="20"/>
                <w:szCs w:val="20"/>
                <w:color w:val="auto"/>
              </w:rPr>
            </w:pPr>
          </w:p>
        </w:tc>
        <w:tc>
          <w:tcPr>
            <w:tcW w:w="120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2016</w:t>
            </w:r>
          </w:p>
        </w:tc>
        <w:tc>
          <w:tcPr>
            <w:tcW w:w="400" w:type="dxa"/>
            <w:vAlign w:val="bottom"/>
          </w:tcPr>
          <w:p>
            <w:pPr>
              <w:spacing w:after="0"/>
              <w:rPr>
                <w:sz w:val="20"/>
                <w:szCs w:val="20"/>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(0.4)</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18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8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for our other post-retirement plans for the three months ended March 31, 2017 and 2016 were not material.</w:t>
      </w:r>
    </w:p>
    <w:p>
      <w:pPr>
        <w:spacing w:after="0" w:line="341" w:lineRule="exact"/>
        <w:rPr>
          <w:sz w:val="20"/>
          <w:szCs w:val="20"/>
          <w:color w:val="auto"/>
        </w:rPr>
      </w:pPr>
    </w:p>
    <w:p>
      <w:pPr>
        <w:ind w:right="9140" w:firstLine="8"/>
        <w:spacing w:after="0" w:line="261" w:lineRule="auto"/>
        <w:tabs>
          <w:tab w:leader="none" w:pos="64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December 2014, the Board of Directors authorized the repurchase of our ordinary shares up to a maximum dollar limit of $1.0 billion. The authorization expires on December 31, 2019. There were no share repurchases during the three months ended March 31, 2017 and 2016 pursuant to this authorization. As of March 31, 2017, we had $800.0 million available for share repurchases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On December 6, 2016, the Board of Directors declared a quarterly cash dividend of $0.345 that was paid on February 10, 2017 to shareholders of record at the close of business on January 27, 2017 and approved a plan to increase the 2017 annual cash dividend to $1.38, which is intended to be paid in four equal quarterly installments. Additionally, on February 21, 2017 the Board of Directors declared a quarterly cash dividend of $0.345 payable on May 5, 2017 to shareholders of record at the close of business on April 21, 2017.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Consolidated Balance Sheets was $62.9 million and $61.8 million at March 31, 2017 and December 31, 2016, respectively.</w:t>
      </w:r>
    </w:p>
    <w:p>
      <w:pPr>
        <w:spacing w:after="0" w:line="28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first quarter of 2017, we reorganized our business segments to reflect a new operating structure, resulting in a change to our reporting segments in 2017. The prior period information was recast to be comparable to the current year presentation.</w:t>
      </w:r>
    </w:p>
    <w:p>
      <w:pPr>
        <w:spacing w:after="0" w:line="13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"mark-to-market" gain/loss for pension and other post-retirement plans, impairments and other unusual non-operating items.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502.2</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524.6</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1,190.0</w:t>
            </w:r>
          </w:p>
        </w:tc>
      </w:tr>
      <w:tr>
        <w:trPr>
          <w:trHeight w:val="67"/>
        </w:trPr>
        <w:tc>
          <w:tcPr>
            <w:tcW w:w="8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Water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220" w:firstLine="8"/>
        <w:spacing w:after="0" w:line="261" w:lineRule="auto"/>
        <w:tabs>
          <w:tab w:leader="none" w:pos="64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Asbestos matters</w:t>
      </w:r>
    </w:p>
    <w:p>
      <w:pPr>
        <w:ind w:right="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Our subsidiaries and numerous other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dozens to hundreds of corporate defendants. While we have observed an increase in the number of these lawsuits over the past several years, including lawsuits by plaintiffs with mesothelioma-related claims, a large percentage of these suits have not presented viable legal claims and, as a result, have been dismissed by the courts.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March 31, 2017, there were approximately 3,300 claims outstanding against our subsidiaries, of which approximately 2,800 relate to the Valves &amp; Control business classified as held for sale. These amounts include adjustments for claims that are not actively being prosecuted. The amounts are not adjusted for claims that identify incorrect defendants or duplicate other actions. In addition, the amounts do not include certain claims pending against third parties for which we have been provided an indemnification.</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Periodically, we perform an analysis with the assistance of outside counsel and other experts to update our estimated asbestos-related assets and liabilities. Our estimate of the liability and corresponding insurance recovery for pending and future claims and defense costs is based on our historical claim experience and estimates of the number and resolution cost of potential future claims that may be filed. Our legal strategy for resolving claims also impacts these estimates.</w:t>
      </w:r>
    </w:p>
    <w:p>
      <w:pPr>
        <w:spacing w:after="0" w:line="13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Our estimate of asbestos-related insurance recoveries represents estimated amounts due to us for previously paid and settled claims and the probable reimbursements relating to our estimated liability for pending and future claims. In determining the</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amount of insurance recoverable, we consider a number of factors, including available insurance, allocation methodologies and the solvency and creditworthiness of insurers.</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Our estimated liability for asbestos-related claims was $224.6 million and $228.3 million as of March 31, 2017 and December 31, 2016, respectively, and was recorded in </w:t>
      </w:r>
      <w:r>
        <w:rPr>
          <w:rFonts w:ascii="Arial" w:cs="Arial" w:eastAsia="Arial" w:hAnsi="Arial"/>
          <w:sz w:val="17"/>
          <w:szCs w:val="17"/>
          <w:i w:val="1"/>
          <w:iCs w:val="1"/>
          <w:color w:val="auto"/>
        </w:rPr>
        <w:t>Non-current liabilities held for sale</w:t>
      </w:r>
      <w:r>
        <w:rPr>
          <w:rFonts w:ascii="Arial" w:cs="Arial" w:eastAsia="Arial" w:hAnsi="Arial"/>
          <w:sz w:val="17"/>
          <w:szCs w:val="17"/>
          <w:color w:val="auto"/>
        </w:rPr>
        <w:t xml:space="preserve"> in the Condensed Consolidated Balance Sheets for pending and future claims and related defense costs. Our estimated receivable for insurance recoveries was $107.4 million and $108.5 million as of March 31, 2017 and December 31, 2016, respectively, and was recorded in </w:t>
      </w:r>
      <w:r>
        <w:rPr>
          <w:rFonts w:ascii="Arial" w:cs="Arial" w:eastAsia="Arial" w:hAnsi="Arial"/>
          <w:sz w:val="17"/>
          <w:szCs w:val="17"/>
          <w:i w:val="1"/>
          <w:iCs w:val="1"/>
          <w:color w:val="auto"/>
        </w:rPr>
        <w:t>Non-current assets held for sale</w:t>
      </w:r>
      <w:r>
        <w:rPr>
          <w:rFonts w:ascii="Arial" w:cs="Arial" w:eastAsia="Arial" w:hAnsi="Arial"/>
          <w:sz w:val="17"/>
          <w:szCs w:val="17"/>
          <w:color w:val="auto"/>
        </w:rPr>
        <w:t xml:space="preserve"> in the Condensed Consolidated Balance Sheets.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amounts recorded by us for asbestos-related liabilities and insurance-related assets are based on our strategies for resolving our asbestos claims and currently available information as well as estimates and assumptions. Key variables and assumptions include the number and type of new claims filed each year, the average cost of resolution of claims, the resolution of coverage issues with insurance carriers, the amounts of insurance and the related solvency risk with respect to our insurance carriers, and the indemnifications we have provided to and received from third parties. Furthermore, predictions with respect to these variables are subject to greater uncertainty in the latter portion of the projection period. Other factors that may affect our liability and cash payments for asbestos-related matters include uncertainties surrounding the litigation process from jurisdiction to jurisdiction and from case to case, reforms of state or federal tort legislation and the applicability of insurance policies among subsidiaries. As a result, actual liabilities or insurance recoveries could be significantly higher or lower than those recorded if assumptions used in our calculations vary significantly from actual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involved in or have retained responsibility and potential liability for environmental obligations and legal proceedings related to our current business and, including pursuant to certain indemnification obligations, related to certain formerly owned businesses. Our accruals for environmental matters are recorded on a site-by-site basis when it is probable that a liability has been incurred and the amount of the liability can be reasonably estimated, based on current law and existing technologies. Based upon our experience, current information regarding known contingencies and applicable laws, we have recorded reserves for these environmental matters of $17.6 million and $18.3 million as of March 31, 2017 and December 31, 2016, respectively, which relate primarily to the Valves &amp; Controls business classified as held for sale. We do not anticipate these environmental conditions will have a material adverse effect on our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 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condition or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changes in the carrying amount of service and product warranties of continuing operations for the three months ended March 31, 2017 were as follows: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72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34"/>
        </w:trPr>
        <w:tc>
          <w:tcPr>
            <w:tcW w:w="6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7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6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37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6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Pentair Ltd. In situations where Flow Control and Tyco were unable to obtain a release from these guarantees in connection with the spin-off of Pentair Ltd., we will indemnify Tyco for any losses it suffers as a result of such guarantees.</w:t>
      </w:r>
    </w:p>
    <w:p>
      <w:pPr>
        <w:spacing w:after="0" w:line="13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As of March 31, 2017 and December 31, 2016, the outstanding value of bonds, letters of credit and bank guarantees totaled $353.9 million and $331.0 million, respectively, of which $149.1 million and $156.6 million, respectively, relate to the Valves &amp; Controls business classified as held for sale.</w:t>
      </w:r>
    </w:p>
    <w:p>
      <w:pPr>
        <w:spacing w:after="0" w:line="22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27"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Pentair plc (the "Parent Company Guarantor") and PISG (the "Subsidiary Guarantor"), fully and unconditionally, guarantee the Notes of PFSA (the "Subsidiary Issuer"). The Subsidiary Guarantor is a Switzerland limited liability company and 100 percent-owned subsidiary of the Parent Company Guarantor. The Subsidiary Issuer is a Luxembourg public limited liability company and 100 percent-owned subsidiary of the Subsidiary Guarantor. The guarantees provided by the Parent Company Guarantor and Subsidiary Guarantor are joint and several.</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 of Operations and Comprehensive Income (Loss), Condensed Consolidating Balance Sheets and Condensed Consolidating Statement of Cash Flows by relevant group within the Company: Pentair plc and PISG as the guarantors, PFSA as issuer of the debt and all other non-guarantor subsidiaries. Condensed consolidating financial information for Pentair plc, PISG and PFSA on a stand-alone basis is presented using the equity method of accounting for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761.2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761.2</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interest expense (income)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w:t>
            </w: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914.4</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914.4</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546.0</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264.8</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877.8</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2,844.3</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2,841.1</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4,691.2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(18,845.3)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4,295.3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4,295.3</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1,622.5</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869.0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1,495.9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(2,208.0)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195.3</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2,311.9</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2,311.9</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4,693.4</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4,689.4</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10,369.9</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9,725.6</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(21,053.3)</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8,425.0</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11,818.0</w:t>
            </w: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9"/>
              </w:rPr>
              <w:t>Current maturities of long-term debt and</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387.3</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146.9</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148.0</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558.6</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303.0</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1,397.6</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5,699.6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4,528.9</w:t>
            </w: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258.6</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258.6</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602.2</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149.2</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506.7</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5,720.5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3,621.2</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7,443.2</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4,374.8</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4,691.2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(18,845.3)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4,374.8</w:t>
            </w:r>
          </w:p>
        </w:tc>
      </w:tr>
      <w:tr>
        <w:trPr>
          <w:trHeight w:val="237"/>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4,692.5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10,374.0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(21,065.0)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11,818.0</w:t>
            </w:r>
          </w:p>
        </w:tc>
      </w:tr>
      <w:tr>
        <w:trPr>
          <w:trHeight w:val="27"/>
        </w:trPr>
        <w:tc>
          <w:tcPr>
            <w:tcW w:w="3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8"/>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(259.4)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(530.4)</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820.6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3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 of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3180" w:type="dxa"/>
            <w:vAlign w:val="bottom"/>
          </w:tcPr>
          <w:p>
            <w:pPr>
              <w:ind w:left="540"/>
              <w:spacing w:after="0"/>
              <w:rPr>
                <w:sz w:val="20"/>
                <w:szCs w:val="20"/>
                <w:color w:val="auto"/>
              </w:rPr>
            </w:pPr>
            <w:r>
              <w:rPr>
                <w:rFonts w:ascii="Arial" w:cs="Arial" w:eastAsia="Arial" w:hAnsi="Arial"/>
                <w:sz w:val="18"/>
                <w:szCs w:val="18"/>
                <w:color w:val="auto"/>
                <w:w w:val="96"/>
              </w:rPr>
              <w:t>investing activities of discontinued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Net repayments of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6"/>
              </w:rPr>
              <w:t>Net receipts (repayments) of commercial</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paper and revolving long-term debt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234.0</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change in advances to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1"/>
              </w:rPr>
              <w:t>Shares issued to employees, net of shares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22"/>
        </w:trPr>
        <w:tc>
          <w:tcPr>
            <w:tcW w:w="31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440.9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414.2</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169.0</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Effect of exchange rate changes on cash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6"/>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Change in cash and cash equivalents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Cash and cash equivalents, beginning of</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6"/>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r>
      <w:tr>
        <w:trPr>
          <w:trHeight w:val="237"/>
        </w:trPr>
        <w:tc>
          <w:tcPr>
            <w:tcW w:w="34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 xml:space="preserve">Cash and cash equivalents, end of period </w:t>
            </w:r>
            <w:r>
              <w:rPr>
                <w:rFonts w:ascii="Arial" w:cs="Arial" w:eastAsia="Arial" w:hAnsi="Arial"/>
                <w:sz w:val="18"/>
                <w:szCs w:val="18"/>
                <w:color w:val="auto"/>
                <w:w w:val="90"/>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238.1</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1,190.0</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758.7</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431.3</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431.3</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325.3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18"/>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120.7</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Subsidiary</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Subsidiaries</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763.9</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764.0</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237.8</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891.9</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2,656.3</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2,672.0</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4,509.5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4,471.4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(18,276.4)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4,217.4</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4,217.4</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717.8</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1,568.9</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(2,142.0)</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182.1</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2,292.9</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2,292.9</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4,511.7</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4,506.6</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10,013.3</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9,711.0</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(20,418.4)</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8,324.2</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11,534.8</w:t>
            </w: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2"/>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w w:val="97"/>
              </w:rPr>
              <w:t>Current maturities of long-term debt and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166.1</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356.2</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356.2</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5,515.9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4,278.4</w:t>
            </w: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253.4</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162.0</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505.9</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3,610.7</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7,280.4</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4,254.4</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4,509.5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4,471.7</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9,295.2</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(18,276.4)</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4,254.4</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10,014.4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12,905.9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(20,409.2)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11,534.8</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730"/>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Subsidiary</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0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10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Acquisitions, net of cash acquired</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intercompany loan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 of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310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3100" w:type="dxa"/>
            <w:vAlign w:val="bottom"/>
          </w:tcPr>
          <w:p>
            <w:pPr>
              <w:ind w:left="540"/>
              <w:spacing w:after="0"/>
              <w:rPr>
                <w:sz w:val="20"/>
                <w:szCs w:val="20"/>
                <w:color w:val="auto"/>
              </w:rPr>
            </w:pPr>
            <w:r>
              <w:rPr>
                <w:rFonts w:ascii="Arial" w:cs="Arial" w:eastAsia="Arial" w:hAnsi="Arial"/>
                <w:sz w:val="18"/>
                <w:szCs w:val="18"/>
                <w:color w:val="auto"/>
                <w:w w:val="93"/>
              </w:rPr>
              <w:t>investing activities of discontinued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receipts of 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3"/>
              </w:rPr>
              <w:t>Net receipts (repayments) of commercial</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paper and revolving long-term debt</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138.4</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w w:val="97"/>
              </w:rPr>
              <w:t>Net change in advances to subsidiaries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(98.7)</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491.5</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 share-based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89"/>
              </w:rPr>
              <w:t>Shares issued to employees, net of shares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22"/>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(98.7)</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491.5</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Change in cash and cash equivalents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Cash and cash equivalents, beginning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of period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r>
      <w:tr>
        <w:trPr>
          <w:trHeight w:val="218"/>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end of</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4"/>
        </w:trPr>
        <w:tc>
          <w:tcPr>
            <w:tcW w:w="310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158.1</w:t>
            </w:r>
          </w:p>
        </w:tc>
      </w:tr>
      <w:tr>
        <w:trPr>
          <w:trHeight w:val="27"/>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w:t>
      </w:r>
      <w:r>
        <w:rPr>
          <w:rFonts w:ascii="Arial" w:cs="Arial" w:eastAsia="Arial" w:hAnsi="Arial"/>
          <w:sz w:val="17"/>
          <w:szCs w:val="17"/>
          <w:color w:val="080808"/>
        </w:rPr>
        <w:t>ability to successfully complete the sale of the Valves &amp; Controls business on anticipated terms and timetable;</w:t>
      </w:r>
      <w:r>
        <w:rPr>
          <w:rFonts w:ascii="Arial" w:cs="Arial" w:eastAsia="Arial" w:hAnsi="Arial"/>
          <w:sz w:val="17"/>
          <w:szCs w:val="17"/>
          <w:color w:val="auto"/>
        </w:rPr>
        <w:t xml:space="preserve"> overall global economic and business conditions, including worldwide demand for oil and gas; the ability to achieve the benefits of our restructuring plans; the ability to successfully identify, finance, complete and integrate acquisitions; competition and pricing pressures in the markets we serve; the strength of housing and related markets; volatility in currency exchange rates and commodity prices; inability to generate savings from excellence in operations initiatives consisting of lean enterprise, supply management and cash flow practices; increased risks associated with operating foreign businesses; the ability to deliver backlog and win future project work; failure of markets to accept new product introductions and enhancements; the impact of changes in laws and regulations, including those that limit U.S. tax benefits; the outcome of litigation and governmental proceedings; and the ability to achieve our long-term strategic operating goals. Additional information concerning these and other factors is contained in our filings with the U.S. Securities and Exchange Commission, including our 2016 Annual Report on Form 10-K. All forward-looking statements speak only as of the date of this report. Pentair plc assumes no obligation, and disclaims any obligation, to update the information contained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terms "us," "we" or "our" refer to Pentair plc and its consolidated subsidiaries. We are a focused diversified industrial manufacturing company comprising two reporting segments: Water and Electrical. For the first three months of 2017, the Water segment and the Electrical segment represented approximately 58% and 42% of total revenues, respectively. We classify our operations into business segments based primarily on types of products offered and markets served:</w:t>
      </w:r>
    </w:p>
    <w:p>
      <w:pPr>
        <w:spacing w:after="0" w:line="136" w:lineRule="exact"/>
        <w:rPr>
          <w:sz w:val="20"/>
          <w:szCs w:val="20"/>
          <w:color w:val="auto"/>
        </w:rPr>
      </w:pPr>
    </w:p>
    <w:p>
      <w:pPr>
        <w:ind w:left="660" w:right="24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 The Water segment designs, manufactures and services innovative products and solutions to meet filtration, separation, flow and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challenges in agriculture, aquaculture, foodservice, food and beverage processing, swimming pools, water supply and disposal and a variety of industrial applications.</w:t>
      </w:r>
    </w:p>
    <w:p>
      <w:pPr>
        <w:spacing w:after="0" w:line="127"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Electrical </w:t>
      </w:r>
      <w:r>
        <w:rPr>
          <w:rFonts w:ascii="Arial" w:cs="Arial" w:eastAsia="Arial" w:hAnsi="Arial"/>
          <w:sz w:val="18"/>
          <w:szCs w:val="18"/>
          <w:color w:val="auto"/>
        </w:rPr>
        <w:t>— The Electrical segment designs, manufactures and services products that protect some of the world’s most sensitive equipment,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heat management solutions designed to provide thermal protection to temperature sensitive fluid applications and engineered electrical and fastening products for electrical, mechanical and civil applications.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On August 18, 2016, we entered into a Share Purchase Agreement to sell our Valves &amp; Controls business to Emerson Electric Co. for a purchase price of</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$3.15 billion in cash, subject to customary adjustments. We expect the sale to close in the second quarter of 2017, subject to customary regulatory approvals and closing conditions. The results of the Valves &amp; Controls business have been presented as discontinued operations and the related assets and liabilities have been reclassified as held for sale for all periods presented. The Valves &amp; Controls business was previously disclosed as a stand-alone reporting segment.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trends and uncertainties affected our financial performance in 2016 and the first three months of 2017 and will likely impact our results in the future:</w:t>
      </w:r>
    </w:p>
    <w:p>
      <w:pPr>
        <w:spacing w:after="0" w:line="184" w:lineRule="exact"/>
        <w:rPr>
          <w:sz w:val="20"/>
          <w:szCs w:val="20"/>
          <w:color w:val="auto"/>
        </w:rPr>
      </w:pPr>
    </w:p>
    <w:p>
      <w:pPr>
        <w:ind w:left="660" w:right="1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Despite the favorable long-term outlook for our end-markets, we experience differing levels of volatility depending on the end-market and may continue to do so over the medium and longer term. During 2016 and the first three months of 2017, our core sales have been challenged by broad-based industrial capital expenditure and maintenance deferrals. Although we saw early signs of recovery in the first quarter of 2017, we expect this challenge to continue throughout 2017.</w:t>
      </w:r>
    </w:p>
    <w:p>
      <w:pPr>
        <w:spacing w:after="0" w:line="132"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experienced declines in project orders, particularly within the energy and infrastructure businesses. We expect headwinds in the energy and infrastructure businesses to continue and oil prices to remain depressed throughout 2017.</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4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continued execution of certain business restructuring initiatives aimed at reducing our fixed cost structure and realigning our business to offset the negative earnings impact of core revenue decline and foreign exchange. We expect to continue these actions throughout the first half of 2017 and that these actions will contribute to margin growth in 2017.</w:t>
      </w:r>
    </w:p>
    <w:p>
      <w:pPr>
        <w:spacing w:after="0" w:line="12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results were negatively impacted due to the strengthening of the U.S. dollar against most key global currencies in 2016 and continuing in the first three months of 2017. We expect this trend to continue throughout 2017.</w:t>
      </w:r>
    </w:p>
    <w:p>
      <w:pPr>
        <w:spacing w:after="0" w:line="116"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United States.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2017, our operating objectives include the following:</w:t>
      </w:r>
    </w:p>
    <w:p>
      <w:pPr>
        <w:spacing w:after="0" w:line="171" w:lineRule="exact"/>
        <w:rPr>
          <w:sz w:val="20"/>
          <w:szCs w:val="20"/>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long-term debt and overall leverage through improved cash flow performance and use of proceeds from the pending sale of the Valves &amp; Controls business;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Driving operating excellence through lean enterprise initiatives, with specific focus on sourcing and supply management, cash flow management and lean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differentiated revenue growth through new products and global and market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Focusing on developing global talent in light of our global presence.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7"/>
              </w:rPr>
              <w:t>The consolidated results of operations for the three months ended March 31, 2017 and 2016 were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4"/>
                <w:szCs w:val="24"/>
                <w:color w:val="auto"/>
              </w:rPr>
            </w:pPr>
          </w:p>
        </w:tc>
      </w:tr>
      <w:tr>
        <w:trPr>
          <w:trHeight w:val="34"/>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5"/>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9"/>
                <w:szCs w:val="19"/>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34"/>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1,183.5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1,190.0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761.2</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758.7</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0.3 %</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422.3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431.3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35.7%</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36.2%</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(0.5)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253.9</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250.1</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21.5%</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88"/>
              </w:rPr>
              <w:t>0.5 pts</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21"/>
                <w:szCs w:val="21"/>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5.3 %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88"/>
              </w:rPr>
              <w:t>0.1 pts</w:t>
            </w:r>
          </w:p>
        </w:tc>
      </w:tr>
      <w:tr>
        <w:trPr>
          <w:trHeight w:val="324"/>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152.7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11.7%</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12.8%</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(1.1)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(3.3)%</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116.9</w:t>
            </w:r>
          </w:p>
        </w:tc>
        <w:tc>
          <w:tcPr>
            <w:tcW w:w="2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(13.3)</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(11.4)%</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22.1%</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21.5%</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center"/>
              <w:ind w:left="670"/>
              <w:spacing w:after="0"/>
              <w:rPr>
                <w:sz w:val="20"/>
                <w:szCs w:val="20"/>
                <w:color w:val="auto"/>
              </w:rPr>
            </w:pPr>
            <w:r>
              <w:rPr>
                <w:rFonts w:ascii="Arial" w:cs="Arial" w:eastAsia="Arial" w:hAnsi="Arial"/>
                <w:sz w:val="18"/>
                <w:szCs w:val="18"/>
                <w:i w:val="1"/>
                <w:iCs w:val="1"/>
                <w:color w:val="auto"/>
                <w:w w:val="96"/>
              </w:rPr>
              <w:t>0.6 pts</w:t>
            </w:r>
          </w:p>
        </w:tc>
      </w:tr>
      <w:tr>
        <w:trPr>
          <w:trHeight w:val="499"/>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6980" w:type="dxa"/>
            <w:vAlign w:val="bottom"/>
            <w:gridSpan w:val="4"/>
          </w:tcPr>
          <w:p>
            <w:pPr>
              <w:spacing w:after="0"/>
              <w:rPr>
                <w:sz w:val="20"/>
                <w:szCs w:val="20"/>
                <w:color w:val="auto"/>
              </w:rPr>
            </w:pPr>
            <w:r>
              <w:rPr>
                <w:rFonts w:ascii="Arial" w:cs="Arial" w:eastAsia="Arial" w:hAnsi="Arial"/>
                <w:sz w:val="18"/>
                <w:szCs w:val="18"/>
                <w:color w:val="auto"/>
                <w:w w:val="95"/>
              </w:rPr>
              <w:t>The components of the consolidated net sales change from the prior period were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40"/>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 March 31, 2017</w:t>
            </w:r>
          </w:p>
        </w:tc>
      </w:tr>
      <w:tr>
        <w:trPr>
          <w:trHeight w:val="270"/>
        </w:trPr>
        <w:tc>
          <w:tcPr>
            <w:tcW w:w="10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Acquisition</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7"/>
        </w:trPr>
        <w:tc>
          <w:tcPr>
            <w:tcW w:w="54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0.5 percentage point decrease in net sales in the first quarter of 2017 from 2016 and was primarily driven by:</w:t>
      </w:r>
    </w:p>
    <w:p>
      <w:pPr>
        <w:spacing w:after="0" w:line="171"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continued slowdown in capital spending, particularly in the energy and infrastructure businesses, driving lower project core sales volume; and</w:t>
      </w:r>
    </w:p>
    <w:p>
      <w:pPr>
        <w:spacing w:after="0" w:line="182" w:lineRule="exact"/>
        <w:rPr>
          <w:rFonts w:ascii="Arial" w:cs="Arial" w:eastAsia="Arial" w:hAnsi="Arial"/>
          <w:sz w:val="17"/>
          <w:szCs w:val="17"/>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strong U.S. dollar causing unfavorable foreign currency effects for the three months ended March 31,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core sales growth in our residential and commercial business, primarily as a result of increased volumes in the U.S.;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sales related to business acquisitions that occurred in the fourth quarter of 2016 and the first quarter of 2017.</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14"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0.5 percentage point decrease in gross profit as a percentage of sales in the first quarter of 2017 from 2016 was primarily driven by:</w:t>
      </w:r>
    </w:p>
    <w:p>
      <w:pPr>
        <w:spacing w:after="0" w:line="157"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lower project core sales volumes in the Electrical segment, which resulted in decreased leverage on fixed expenses included in cost of goods sold;</w:t>
      </w:r>
    </w:p>
    <w:p>
      <w:pPr>
        <w:spacing w:after="0" w:line="194" w:lineRule="exact"/>
        <w:rPr>
          <w:rFonts w:ascii="Arial" w:cs="Arial" w:eastAsia="Arial" w:hAnsi="Arial"/>
          <w:sz w:val="16"/>
          <w:szCs w:val="16"/>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non-recurring costs on large projects in the first quarter of 2017;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inflationary increases related to raw materials and labor costs.</w:t>
      </w:r>
    </w:p>
    <w:p>
      <w:pPr>
        <w:spacing w:after="0" w:line="200" w:lineRule="exact"/>
        <w:rPr>
          <w:sz w:val="20"/>
          <w:szCs w:val="20"/>
          <w:color w:val="auto"/>
        </w:rPr>
      </w:pPr>
    </w:p>
    <w:p>
      <w:pPr>
        <w:spacing w:after="0" w:line="349" w:lineRule="exact"/>
        <w:rPr>
          <w:sz w:val="20"/>
          <w:szCs w:val="20"/>
          <w:color w:val="auto"/>
        </w:rPr>
      </w:pPr>
    </w:p>
    <w:p>
      <w:pPr>
        <w:ind w:left="500" w:right="120" w:hanging="330"/>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contribution margin as a result of savings generated from our Pentair Integrated Management System ("PIMS") initiatives including lean and supply management practices;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0.5 percentage point increase in SG&amp;A expense as a percentage of sales in the first quarter of 2017 from 2016 was primarily driven by:</w:t>
      </w:r>
    </w:p>
    <w:p>
      <w:pPr>
        <w:spacing w:after="0" w:line="157"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costs of $20.9 million in the first quarter of 2017, compared to $0.5 million in the first quarter of 2016;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 and</w:t>
      </w:r>
    </w:p>
    <w:p>
      <w:pPr>
        <w:spacing w:after="0" w:line="171" w:lineRule="exact"/>
        <w:rPr>
          <w:rFonts w:ascii="Arial" w:cs="Arial" w:eastAsia="Arial" w:hAnsi="Arial"/>
          <w:sz w:val="18"/>
          <w:szCs w:val="18"/>
          <w:color w:val="auto"/>
        </w:rPr>
      </w:pPr>
    </w:p>
    <w:p>
      <w:pPr>
        <w:ind w:left="500" w:right="440" w:hanging="330"/>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benefit from the reversal of a $13.3 million indemnification liability related to our 2012 transaction with Tyco (now known as Johnson Controls International plc).</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3.3 percent decrease in net interest expense in the first quarter of 2017 from 2016 was primarily driven by:</w:t>
      </w:r>
    </w:p>
    <w:p>
      <w:pPr>
        <w:spacing w:after="0" w:line="157"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higher debt levels during the first quarter of 2016, compared to the first quarter of 2017.</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overall interest rates in effect on our outstanding debt during the first quarter of 2017, compared to the first quarter of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0.6 percentage point increase in the effective tax rate in the first quarter of 2017 from 2016 was primarily driven by:</w:t>
      </w:r>
    </w:p>
    <w:p>
      <w:pPr>
        <w:spacing w:after="0" w:line="157" w:lineRule="exact"/>
        <w:rPr>
          <w:sz w:val="20"/>
          <w:szCs w:val="20"/>
          <w:color w:val="auto"/>
        </w:rPr>
      </w:pPr>
    </w:p>
    <w:p>
      <w:pPr>
        <w:ind w:left="500" w:hanging="330"/>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non-recurring benefits related to resolution of tax disputes and expiration of statutes of limitations during the first quarter of 2016 that did not recur in the first quarter of 2017; and</w:t>
      </w:r>
    </w:p>
    <w:p>
      <w:pPr>
        <w:spacing w:after="0" w:line="143" w:lineRule="exact"/>
        <w:rPr>
          <w:rFonts w:ascii="Arial" w:cs="Arial" w:eastAsia="Arial" w:hAnsi="Arial"/>
          <w:sz w:val="18"/>
          <w:szCs w:val="18"/>
          <w:color w:val="auto"/>
        </w:rPr>
      </w:pPr>
    </w:p>
    <w:p>
      <w:pPr>
        <w:ind w:left="560" w:hanging="390"/>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tax impact and timing of losses incurred during the first quarter of 2017, compared to the first quarter of 2016.</w:t>
      </w:r>
    </w:p>
    <w:p>
      <w:pPr>
        <w:spacing w:after="0" w:line="200" w:lineRule="exact"/>
        <w:rPr>
          <w:sz w:val="20"/>
          <w:szCs w:val="20"/>
          <w:color w:val="auto"/>
        </w:rPr>
      </w:pPr>
    </w:p>
    <w:p>
      <w:pPr>
        <w:spacing w:after="0" w:line="390" w:lineRule="exact"/>
        <w:rPr>
          <w:sz w:val="20"/>
          <w:szCs w:val="20"/>
          <w:color w:val="auto"/>
        </w:rPr>
      </w:pPr>
    </w:p>
    <w:p>
      <w:pPr>
        <w:ind w:left="560" w:hanging="390"/>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mix of global earnings toward lower tax jurisdictions; and</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income tax effects of vesting and exercise of share-based awards.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summary that follows provides a discussion of the results of operations of each of our two reportable segments (Water and Electrical). Each of these segments is comprised of various product offerings that serve multiple end users.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evaluate the performance of our two reportable segments based on net sales and segment income and use a variety of ratios to measure performance. Segment income represents equity income of unconsolidated subsidiaries and operating income</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121" w:right="3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exclusive of intangible amortization, certain acquisition related expenses, costs of restructuring activities, "mark-to-market" gain/loss for pension and other post-retirement plans, impairments and other unusual non-operating items.</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Water</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the Water segment for the three months ended March 31, 2017 and 2016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280" w:type="dxa"/>
            <w:vAlign w:val="bottom"/>
          </w:tcPr>
          <w:p>
            <w:pPr>
              <w:spacing w:after="0"/>
              <w:rPr>
                <w:sz w:val="20"/>
                <w:szCs w:val="20"/>
                <w:color w:val="auto"/>
              </w:rPr>
            </w:pPr>
          </w:p>
        </w:tc>
      </w:tr>
      <w:tr>
        <w:trPr>
          <w:trHeight w:val="34"/>
        </w:trPr>
        <w:tc>
          <w:tcPr>
            <w:tcW w:w="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6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34"/>
        </w:trPr>
        <w:tc>
          <w:tcPr>
            <w:tcW w:w="60" w:type="dxa"/>
            <w:vAlign w:val="bottom"/>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682.9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665.7</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r>
      <w:tr>
        <w:trPr>
          <w:trHeight w:val="243"/>
        </w:trPr>
        <w:tc>
          <w:tcPr>
            <w:tcW w:w="60" w:type="dxa"/>
            <w:vAlign w:val="bottom"/>
          </w:tcPr>
          <w:p>
            <w:pPr>
              <w:spacing w:after="0"/>
              <w:rPr>
                <w:sz w:val="21"/>
                <w:szCs w:val="21"/>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116.0</w:t>
            </w:r>
          </w:p>
        </w:tc>
        <w:tc>
          <w:tcPr>
            <w:tcW w:w="28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101.2</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14.6%</w:t>
            </w:r>
          </w:p>
        </w:tc>
      </w:tr>
      <w:tr>
        <w:trPr>
          <w:trHeight w:val="27"/>
        </w:trPr>
        <w:tc>
          <w:tcPr>
            <w:tcW w:w="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17.0%</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 pts</w:t>
            </w:r>
          </w:p>
        </w:tc>
      </w:tr>
      <w:tr>
        <w:trPr>
          <w:trHeight w:val="364"/>
        </w:trPr>
        <w:tc>
          <w:tcPr>
            <w:tcW w:w="6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7"/>
              </w:rPr>
              <w:t>The components of the change in Water net sales from the prior period were as follows: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6860" w:type="dxa"/>
            <w:vAlign w:val="bottom"/>
          </w:tcPr>
          <w:p>
            <w:pPr>
              <w:jc w:val="right"/>
              <w:ind w:right="490"/>
              <w:spacing w:after="0"/>
              <w:rPr>
                <w:sz w:val="20"/>
                <w:szCs w:val="20"/>
                <w:color w:val="auto"/>
              </w:rPr>
            </w:pPr>
            <w:r>
              <w:rPr>
                <w:rFonts w:ascii="Arial" w:cs="Arial" w:eastAsia="Arial" w:hAnsi="Arial"/>
                <w:sz w:val="18"/>
                <w:szCs w:val="18"/>
                <w:b w:val="1"/>
                <w:bCs w:val="1"/>
                <w:color w:val="auto"/>
              </w:rPr>
              <w:t>Three months ended March 31, 2017</w:t>
            </w:r>
          </w:p>
        </w:tc>
      </w:tr>
      <w:tr>
        <w:trPr>
          <w:trHeight w:val="270"/>
        </w:trPr>
        <w:tc>
          <w:tcPr>
            <w:tcW w:w="4560" w:type="dxa"/>
            <w:vAlign w:val="bottom"/>
          </w:tcPr>
          <w:p>
            <w:pPr>
              <w:spacing w:after="0"/>
              <w:rPr>
                <w:sz w:val="23"/>
                <w:szCs w:val="23"/>
                <w:color w:val="auto"/>
              </w:rPr>
            </w:pPr>
          </w:p>
        </w:tc>
        <w:tc>
          <w:tcPr>
            <w:tcW w:w="6860" w:type="dxa"/>
            <w:vAlign w:val="bottom"/>
          </w:tcPr>
          <w:p>
            <w:pPr>
              <w:jc w:val="right"/>
              <w:ind w:right="89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456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6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Price</w:t>
            </w:r>
          </w:p>
        </w:tc>
        <w:tc>
          <w:tcPr>
            <w:tcW w:w="686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7"/>
        </w:trPr>
        <w:tc>
          <w:tcPr>
            <w:tcW w:w="456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6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686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7"/>
        </w:trPr>
        <w:tc>
          <w:tcPr>
            <w:tcW w:w="4560" w:type="dxa"/>
            <w:vAlign w:val="bottom"/>
          </w:tcPr>
          <w:p>
            <w:pPr>
              <w:spacing w:after="0"/>
              <w:rPr>
                <w:sz w:val="2"/>
                <w:szCs w:val="2"/>
                <w:color w:val="auto"/>
              </w:rPr>
            </w:pPr>
          </w:p>
        </w:tc>
        <w:tc>
          <w:tcPr>
            <w:tcW w:w="686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6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456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6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2.6 percent increase in net sales for Water in the first quarter of 2017 from 2016 was primarily driven by:</w:t>
      </w:r>
    </w:p>
    <w:p>
      <w:pPr>
        <w:spacing w:after="0" w:line="171"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core sales growth in our residential and commercial business, primarily as a result of increased volumes in the U.S.;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sales related to business acquisitions that occurred in the fourth quarter of 2016 and the first quarter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strong U.S. dollar causing unfavorable foreign currency effects during the three months ended March 31, 2017;</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core sales declines in certain developing regions, including the Middle East, Eastern Europe and Africa;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core sales declines in energy and infrastructure markets due to customer delays in capital spending.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the Water segment income from the prior period were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6440" w:type="dxa"/>
            <w:vAlign w:val="bottom"/>
          </w:tcPr>
          <w:p>
            <w:pPr>
              <w:jc w:val="right"/>
              <w:ind w:right="230"/>
              <w:spacing w:after="0"/>
              <w:rPr>
                <w:sz w:val="20"/>
                <w:szCs w:val="20"/>
                <w:color w:val="auto"/>
              </w:rPr>
            </w:pPr>
            <w:r>
              <w:rPr>
                <w:rFonts w:ascii="Arial" w:cs="Arial" w:eastAsia="Arial" w:hAnsi="Arial"/>
                <w:sz w:val="18"/>
                <w:szCs w:val="18"/>
                <w:b w:val="1"/>
                <w:bCs w:val="1"/>
                <w:color w:val="auto"/>
              </w:rPr>
              <w:t>Three months ended March 31, 2017</w:t>
            </w:r>
          </w:p>
        </w:tc>
        <w:tc>
          <w:tcPr>
            <w:tcW w:w="300" w:type="dxa"/>
            <w:vAlign w:val="bottom"/>
          </w:tcPr>
          <w:p>
            <w:pPr>
              <w:spacing w:after="0"/>
              <w:rPr>
                <w:sz w:val="20"/>
                <w:szCs w:val="20"/>
                <w:color w:val="auto"/>
              </w:rPr>
            </w:pPr>
          </w:p>
        </w:tc>
      </w:tr>
      <w:tr>
        <w:trPr>
          <w:trHeight w:val="270"/>
        </w:trPr>
        <w:tc>
          <w:tcPr>
            <w:tcW w:w="4640" w:type="dxa"/>
            <w:vAlign w:val="bottom"/>
          </w:tcPr>
          <w:p>
            <w:pPr>
              <w:spacing w:after="0"/>
              <w:rPr>
                <w:sz w:val="23"/>
                <w:szCs w:val="23"/>
                <w:color w:val="auto"/>
              </w:rPr>
            </w:pPr>
          </w:p>
        </w:tc>
        <w:tc>
          <w:tcPr>
            <w:tcW w:w="6440" w:type="dxa"/>
            <w:vAlign w:val="bottom"/>
          </w:tcPr>
          <w:p>
            <w:pPr>
              <w:jc w:val="right"/>
              <w:ind w:right="630"/>
              <w:spacing w:after="0"/>
              <w:rPr>
                <w:sz w:val="20"/>
                <w:szCs w:val="20"/>
                <w:color w:val="auto"/>
              </w:rPr>
            </w:pPr>
            <w:r>
              <w:rPr>
                <w:rFonts w:ascii="Arial" w:cs="Arial" w:eastAsia="Arial" w:hAnsi="Arial"/>
                <w:sz w:val="18"/>
                <w:szCs w:val="18"/>
                <w:b w:val="1"/>
                <w:bCs w:val="1"/>
                <w:color w:val="auto"/>
              </w:rPr>
              <w:t>over the prior year period</w:t>
            </w:r>
          </w:p>
        </w:tc>
        <w:tc>
          <w:tcPr>
            <w:tcW w:w="300" w:type="dxa"/>
            <w:vAlign w:val="bottom"/>
          </w:tcPr>
          <w:p>
            <w:pPr>
              <w:spacing w:after="0"/>
              <w:rPr>
                <w:sz w:val="23"/>
                <w:szCs w:val="23"/>
                <w:color w:val="auto"/>
              </w:rPr>
            </w:pPr>
          </w:p>
        </w:tc>
      </w:tr>
      <w:tr>
        <w:trPr>
          <w:trHeight w:val="34"/>
        </w:trPr>
        <w:tc>
          <w:tcPr>
            <w:tcW w:w="464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6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pts</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6740" w:type="dxa"/>
            <w:vAlign w:val="bottom"/>
            <w:gridSpan w:val="2"/>
          </w:tcPr>
          <w:p>
            <w:pPr>
              <w:jc w:val="right"/>
              <w:ind w:right="230"/>
              <w:spacing w:after="0"/>
              <w:rPr>
                <w:sz w:val="20"/>
                <w:szCs w:val="20"/>
                <w:color w:val="auto"/>
              </w:rPr>
            </w:pPr>
            <w:r>
              <w:rPr>
                <w:rFonts w:ascii="Arial" w:cs="Arial" w:eastAsia="Arial" w:hAnsi="Arial"/>
                <w:sz w:val="18"/>
                <w:szCs w:val="18"/>
                <w:color w:val="auto"/>
              </w:rPr>
              <w:t>(0.1)</w:t>
            </w:r>
          </w:p>
        </w:tc>
      </w:tr>
      <w:tr>
        <w:trPr>
          <w:trHeight w:val="27"/>
        </w:trPr>
        <w:tc>
          <w:tcPr>
            <w:tcW w:w="464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67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(1.1)</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Productivity/Price</w:t>
            </w:r>
          </w:p>
        </w:tc>
        <w:tc>
          <w:tcPr>
            <w:tcW w:w="644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1"/>
                <w:szCs w:val="21"/>
                <w:color w:val="auto"/>
              </w:rPr>
            </w:pPr>
          </w:p>
        </w:tc>
      </w:tr>
      <w:tr>
        <w:trPr>
          <w:trHeight w:val="27"/>
        </w:trPr>
        <w:tc>
          <w:tcPr>
            <w:tcW w:w="464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1"/>
              </w:rPr>
              <w:t>pts</w:t>
            </w:r>
          </w:p>
        </w:tc>
      </w:tr>
      <w:tr>
        <w:trPr>
          <w:trHeight w:val="20"/>
        </w:trPr>
        <w:tc>
          <w:tcPr>
            <w:tcW w:w="4640" w:type="dxa"/>
            <w:vAlign w:val="bottom"/>
            <w:tcBorders>
              <w:top w:val="single" w:sz="8" w:color="auto"/>
              <w:bottom w:val="single" w:sz="8" w:color="auto"/>
            </w:tcBorders>
          </w:tcPr>
          <w:p>
            <w:pPr>
              <w:spacing w:after="0" w:line="20" w:lineRule="exact"/>
              <w:rPr>
                <w:sz w:val="1"/>
                <w:szCs w:val="1"/>
                <w:color w:val="auto"/>
              </w:rPr>
            </w:pPr>
          </w:p>
        </w:tc>
        <w:tc>
          <w:tcPr>
            <w:tcW w:w="6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1.8 percentage point increase in segment income for Water as a percentage of net sales in the first quarter of 2017 from 2016 was primarily driven by:</w:t>
      </w:r>
    </w:p>
    <w:p>
      <w:pPr>
        <w:spacing w:after="0" w:line="194"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 and</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growth investments in research &amp; development and sales &amp; marketing.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Electrical</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the Electrical segment for the three months ended March 31, 2017 and 2016 were as follows: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20"/>
                <w:szCs w:val="20"/>
                <w:color w:val="auto"/>
              </w:rPr>
            </w:pPr>
          </w:p>
        </w:tc>
      </w:tr>
      <w:tr>
        <w:trPr>
          <w:trHeight w:val="34"/>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25"/>
        </w:trPr>
        <w:tc>
          <w:tcPr>
            <w:tcW w:w="6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9"/>
                <w:szCs w:val="19"/>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 / point</w:t>
            </w:r>
          </w:p>
        </w:tc>
      </w:tr>
      <w:tr>
        <w:trPr>
          <w:trHeight w:val="234"/>
        </w:trPr>
        <w:tc>
          <w:tcPr>
            <w:tcW w:w="67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change</w:t>
            </w:r>
          </w:p>
        </w:tc>
      </w:tr>
      <w:tr>
        <w:trPr>
          <w:trHeight w:val="34"/>
        </w:trPr>
        <w:tc>
          <w:tcPr>
            <w:tcW w:w="6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502.2</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524.6</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(4.3)%</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103.5</w:t>
            </w:r>
          </w:p>
        </w:tc>
        <w:tc>
          <w:tcPr>
            <w:tcW w:w="28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112.8</w:t>
            </w:r>
          </w:p>
        </w:tc>
        <w:tc>
          <w:tcPr>
            <w:tcW w:w="1360" w:type="dxa"/>
            <w:vAlign w:val="bottom"/>
          </w:tcPr>
          <w:p>
            <w:pPr>
              <w:ind w:left="720"/>
              <w:spacing w:after="0"/>
              <w:rPr>
                <w:sz w:val="20"/>
                <w:szCs w:val="20"/>
                <w:color w:val="auto"/>
              </w:rPr>
            </w:pPr>
            <w:r>
              <w:rPr>
                <w:rFonts w:ascii="Arial" w:cs="Arial" w:eastAsia="Arial" w:hAnsi="Arial"/>
                <w:sz w:val="18"/>
                <w:szCs w:val="18"/>
                <w:color w:val="auto"/>
              </w:rPr>
              <w:t>(8.2)%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67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20.6%</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21.5%</w:t>
            </w:r>
          </w:p>
        </w:tc>
        <w:tc>
          <w:tcPr>
            <w:tcW w:w="13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w w:val="93"/>
              </w:rPr>
              <w:t>(0.9) pts</w:t>
            </w:r>
          </w:p>
        </w:tc>
      </w:tr>
      <w:tr>
        <w:trPr>
          <w:trHeight w:val="27"/>
        </w:trPr>
        <w:tc>
          <w:tcPr>
            <w:tcW w:w="6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change in the Electrical segment net sales from the prior period were as follows: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840" w:type="dxa"/>
            <w:vAlign w:val="bottom"/>
          </w:tcPr>
          <w:p>
            <w:pPr>
              <w:jc w:val="right"/>
              <w:ind w:right="490"/>
              <w:spacing w:after="0"/>
              <w:rPr>
                <w:sz w:val="20"/>
                <w:szCs w:val="20"/>
                <w:color w:val="auto"/>
              </w:rPr>
            </w:pPr>
            <w:r>
              <w:rPr>
                <w:rFonts w:ascii="Arial" w:cs="Arial" w:eastAsia="Arial" w:hAnsi="Arial"/>
                <w:sz w:val="18"/>
                <w:szCs w:val="18"/>
                <w:b w:val="1"/>
                <w:bCs w:val="1"/>
                <w:color w:val="auto"/>
              </w:rPr>
              <w:t>Three months ended March 31, 2017</w:t>
            </w:r>
          </w:p>
        </w:tc>
      </w:tr>
      <w:tr>
        <w:trPr>
          <w:trHeight w:val="270"/>
        </w:trPr>
        <w:tc>
          <w:tcPr>
            <w:tcW w:w="4520" w:type="dxa"/>
            <w:vAlign w:val="bottom"/>
          </w:tcPr>
          <w:p>
            <w:pPr>
              <w:spacing w:after="0"/>
              <w:rPr>
                <w:sz w:val="23"/>
                <w:szCs w:val="23"/>
                <w:color w:val="auto"/>
              </w:rPr>
            </w:pPr>
          </w:p>
        </w:tc>
        <w:tc>
          <w:tcPr>
            <w:tcW w:w="6840" w:type="dxa"/>
            <w:vAlign w:val="bottom"/>
          </w:tcPr>
          <w:p>
            <w:pPr>
              <w:jc w:val="right"/>
              <w:ind w:right="89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452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Price</w:t>
            </w:r>
          </w:p>
        </w:tc>
        <w:tc>
          <w:tcPr>
            <w:tcW w:w="684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7"/>
        </w:trPr>
        <w:tc>
          <w:tcPr>
            <w:tcW w:w="452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6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684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45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7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6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7"/>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6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52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4.3 percent decrease in net sales for Electrical in the first quarter of 2017 from 2016 was primarily driven by:</w:t>
      </w:r>
    </w:p>
    <w:p>
      <w:pPr>
        <w:spacing w:after="0" w:line="171" w:lineRule="exact"/>
        <w:rPr>
          <w:sz w:val="20"/>
          <w:szCs w:val="20"/>
          <w:color w:val="auto"/>
        </w:rPr>
      </w:pPr>
    </w:p>
    <w:p>
      <w:pPr>
        <w:ind w:left="500" w:right="160" w:hanging="330"/>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core sales declines in the energy and infrastructure businesses, driven by lower project core sales volume for the three months ended March 31, 2017;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strong U.S. dollar causing unfavorable foreign currency effects during the three months ended March 31, 2017.</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core sales growth in our industrial and residential and commercial businesses;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sales related to a business acquisition that occurred in the first quarter of 2017;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the Electrical segment income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6740" w:type="dxa"/>
            <w:vAlign w:val="bottom"/>
          </w:tcPr>
          <w:p>
            <w:pPr>
              <w:jc w:val="right"/>
              <w:ind w:right="510"/>
              <w:spacing w:after="0"/>
              <w:rPr>
                <w:sz w:val="20"/>
                <w:szCs w:val="20"/>
                <w:color w:val="auto"/>
              </w:rPr>
            </w:pPr>
            <w:r>
              <w:rPr>
                <w:rFonts w:ascii="Arial" w:cs="Arial" w:eastAsia="Arial" w:hAnsi="Arial"/>
                <w:sz w:val="18"/>
                <w:szCs w:val="18"/>
                <w:b w:val="1"/>
                <w:bCs w:val="1"/>
                <w:color w:val="auto"/>
              </w:rPr>
              <w:t>Three months ended March 31, 2017</w:t>
            </w:r>
          </w:p>
        </w:tc>
      </w:tr>
      <w:tr>
        <w:trPr>
          <w:trHeight w:val="270"/>
        </w:trPr>
        <w:tc>
          <w:tcPr>
            <w:tcW w:w="4680" w:type="dxa"/>
            <w:vAlign w:val="bottom"/>
          </w:tcPr>
          <w:p>
            <w:pPr>
              <w:spacing w:after="0"/>
              <w:rPr>
                <w:sz w:val="23"/>
                <w:szCs w:val="23"/>
                <w:color w:val="auto"/>
              </w:rPr>
            </w:pPr>
          </w:p>
        </w:tc>
        <w:tc>
          <w:tcPr>
            <w:tcW w:w="6740" w:type="dxa"/>
            <w:vAlign w:val="bottom"/>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46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6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 pts</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Inflation</w:t>
            </w:r>
          </w:p>
        </w:tc>
        <w:tc>
          <w:tcPr>
            <w:tcW w:w="674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7"/>
        </w:trPr>
        <w:tc>
          <w:tcPr>
            <w:tcW w:w="468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6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r>
      <w:tr>
        <w:trPr>
          <w:trHeight w:val="222"/>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spacing w:after="0"/>
              <w:rPr>
                <w:sz w:val="20"/>
                <w:szCs w:val="20"/>
                <w:color w:val="auto"/>
              </w:rPr>
            </w:pPr>
          </w:p>
        </w:tc>
        <w:tc>
          <w:tcPr>
            <w:tcW w:w="6740" w:type="dxa"/>
            <w:vAlign w:val="bottom"/>
          </w:tcPr>
          <w:p>
            <w:pPr>
              <w:jc w:val="right"/>
              <w:spacing w:after="0"/>
              <w:rPr>
                <w:sz w:val="20"/>
                <w:szCs w:val="20"/>
                <w:color w:val="auto"/>
              </w:rPr>
            </w:pPr>
            <w:r>
              <w:rPr>
                <w:rFonts w:ascii="Arial" w:cs="Arial" w:eastAsia="Arial" w:hAnsi="Arial"/>
                <w:sz w:val="18"/>
                <w:szCs w:val="18"/>
                <w:color w:val="auto"/>
              </w:rPr>
              <w:t>(0.9 pts</w:t>
            </w:r>
          </w:p>
        </w:tc>
      </w:tr>
      <w:tr>
        <w:trPr>
          <w:trHeight w:val="27"/>
        </w:trPr>
        <w:tc>
          <w:tcPr>
            <w:tcW w:w="46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The 0.9 percentage point decrease in segment income for Electrical as a percentage of net sales in the first quarter of 2017 from 2016 was primarily driven by:</w:t>
      </w:r>
    </w:p>
    <w:p>
      <w:pPr>
        <w:spacing w:after="0" w:line="116"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core sales volumes in our energy and infrastructure businesses, which resulted in decreased leverage on 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333" w:lineRule="exact"/>
        <w:rPr>
          <w:sz w:val="20"/>
          <w:szCs w:val="20"/>
          <w:color w:val="auto"/>
        </w:rPr>
      </w:pPr>
    </w:p>
    <w:p>
      <w:pPr>
        <w:ind w:left="500" w:right="660" w:hanging="330"/>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core sales in our industrial and residential and commercial businesses during the three months ended March 31, 2017, which resulted in increased leverage on operating expenses;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intend to issue commercial paper to fund our financing needs on a short-term basis and to use our revolving credit facility as back-up liquidity to support commercial paper.</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experience seasonal cash flows primarily due to seasonal demand in a number of markets within both our Water and Electrical segments.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 Additionally, Electrical generally experiences increased demand for thermal protection products and services during the fall and winter months in the Northern Hemisphere and increased demand for electrical fastening products during the spring and summer months in the Northern Hemisphere.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Cash used for operating activities of continuing operations was $88.7 million in the first three months of 2017, compared to $17.7 million in the same period of 2016.</w:t>
      </w:r>
    </w:p>
    <w:p>
      <w:pPr>
        <w:spacing w:after="0" w:line="13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$88.7 million in net cash used for operating activities of continuing operations in the first three months of 2017 primarily reflects an increase in net working capital. Operating cash flows in the first three months of 2017 were negatively impacted by $221.2 million due to the increase in net working capital, primarily the result of increases in accounts receivable and inventories in anticipation of our peak sales season in the second and third quarters. The increase in net working capital was offset by $126.1 million of net income from continuing operations, net of non-cash depreciation and amortization.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$17.7 million in net cash used for operating activities of continuing operations in the first three months of 2016 primarily reflects an increase in net working capital of $146.3 million, offset by net income from continuing operations, net of non-cash depreciation and amortization of $136.9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Cash used for investing activities of continuing operations was $80.3 million in the first three months of 2017, compared to $27.7 million in the same period of 2016. Net cash used for investing activities of continuing operations in the first three months of 2017 relates to capital expenditures of $23.6 million and acquisitions, net of cash acquired of $56.7 million. Net cash used for investing activities of continuing operations in the first three months of 2016 relates primarily relates to capital expenditures of $32.8 million, partially offset by $5.4 million of proceeds from the sale of property and equipment.</w:t>
      </w:r>
    </w:p>
    <w:p>
      <w:pPr>
        <w:spacing w:after="0" w:line="1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anticipate capital expenditures for fiscal 2017 to be approximately $100 million, primarily for capacity expansions of manufacturing facilities, developing new products and general maintenance.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Net cash provided by financing activities was $169.0 million in the first three months of 2017, compared with net cash provided by financing activities of $77.2 million in the prior year period. Net cash provided by financing activities in the first three months of 2017 and 2016 primarily included net receipts of commercial paper and revolving long-term debt, partially offset by payment of dividends.</w:t>
      </w:r>
    </w:p>
    <w:p>
      <w:pPr>
        <w:spacing w:after="0" w:line="13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October 2014, Pentair plc, PISG, PFSA and Pentair, Inc. entered into an amended and restated credit agreement (the "Credit Facility"), with Pentair plc and PISG as guarantors and PFSA and Pentair, Inc. as borrowers. The Credit Facility had a maximum aggregate availability of $2,100.0 million and a maturity date of October 3, 2019. Borrowings under the Credit Facility generally bear interest at a variable rate equal to the London Interbank Offered Rate ("LIBOR") plus a specified margin based upon PFSA's credit ratings. PFSA must pay a facility fee ranging from 9.0 to 25.0 basis points per annum (based upon PFSA's credit ratings) on the amount of each lender's commitment and letter of credit fee for each letter of credit issued and outstanding under the Credit Facility.</w:t>
      </w:r>
    </w:p>
    <w:p>
      <w:pPr>
        <w:spacing w:after="0" w:line="10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August 2015, Pentair plc, Pentair Investment Switzerland GmbH ("PISG") and Pentair Finance S.A. ("PFSA") entered into a First Amendment to the Credit Facility (the "First Amendment"), which, among other things, increased the Leverage Ratio (as defined below). In September 2015, Pentair plc, PISG and PFSA entered into a Second Amendment to the Credit Facility (the "Second Amendment,"), which, among other things, increased the maximum aggregate availability to $2,500.0 million. Additionally, in September 2016, Pentair plc, PISG and PFSA entered into a Third Amendment to the Credit Facility (the "Third Amendment," and collectively with the First Amendment and the Second Amendment, the "Amendments"), which, among other things, increased the Leverage Ratio to the amounts specified below, and amended the definition of EBITDA to include earnings from discontinued operations for operations subject to a sale agreement until such disposition actually occurs.</w:t>
      </w:r>
    </w:p>
    <w:p>
      <w:pPr>
        <w:spacing w:after="0" w:line="12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Credit Facility. PFSA uses the Credit Facility as back-up liquidity to support 100% of commercial paper outstanding. As of March 31, 2017 and December 31, 2016, PFSA had $532.7 million and $398.7 million, respectively, of commercial paper outstanding, all of which was classified as long-term debt as we have the intent and the ability to refinance such obligations on a long-term basis under the Credit Facility.</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debt agreements contain certain financial covenants, the most restrictive of which are in the Credit Facility (as updated for the Amendments), including that we may not permit (i) the ratio of our consolidated debt plus synthetic lease obligations to our consolidated net income (excluding, among other things, non-cash gains and losses) before interest, taxes, depreciation, amortization, non-cash share-based compensation expense, up to a lifetime maximum $25.0 million of costs, fees and expenses incurred in connection with certain acquisitions, investments, dispositions and the issuance, repayment or refinancing of debt, ("EBITDA") for the four consecutive fiscal quarters then ended (the "Leverage Ratio") to exceed (a) 4.25 to 1.00 as of the last day of the period of four consecutive fiscal quarters ending on March 31, 2017; (b) 4.00 to 1.00 as of the last day of any period of four consecutive fiscal quarters ending on June 30, 2017; and (c) 3.50 to 1.00 as of the last day of the period of four consecutive fiscal quarters ending thereafter, and (ii) the ratio of our EBITDA for the four consecutive fiscal quarters 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March 31, 2017, we were in compliance with all financial covenants in our debt agreements.</w:t>
      </w:r>
    </w:p>
    <w:p>
      <w:pPr>
        <w:spacing w:after="0" w:line="1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availability under the Credit Facility was $1,295.4 million as of March 31, 2017, which was limited to $96.2 million by the maximum Leverage Ratio in the Credit Facility’s credit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the Credit Facility, we have various other credit facilities with an aggregate availability of $53.2 million, of which there were no outstanding borrowings at March 31, 2017. Borrowings under these credit facilities bear interest at variable rates.</w:t>
      </w:r>
    </w:p>
    <w:p>
      <w:pPr>
        <w:spacing w:after="0" w:line="11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March 31, 2017, we have $139.8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 we plan to utilize a portion of the proceeds from the sale of our Valves &amp; Controls business to retire a significant portion of outstanding debt, and thus reduce our future contractual obligations. We expect the sale of the Valves &amp; Controls business to be completed in the second quarter of 2017, subject to customary regulatory approvals and closing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December 2014, the Board of Directors authorized the repurchase of our ordinary shares up to a maximum dollar limit of $1.0 billion. The authorization expires on December 31, 2019. There were no share repurchases during the three months ended March 31, 2017 and 2016. As of March 31, 2017, we had $800.0 million remaining available for share repurchases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 xml:space="preserve">On February 21, 2017 the Board of Directors declared a quarterly cash dividend of $0.345 payable on May 5, 2017 to shareholders of record at the close of business on April 21, 2017. Additionally, on December 6, 2016, the Board of Directors declared a quarterly cash dividend of $0.345 that was paid on February 10, 2017 to shareholders of record at the close of business on January 27, 2017 and approved a plan to increase the 2017 annual cash dividend to $1.38, which is intended to be paid in four quarterly installments.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Consolidated Balance Sheets was $62.9 million and $61.8 million at March 31, 2017 and December 31, 2016, respectively.</w:t>
      </w:r>
    </w:p>
    <w:p>
      <w:pPr>
        <w:spacing w:after="0" w:line="2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paid dividends in the first three months of 2017 of $62.8 million, or $0.345 per ordinary share, compared with $60.1 million, or $0.33 per ordinary share, in the prior year period.</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Irish law, the payment of future cash dividends and redemptions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As of December 31, 2016, our distributable reserve balance was $9.4 billion.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operating performance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7"/>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 of the Notes to Condensed Consolidated Financial Statements for information pertaining to recently adopted accounting standards or accounting standards to be adopted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our 2016 Annual Report on Form 10-K, we identified the critical accounting policies which affect our more significant estimates and assumptions used in preparing our consolidated financial statements. We have not changed these policies from those previously disclosed in our Annual Report.</w:t>
      </w:r>
    </w:p>
    <w:p>
      <w:pPr>
        <w:spacing w:after="0" w:line="25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March 31, 2017. For additional information, refer to Item 7A of our 2016 Annual Report on Form 10-K.</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right="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2017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2017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1" w:lineRule="exact"/>
        <w:rPr>
          <w:rFonts w:ascii="Arial" w:cs="Arial" w:eastAsia="Arial" w:hAnsi="Arial"/>
          <w:sz w:val="18"/>
          <w:szCs w:val="18"/>
          <w:b w:val="1"/>
          <w:bCs w:val="1"/>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March 31, 2017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developments from the disclosures contained in our 2016 Annual Report on Form 10-K.</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of our 2016 Annual Report on Form 10-K.</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first quarter of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(b)</w:t>
            </w:r>
          </w:p>
        </w:tc>
        <w:tc>
          <w:tcPr>
            <w:tcW w:w="20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(c)</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9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Total number of shares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Dollar value of shares</w:t>
            </w:r>
          </w:p>
        </w:tc>
      </w:tr>
      <w:tr>
        <w:trPr>
          <w:trHeight w:val="216"/>
        </w:trPr>
        <w:tc>
          <w:tcPr>
            <w:tcW w:w="2920" w:type="dxa"/>
            <w:vAlign w:val="bottom"/>
          </w:tcPr>
          <w:p>
            <w:pPr>
              <w:spacing w:after="0"/>
              <w:rPr>
                <w:sz w:val="18"/>
                <w:szCs w:val="18"/>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92"/>
              </w:rPr>
              <w:t>Total number</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purchased as part of</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2920" w:type="dxa"/>
            <w:vAlign w:val="bottom"/>
          </w:tcPr>
          <w:p>
            <w:pPr>
              <w:spacing w:after="0"/>
              <w:rPr>
                <w:sz w:val="18"/>
                <w:szCs w:val="18"/>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Average price</w:t>
            </w:r>
          </w:p>
        </w:tc>
        <w:tc>
          <w:tcPr>
            <w:tcW w:w="200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publicly announced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2920" w:type="dxa"/>
            <w:vAlign w:val="bottom"/>
          </w:tcPr>
          <w:p>
            <w:pPr>
              <w:ind w:left="1520"/>
              <w:spacing w:after="0"/>
              <w:rPr>
                <w:sz w:val="20"/>
                <w:szCs w:val="20"/>
                <w:color w:val="auto"/>
              </w:rPr>
            </w:pPr>
            <w:r>
              <w:rPr>
                <w:rFonts w:ascii="Arial" w:cs="Arial" w:eastAsia="Arial" w:hAnsi="Arial"/>
                <w:sz w:val="18"/>
                <w:szCs w:val="18"/>
                <w:b w:val="1"/>
                <w:bCs w:val="1"/>
                <w:color w:val="auto"/>
              </w:rPr>
              <w:t>Period</w:t>
            </w: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85"/>
              </w:rPr>
              <w:t>purchased</w:t>
            </w:r>
          </w:p>
        </w:tc>
        <w:tc>
          <w:tcPr>
            <w:tcW w:w="20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paid per share</w:t>
            </w:r>
          </w:p>
        </w:tc>
        <w:tc>
          <w:tcPr>
            <w:tcW w:w="200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plans or programs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plans or programs</w:t>
            </w:r>
          </w:p>
        </w:tc>
      </w:tr>
      <w:tr>
        <w:trPr>
          <w:trHeight w:val="34"/>
        </w:trPr>
        <w:tc>
          <w:tcPr>
            <w:tcW w:w="2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28</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58.01</w:t>
            </w:r>
          </w:p>
        </w:tc>
        <w:tc>
          <w:tcPr>
            <w:tcW w:w="2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800,000,049</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January 29 - February 25</w:t>
            </w:r>
          </w:p>
        </w:tc>
        <w:tc>
          <w:tcPr>
            <w:tcW w:w="2180" w:type="dxa"/>
            <w:vAlign w:val="bottom"/>
          </w:tcPr>
          <w:p>
            <w:pPr>
              <w:jc w:val="right"/>
              <w:spacing w:after="0"/>
              <w:rPr>
                <w:sz w:val="20"/>
                <w:szCs w:val="20"/>
                <w:color w:val="auto"/>
              </w:rPr>
            </w:pPr>
            <w:r>
              <w:rPr>
                <w:rFonts w:ascii="Arial" w:cs="Arial" w:eastAsia="Arial" w:hAnsi="Arial"/>
                <w:sz w:val="18"/>
                <w:szCs w:val="18"/>
                <w:color w:val="auto"/>
              </w:rPr>
              <w:t>3,524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56.73</w:t>
            </w:r>
          </w:p>
        </w:tc>
        <w:tc>
          <w:tcPr>
            <w:tcW w:w="20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800,000,049</w:t>
            </w:r>
          </w:p>
        </w:tc>
      </w:tr>
      <w:tr>
        <w:trPr>
          <w:trHeight w:val="27"/>
        </w:trPr>
        <w:tc>
          <w:tcPr>
            <w:tcW w:w="29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5"/>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26 - March 31</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59.55</w:t>
            </w:r>
          </w:p>
        </w:tc>
        <w:tc>
          <w:tcPr>
            <w:tcW w:w="2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800,000,049</w:t>
            </w:r>
          </w:p>
        </w:tc>
      </w:tr>
      <w:tr>
        <w:trPr>
          <w:trHeight w:val="237"/>
        </w:trPr>
        <w:tc>
          <w:tcPr>
            <w:tcW w:w="2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110,605</w:t>
            </w: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140" w:hanging="330"/>
        <w:spacing w:after="0" w:line="279"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purchases in this column include 68,394 shares for the period January 1 - January 28, 3,524 shares for the period January 29 - February 25 and 38,687 shares for the period February 26 - March 31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17" w:lineRule="exact"/>
        <w:rPr>
          <w:rFonts w:ascii="Arial" w:cs="Arial" w:eastAsia="Arial" w:hAnsi="Arial"/>
          <w:sz w:val="17"/>
          <w:szCs w:val="17"/>
          <w:color w:val="auto"/>
        </w:rPr>
      </w:pPr>
    </w:p>
    <w:p>
      <w:pPr>
        <w:ind w:left="500" w:right="20" w:hanging="330"/>
        <w:spacing w:after="0" w:line="342"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500" w:right="220" w:hanging="330"/>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a maximum dollar limit of $1.0 billion.</w:t>
      </w:r>
    </w:p>
    <w:p>
      <w:pPr>
        <w:spacing w:after="0" w:line="116" w:lineRule="exact"/>
        <w:rPr>
          <w:rFonts w:ascii="Arial" w:cs="Arial" w:eastAsia="Arial" w:hAnsi="Arial"/>
          <w:sz w:val="18"/>
          <w:szCs w:val="18"/>
          <w:color w:val="auto"/>
        </w:rPr>
      </w:pPr>
    </w:p>
    <w:p>
      <w:pPr>
        <w:ind w:left="500" w:right="700" w:hanging="330"/>
        <w:spacing w:after="0" w:line="342"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December 2014, our Board of Directors authorized the repurchase of our ordinary shares up to a maximum dollar limit of $1.0 billion. This authorization expires on December 31, 2019. We have $800.0 million remaining availability for repurchases under the 2014 authorization.</w:t>
      </w: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25,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31750</wp:posOffset>
            </wp:positionV>
            <wp:extent cx="2889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 Chief Financial Officer</w:t>
      </w:r>
    </w:p>
    <w:p>
      <w:pPr>
        <w:spacing w:after="0" w:line="38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31750</wp:posOffset>
            </wp:positionV>
            <wp:extent cx="2889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Senior Vice President, Chief Accounting Officer and</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122" w:right="39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 to Form 10-Q for the Period Ended March 31, 2017</w:t>
      </w:r>
    </w:p>
    <w:p>
      <w:pPr>
        <w:spacing w:after="0" w:line="360"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color w:val="auto"/>
        </w:rPr>
        <w:t>Certification of Chief Executive Officer.</w:t>
      </w:r>
    </w:p>
    <w:p>
      <w:pPr>
        <w:spacing w:after="0" w:line="18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7"/>
          <w:szCs w:val="17"/>
          <w:color w:val="auto"/>
        </w:rPr>
        <w:t>Certification of Chief Financial Officer.</w:t>
      </w:r>
    </w:p>
    <w:p>
      <w:pPr>
        <w:spacing w:after="0" w:line="18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66"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960" w:hanging="790"/>
        <w:spacing w:after="0" w:line="255" w:lineRule="auto"/>
        <w:tabs>
          <w:tab w:leader="none" w:pos="9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March 31, 2017 are filed herewith, formatted in XBRL (Extensible Business Reporting Language): (i) the Condensed Consolidated Statements of Operations and Comprehensive Income (Loss) for the three months ended March 31, 2017 and 2016, (ii) the Condensed Consolidated Balance Sheets as of March 31, 2017 and December 31, 2016, (iii) the Condensed Consolidated Statements of Cash Flows for the three months ended March 31, 2017 and 2016, (iv) the Condensed Consolidated Statements of Changes in Equity for the three months ended March 31, 2017 and 2016, and (v) Notes to Condensed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Randall J. Hogan, certify that:</w:t>
      </w:r>
    </w:p>
    <w:p>
      <w:pPr>
        <w:spacing w:after="0" w:line="225" w:lineRule="exact"/>
        <w:rPr>
          <w:sz w:val="20"/>
          <w:szCs w:val="20"/>
          <w:color w:val="auto"/>
        </w:rPr>
      </w:pPr>
    </w:p>
    <w:p>
      <w:pPr>
        <w:ind w:left="280" w:hanging="258"/>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25, 2017</w:t>
      </w:r>
      <w:r>
        <w:rPr>
          <w:sz w:val="20"/>
          <w:szCs w:val="20"/>
          <w:color w:val="auto"/>
        </w:rPr>
        <w:tab/>
      </w:r>
      <w:r>
        <w:rPr>
          <w:rFonts w:ascii="Arial" w:cs="Arial" w:eastAsia="Arial" w:hAnsi="Arial"/>
          <w:sz w:val="16"/>
          <w:szCs w:val="16"/>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Randall J. Hogan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25, 2017</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March 31, 2017 as filed with the Securities and Exchange Commission on the date hereof (the “Report”), I, Randall J. Hogan, Chairman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25, 2017</w:t>
      </w:r>
      <w:r>
        <w:rPr>
          <w:sz w:val="20"/>
          <w:szCs w:val="20"/>
          <w:color w:val="auto"/>
        </w:rPr>
        <w:tab/>
      </w:r>
      <w:r>
        <w:rPr>
          <w:rFonts w:ascii="Arial" w:cs="Arial" w:eastAsia="Arial" w:hAnsi="Arial"/>
          <w:sz w:val="16"/>
          <w:szCs w:val="16"/>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Randall J. Hogan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March 31, 2017 as filed with the Securities and Exchange Commission on the date hereof (the “Report”), I, John L. Stauch, Executive Vice President and Chief Financial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25, 2017</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6"/>
    </w:lvl>
  </w:abstractNum>
  <w:abstractNum w:abstractNumId="7">
    <w:nsid w:val="836C40E"/>
    <w:multiLevelType w:val="hybridMultilevel"/>
    <w:lvl w:ilvl="0">
      <w:lvlJc w:val="left"/>
      <w:lvlText w:val="%1."/>
      <w:numFmt w:val="decimal"/>
      <w:start w:val="7"/>
    </w:lvl>
  </w:abstractNum>
  <w:abstractNum w:abstractNumId="8">
    <w:nsid w:val="2901D82"/>
    <w:multiLevelType w:val="hybridMultilevel"/>
    <w:lvl w:ilvl="0">
      <w:lvlJc w:val="left"/>
      <w:lvlText w:val="%1."/>
      <w:numFmt w:val="decimal"/>
      <w:start w:val="8"/>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9"/>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lvl w:ilvl="1">
      <w:lvlJc w:val="left"/>
      <w:lvlText w:val="(%2)"/>
      <w:numFmt w:val="decimal"/>
      <w:start w:val="1"/>
    </w:lvl>
  </w:abstractNum>
  <w:abstractNum w:abstractNumId="13">
    <w:nsid w:val="737B8DDC"/>
    <w:multiLevelType w:val="hybridMultilevel"/>
    <w:lvl w:ilvl="0">
      <w:lvlJc w:val="left"/>
      <w:lvlText w:val="%1."/>
      <w:numFmt w:val="decimal"/>
      <w:start w:val="10"/>
    </w:lvl>
    <w:lvl w:ilvl="1">
      <w:lvlJc w:val="left"/>
      <w:lvlText w:val="%2"/>
      <w:numFmt w:val="decimal"/>
      <w:start w:val="1"/>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1."/>
      <w:numFmt w:val="decimal"/>
      <w:start w:val="12"/>
    </w:lvl>
  </w:abstractNum>
  <w:abstractNum w:abstractNumId="16">
    <w:nsid w:val="4516DDE9"/>
    <w:multiLevelType w:val="hybridMultilevel"/>
    <w:lvl w:ilvl="0">
      <w:lvlJc w:val="left"/>
      <w:lvlText w:val="%1."/>
      <w:numFmt w:val="decimal"/>
      <w:start w:val="13"/>
    </w:lvl>
  </w:abstractNum>
  <w:abstractNum w:abstractNumId="17">
    <w:nsid w:val="3006C83E"/>
    <w:multiLevelType w:val="hybridMultilevel"/>
    <w:lvl w:ilvl="0">
      <w:lvlJc w:val="left"/>
      <w:lvlText w:val="%1."/>
      <w:numFmt w:val="decimal"/>
      <w:start w:val="14"/>
    </w:lvl>
  </w:abstractNum>
  <w:abstractNum w:abstractNumId="18">
    <w:nsid w:val="614FD4A1"/>
    <w:multiLevelType w:val="hybridMultilevel"/>
    <w:lvl w:ilvl="0">
      <w:lvlJc w:val="left"/>
      <w:lvlText w:val="%1."/>
      <w:numFmt w:val="decimal"/>
      <w:start w:val="15"/>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decimal"/>
      <w:start w:val="10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2020-01-17T02:12:06Z</dcterms:created>
  <dcterms:modified xsi:type="dcterms:W3CDTF">2020-01-17T02:12:06Z</dcterms:modified>
</cp:coreProperties>
</file>