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tbl>
      <w:tblPr>
        <w:tblW w:w="9836" w:type="dxa"/>
        <w:jc w:val="left"/>
        <w:tblInd w:w="0" w:type="dxa"/>
        <w:tblCellMar>
          <w:top w:w="28" w:type="dxa"/>
          <w:left w:w="28" w:type="dxa"/>
          <w:bottom w:w="28" w:type="dxa"/>
          <w:right w:w="28" w:type="dxa"/>
        </w:tblCellMar>
      </w:tblPr>
      <w:tblGrid>
        <w:gridCol w:w="124"/>
        <w:gridCol w:w="109"/>
        <w:gridCol w:w="109"/>
        <w:gridCol w:w="2781"/>
        <w:gridCol w:w="2781"/>
        <w:gridCol w:w="393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393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tc>
      </w:tr>
    </w:tbl>
    <w:p>
      <w:pPr>
        <w:pStyle w:val="TextBody"/>
        <w:spacing w:lineRule="auto" w:line="288" w:before="0" w:after="0"/>
        <w:jc w:val="center"/>
        <w:rPr/>
      </w:pPr>
      <w:r>
        <w:rPr>
          <w:rFonts w:ascii="Times New Roman;sans-serif" w:hAnsi="Times New Roman;sans-serif"/>
          <w:b w:val="false"/>
          <w:color w:val="000000"/>
          <w:sz w:val="20"/>
        </w:rPr>
        <w:t>OR</w:t>
      </w:r>
      <w:r>
        <w:rPr>
          <w:color w:val="000000"/>
        </w:rPr>
        <w:t> </w:t>
      </w:r>
    </w:p>
    <w:tbl>
      <w:tblPr>
        <w:tblW w:w="9806" w:type="dxa"/>
        <w:jc w:val="left"/>
        <w:tblInd w:w="0" w:type="dxa"/>
        <w:tblCellMar>
          <w:top w:w="28" w:type="dxa"/>
          <w:left w:w="28" w:type="dxa"/>
          <w:bottom w:w="28" w:type="dxa"/>
          <w:right w:w="28" w:type="dxa"/>
        </w:tblCellMar>
      </w:tblPr>
      <w:tblGrid>
        <w:gridCol w:w="124"/>
        <w:gridCol w:w="109"/>
        <w:gridCol w:w="109"/>
        <w:gridCol w:w="2771"/>
        <w:gridCol w:w="2771"/>
        <w:gridCol w:w="392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392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val="false"/>
          <w:color w:val="000000"/>
          <w:sz w:val="20"/>
        </w:rPr>
        <w:t>Commission file number:</w:t>
      </w:r>
      <w:r>
        <w:rPr>
          <w:color w:val="000000"/>
        </w:rPr>
        <w:t xml:space="preserve"> </w:t>
      </w:r>
      <w:r>
        <w:rPr>
          <w:rFonts w:ascii="Times New Roman;sans-serif" w:hAnsi="Times New Roman;sans-serif"/>
          <w:b/>
          <w:color w:val="000000"/>
          <w:sz w:val="20"/>
        </w:rPr>
        <w:t xml:space="preserve">001-11625 </w:t>
      </w:r>
    </w:p>
    <w:p>
      <w:pPr>
        <w:pStyle w:val="TextBody"/>
        <w:spacing w:before="100" w:after="283"/>
        <w:jc w:val="center"/>
        <w:rPr/>
      </w:pPr>
      <w:r>
        <w:rPr/>
        <w:drawing>
          <wp:inline distT="0" distB="63500" distL="0" distR="0">
            <wp:extent cx="21812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552450"/>
                    </a:xfrm>
                    <a:prstGeom prst="rect">
                      <a:avLst/>
                    </a:prstGeom>
                  </pic:spPr>
                </pic:pic>
              </a:graphicData>
            </a:graphic>
          </wp:inline>
        </w:drawing>
      </w:r>
    </w:p>
    <w:tbl>
      <w:tblPr>
        <w:tblW w:w="1095" w:type="dxa"/>
        <w:jc w:val="center"/>
        <w:tblInd w:w="0" w:type="dxa"/>
        <w:tblCellMar>
          <w:top w:w="28" w:type="dxa"/>
          <w:left w:w="28" w:type="dxa"/>
          <w:bottom w:w="28" w:type="dxa"/>
          <w:right w:w="28" w:type="dxa"/>
        </w:tblCellMar>
      </w:tblPr>
      <w:tblGrid>
        <w:gridCol w:w="351"/>
        <w:gridCol w:w="308"/>
        <w:gridCol w:w="436"/>
      </w:tblGrid>
      <w:tr>
        <w:trPr/>
        <w:tc>
          <w:tcPr>
            <w:tcW w:w="35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10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Pentair plc</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9146" w:type="dxa"/>
        <w:jc w:val="left"/>
        <w:tblInd w:w="0" w:type="dxa"/>
        <w:tblCellMar>
          <w:top w:w="28" w:type="dxa"/>
          <w:left w:w="28" w:type="dxa"/>
          <w:bottom w:w="28" w:type="dxa"/>
          <w:right w:w="28" w:type="dxa"/>
        </w:tblCellMar>
      </w:tblPr>
      <w:tblGrid>
        <w:gridCol w:w="465"/>
        <w:gridCol w:w="409"/>
        <w:gridCol w:w="409"/>
        <w:gridCol w:w="460"/>
        <w:gridCol w:w="460"/>
        <w:gridCol w:w="460"/>
        <w:gridCol w:w="460"/>
        <w:gridCol w:w="460"/>
        <w:gridCol w:w="460"/>
        <w:gridCol w:w="415"/>
        <w:gridCol w:w="415"/>
        <w:gridCol w:w="415"/>
        <w:gridCol w:w="331"/>
        <w:gridCol w:w="331"/>
        <w:gridCol w:w="331"/>
        <w:gridCol w:w="331"/>
        <w:gridCol w:w="331"/>
        <w:gridCol w:w="331"/>
        <w:gridCol w:w="499"/>
        <w:gridCol w:w="499"/>
        <w:gridCol w:w="502"/>
        <w:gridCol w:w="109"/>
        <w:gridCol w:w="109"/>
        <w:gridCol w:w="154"/>
      </w:tblGrid>
      <w:tr>
        <w:trPr/>
        <w:tc>
          <w:tcPr>
            <w:tcW w:w="465"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88"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385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98-1141328</w:t>
            </w:r>
          </w:p>
        </w:tc>
      </w:tr>
      <w:tr>
        <w:trPr/>
        <w:tc>
          <w:tcPr>
            <w:tcW w:w="5288"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48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Regal House, 70 London Road, </w:t>
            </w:r>
          </w:p>
        </w:tc>
        <w:tc>
          <w:tcPr>
            <w:tcW w:w="12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Twickenham,</w:t>
            </w:r>
          </w:p>
        </w:tc>
        <w:tc>
          <w:tcPr>
            <w:tcW w:w="99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London, </w:t>
            </w:r>
          </w:p>
        </w:tc>
        <w:tc>
          <w:tcPr>
            <w:tcW w:w="99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TW13QS</w:t>
            </w:r>
          </w:p>
        </w:tc>
        <w:tc>
          <w:tcPr>
            <w:tcW w:w="15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Kingdom</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7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 xml:space="preserve">44-74-9421-6154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268" w:type="dxa"/>
        <w:jc w:val="center"/>
        <w:tblInd w:w="0" w:type="dxa"/>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nominal value $0.01 per share</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PNR</w:t>
            </w:r>
          </w:p>
        </w:tc>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8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20" w:after="283"/>
        <w:jc w:val="both"/>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r>
        <w:rPr>
          <w:color w:val="000000"/>
        </w:rPr>
        <w:t> </w:t>
      </w:r>
    </w:p>
    <w:tbl>
      <w:tblPr>
        <w:tblW w:w="9871" w:type="dxa"/>
        <w:jc w:val="left"/>
        <w:tblInd w:w="0" w:type="dxa"/>
        <w:tblCellMar>
          <w:top w:w="28" w:type="dxa"/>
          <w:left w:w="28" w:type="dxa"/>
          <w:bottom w:w="28" w:type="dxa"/>
          <w:right w:w="28" w:type="dxa"/>
        </w:tblCellMar>
      </w:tblPr>
      <w:tblGrid>
        <w:gridCol w:w="695"/>
        <w:gridCol w:w="611"/>
        <w:gridCol w:w="613"/>
        <w:gridCol w:w="109"/>
        <w:gridCol w:w="109"/>
        <w:gridCol w:w="109"/>
        <w:gridCol w:w="480"/>
        <w:gridCol w:w="480"/>
        <w:gridCol w:w="481"/>
        <w:gridCol w:w="109"/>
        <w:gridCol w:w="109"/>
        <w:gridCol w:w="109"/>
        <w:gridCol w:w="600"/>
        <w:gridCol w:w="600"/>
        <w:gridCol w:w="601"/>
        <w:gridCol w:w="109"/>
        <w:gridCol w:w="109"/>
        <w:gridCol w:w="109"/>
        <w:gridCol w:w="505"/>
        <w:gridCol w:w="505"/>
        <w:gridCol w:w="506"/>
        <w:gridCol w:w="109"/>
        <w:gridCol w:w="109"/>
        <w:gridCol w:w="109"/>
        <w:gridCol w:w="504"/>
        <w:gridCol w:w="504"/>
        <w:gridCol w:w="506"/>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w:t>
              <w:br/>
              <w:t>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w:t>
              <w:br/>
              <w:t>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00" w:after="10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164,950,305 shares of Registrant’s common stock were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spacing w:lineRule="auto" w:line="288" w:before="0" w:after="0"/>
        <w:rPr>
          <w:color w:val="000000"/>
        </w:rPr>
      </w:pPr>
      <w:r>
        <w:rPr>
          <w:color w:val="000000"/>
        </w:rPr>
        <w:t> </w:t>
      </w:r>
    </w:p>
    <w:tbl>
      <w:tblPr>
        <w:tblW w:w="9646" w:type="dxa"/>
        <w:jc w:val="left"/>
        <w:tblInd w:w="0" w:type="dxa"/>
        <w:tblCellMar>
          <w:top w:w="28" w:type="dxa"/>
          <w:left w:w="28" w:type="dxa"/>
          <w:bottom w:w="28" w:type="dxa"/>
          <w:right w:w="28" w:type="dxa"/>
        </w:tblCellMar>
      </w:tblPr>
      <w:tblGrid>
        <w:gridCol w:w="621"/>
        <w:gridCol w:w="545"/>
        <w:gridCol w:w="545"/>
        <w:gridCol w:w="2439"/>
        <w:gridCol w:w="2439"/>
        <w:gridCol w:w="2486"/>
        <w:gridCol w:w="167"/>
        <w:gridCol w:w="167"/>
        <w:gridCol w:w="237"/>
      </w:tblGrid>
      <w:tr>
        <w:trPr/>
        <w:tc>
          <w:tcPr>
            <w:tcW w:w="621"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439" w:type="dxa"/>
            <w:tcBorders/>
            <w:shd w:fill="auto" w:val="clear"/>
            <w:vAlign w:val="center"/>
          </w:tcPr>
          <w:p>
            <w:pPr>
              <w:pStyle w:val="TableContents"/>
              <w:spacing w:before="0" w:after="283"/>
              <w:rPr>
                <w:sz w:val="4"/>
                <w:szCs w:val="4"/>
              </w:rPr>
            </w:pPr>
            <w:r>
              <w:rPr>
                <w:sz w:val="4"/>
                <w:szCs w:val="4"/>
              </w:rPr>
            </w:r>
          </w:p>
        </w:tc>
        <w:tc>
          <w:tcPr>
            <w:tcW w:w="2439" w:type="dxa"/>
            <w:tcBorders/>
            <w:shd w:fill="auto" w:val="clear"/>
            <w:vAlign w:val="center"/>
          </w:tcPr>
          <w:p>
            <w:pPr>
              <w:pStyle w:val="TableContents"/>
              <w:spacing w:before="0" w:after="283"/>
              <w:rPr>
                <w:sz w:val="4"/>
                <w:szCs w:val="4"/>
              </w:rPr>
            </w:pPr>
            <w:r>
              <w:rPr>
                <w:sz w:val="4"/>
                <w:szCs w:val="4"/>
              </w:rPr>
            </w:r>
          </w:p>
        </w:tc>
        <w:tc>
          <w:tcPr>
            <w:tcW w:w="248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907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0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7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 FINANCIAL INFORMATION</w:t>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0">
              <w:r>
                <w:rPr>
                  <w:rStyle w:val="InternetLink"/>
                  <w:rFonts w:ascii="Times New Roman;sans-serif" w:hAnsi="Times New Roman;sans-serif"/>
                  <w:b w:val="false"/>
                  <w:color w:val="0000FF"/>
                  <w:sz w:val="20"/>
                  <w:u w:val="single"/>
                </w:rPr>
                <w:t>Financial Statements (unaudited)</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3">
              <w:r>
                <w:rPr>
                  <w:rStyle w:val="InternetLink"/>
                  <w:rFonts w:ascii="Times New Roman;sans-serif" w:hAnsi="Times New Roman;sans-serif"/>
                  <w:b w:val="false"/>
                  <w:color w:val="0000FF"/>
                  <w:sz w:val="20"/>
                  <w:u w:val="single"/>
                </w:rPr>
                <w:t>Condensed Consolidated Statements of Operations and Comprehensive Income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3">
              <w:r>
                <w:rPr>
                  <w:rStyle w:val="InternetLink"/>
                  <w:rFonts w:ascii="Times New Roman;sans-serif" w:hAnsi="Times New Roman;sans-serif"/>
                  <w:b w:val="false"/>
                  <w:color w:val="0000FF"/>
                  <w:sz w:val="20"/>
                  <w:u w:val="single"/>
                </w:rPr>
                <w:t>3</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6">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6">
              <w:r>
                <w:rPr>
                  <w:rStyle w:val="InternetLink"/>
                  <w:rFonts w:ascii="Times New Roman;sans-serif" w:hAnsi="Times New Roman;sans-serif"/>
                  <w:b w:val="false"/>
                  <w:color w:val="0000FF"/>
                  <w:sz w:val="20"/>
                  <w:u w:val="single"/>
                </w:rPr>
                <w:t>4</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9">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9">
              <w:r>
                <w:rPr>
                  <w:rStyle w:val="InternetLink"/>
                  <w:rFonts w:ascii="Times New Roman;sans-serif" w:hAnsi="Times New Roman;sans-serif"/>
                  <w:b w:val="false"/>
                  <w:color w:val="0000FF"/>
                  <w:sz w:val="20"/>
                  <w:u w:val="single"/>
                </w:rPr>
                <w:t>5</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22">
              <w:r>
                <w:rPr>
                  <w:rStyle w:val="InternetLink"/>
                  <w:rFonts w:ascii="Times New Roman;sans-serif" w:hAnsi="Times New Roman;sans-serif"/>
                  <w:b w:val="false"/>
                  <w:color w:val="0000FF"/>
                  <w:sz w:val="20"/>
                  <w:u w:val="single"/>
                </w:rPr>
                <w:t>Condensed Consolidated Statements of Changes in Equity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22">
              <w:r>
                <w:rPr>
                  <w:rStyle w:val="InternetLink"/>
                  <w:rFonts w:ascii="Times New Roman;sans-serif" w:hAnsi="Times New Roman;sans-serif"/>
                  <w:b w:val="false"/>
                  <w:color w:val="0000FF"/>
                  <w:sz w:val="20"/>
                  <w:u w:val="single"/>
                </w:rPr>
                <w:t>6</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25">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25">
              <w:r>
                <w:rPr>
                  <w:rStyle w:val="InternetLink"/>
                  <w:rFonts w:ascii="Times New Roman;sans-serif" w:hAnsi="Times New Roman;sans-serif"/>
                  <w:b w:val="false"/>
                  <w:color w:val="0000FF"/>
                  <w:sz w:val="20"/>
                  <w:u w:val="single"/>
                </w:rPr>
                <w:t>7</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79">
              <w:r>
                <w:rPr>
                  <w:rStyle w:val="InternetLink"/>
                  <w:rFonts w:ascii="Times New Roman;sans-serif" w:hAnsi="Times New Roman;sans-serif"/>
                  <w:b w:val="false"/>
                  <w:color w:val="0000FF"/>
                  <w:sz w:val="20"/>
                  <w:u w:val="single"/>
                </w:rPr>
                <w:t>22</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00">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00">
              <w:r>
                <w:rPr>
                  <w:rStyle w:val="InternetLink"/>
                  <w:rFonts w:ascii="Times New Roman;sans-serif" w:hAnsi="Times New Roman;sans-serif"/>
                  <w:b w:val="false"/>
                  <w:color w:val="0000FF"/>
                  <w:sz w:val="20"/>
                  <w:u w:val="single"/>
                </w:rPr>
                <w:t>34</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03">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03">
              <w:r>
                <w:rPr>
                  <w:rStyle w:val="InternetLink"/>
                  <w:rFonts w:ascii="Times New Roman;sans-serif" w:hAnsi="Times New Roman;sans-serif"/>
                  <w:b w:val="false"/>
                  <w:color w:val="0000FF"/>
                  <w:sz w:val="20"/>
                  <w:u w:val="single"/>
                </w:rPr>
                <w:t>35</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7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 OTHER INFORMATION</w:t>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06">
              <w:r>
                <w:rPr>
                  <w:rStyle w:val="InternetLink"/>
                  <w:rFonts w:ascii="Times New Roman;sans-serif" w:hAnsi="Times New Roman;sans-serif"/>
                  <w:b w:val="false"/>
                  <w:color w:val="0000FF"/>
                  <w:sz w:val="20"/>
                  <w:u w:val="single"/>
                </w:rPr>
                <w:t>Legal Proceedings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06">
              <w:r>
                <w:rPr>
                  <w:rStyle w:val="InternetLink"/>
                  <w:rFonts w:ascii="Times New Roman;sans-serif" w:hAnsi="Times New Roman;sans-serif"/>
                  <w:b w:val="false"/>
                  <w:color w:val="0000FF"/>
                  <w:sz w:val="20"/>
                  <w:u w:val="single"/>
                </w:rPr>
                <w:t>35</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09">
              <w:r>
                <w:rPr>
                  <w:rStyle w:val="InternetLink"/>
                  <w:rFonts w:ascii="Times New Roman;sans-serif" w:hAnsi="Times New Roman;sans-serif"/>
                  <w:b w:val="false"/>
                  <w:color w:val="0000FF"/>
                  <w:sz w:val="20"/>
                  <w:u w:val="single"/>
                </w:rPr>
                <w:t>Risk Factors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09">
              <w:r>
                <w:rPr>
                  <w:rStyle w:val="InternetLink"/>
                  <w:rFonts w:ascii="Times New Roman;sans-serif" w:hAnsi="Times New Roman;sans-serif"/>
                  <w:b w:val="false"/>
                  <w:color w:val="0000FF"/>
                  <w:sz w:val="20"/>
                  <w:u w:val="single"/>
                </w:rPr>
                <w:t>35</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12">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12">
              <w:r>
                <w:rPr>
                  <w:rStyle w:val="InternetLink"/>
                  <w:rFonts w:ascii="Times New Roman;sans-serif" w:hAnsi="Times New Roman;sans-serif"/>
                  <w:b w:val="false"/>
                  <w:color w:val="0000FF"/>
                  <w:sz w:val="20"/>
                  <w:u w:val="single"/>
                </w:rPr>
                <w:t>36</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15">
              <w:r>
                <w:rPr>
                  <w:rStyle w:val="InternetLink"/>
                  <w:rFonts w:ascii="Times New Roman;sans-serif" w:hAnsi="Times New Roman;sans-serif"/>
                  <w:b w:val="false"/>
                  <w:color w:val="0000FF"/>
                  <w:sz w:val="20"/>
                  <w:u w:val="single"/>
                </w:rPr>
                <w:t>Exhibits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15">
              <w:r>
                <w:rPr>
                  <w:rStyle w:val="InternetLink"/>
                  <w:rFonts w:ascii="Times New Roman;sans-serif" w:hAnsi="Times New Roman;sans-serif"/>
                  <w:b w:val="false"/>
                  <w:color w:val="0000FF"/>
                  <w:sz w:val="20"/>
                  <w:u w:val="single"/>
                </w:rPr>
                <w:t>37</w:t>
              </w:r>
            </w:hyperlink>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d88de78c82a4c1db19a5aa447195972_121">
              <w:r>
                <w:rPr>
                  <w:rStyle w:val="InternetLink"/>
                  <w:rFonts w:ascii="Times New Roman;sans-serif" w:hAnsi="Times New Roman;sans-serif"/>
                  <w:b w:val="false"/>
                  <w:color w:val="0000FF"/>
                  <w:sz w:val="20"/>
                  <w:u w:val="single"/>
                </w:rPr>
                <w:t>Signatures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d88de78c82a4c1db19a5aa447195972_121">
              <w:r>
                <w:rPr>
                  <w:rStyle w:val="InternetLink"/>
                  <w:rFonts w:ascii="Times New Roman;sans-serif" w:hAnsi="Times New Roman;sans-serif"/>
                  <w:b w:val="false"/>
                  <w:color w:val="0000FF"/>
                  <w:sz w:val="20"/>
                  <w:u w:val="single"/>
                </w:rPr>
                <w:t>38</w:t>
              </w:r>
            </w:hyperlink>
          </w:p>
        </w:tc>
      </w:tr>
    </w:tbl>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(Unaudited)</w:t>
      </w:r>
    </w:p>
    <w:tbl>
      <w:tblPr>
        <w:tblW w:w="8917" w:type="dxa"/>
        <w:jc w:val="left"/>
        <w:tblInd w:w="0" w:type="dxa"/>
        <w:tblCellMar>
          <w:top w:w="28" w:type="dxa"/>
          <w:left w:w="28" w:type="dxa"/>
          <w:bottom w:w="28" w:type="dxa"/>
          <w:right w:w="28" w:type="dxa"/>
        </w:tblCellMar>
      </w:tblPr>
      <w:tblGrid>
        <w:gridCol w:w="2121"/>
        <w:gridCol w:w="1869"/>
        <w:gridCol w:w="1875"/>
        <w:gridCol w:w="109"/>
        <w:gridCol w:w="109"/>
        <w:gridCol w:w="165"/>
        <w:gridCol w:w="320"/>
        <w:gridCol w:w="1164"/>
        <w:gridCol w:w="165"/>
        <w:gridCol w:w="219"/>
        <w:gridCol w:w="641"/>
        <w:gridCol w:w="160"/>
      </w:tblGrid>
      <w:tr>
        <w:trPr/>
        <w:tc>
          <w:tcPr>
            <w:tcW w:w="2121" w:type="dxa"/>
            <w:tcBorders/>
            <w:shd w:fill="auto" w:val="clear"/>
            <w:vAlign w:val="center"/>
          </w:tcPr>
          <w:p>
            <w:pPr>
              <w:pStyle w:val="TableContents"/>
              <w:spacing w:before="0" w:after="283"/>
              <w:rPr>
                <w:sz w:val="4"/>
                <w:szCs w:val="4"/>
              </w:rPr>
            </w:pPr>
            <w:r>
              <w:rPr>
                <w:sz w:val="4"/>
                <w:szCs w:val="4"/>
              </w:rPr>
            </w:r>
          </w:p>
        </w:tc>
        <w:tc>
          <w:tcPr>
            <w:tcW w:w="1869"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20" w:type="dxa"/>
            <w:gridSpan w:val="3"/>
            <w:tcBorders/>
            <w:shd w:fill="auto" w:val="clear"/>
          </w:tcPr>
          <w:p>
            <w:pPr>
              <w:pStyle w:val="TableContents"/>
              <w:spacing w:before="0" w:after="283"/>
              <w:rPr>
                <w:sz w:val="4"/>
                <w:szCs w:val="4"/>
              </w:rPr>
            </w:pPr>
            <w:r>
              <w:rPr>
                <w:sz w:val="4"/>
                <w:szCs w:val="4"/>
              </w:rPr>
            </w:r>
          </w:p>
        </w:tc>
      </w:tr>
      <w:tr>
        <w:trPr/>
        <w:tc>
          <w:tcPr>
            <w:tcW w:w="5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58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continuing operations before income taxes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from continuing operations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cumulative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market value of derivative financial instruments, net of tax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ordinary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ordinary share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ordinary share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tbl>
      <w:tblPr>
        <w:tblW w:w="10205" w:type="dxa"/>
        <w:jc w:val="center"/>
        <w:tblInd w:w="0" w:type="dxa"/>
        <w:tblCellMar>
          <w:top w:w="28" w:type="dxa"/>
          <w:left w:w="28" w:type="dxa"/>
          <w:bottom w:w="28" w:type="dxa"/>
          <w:right w:w="28" w:type="dxa"/>
        </w:tblCellMar>
      </w:tblPr>
      <w:tblGrid>
        <w:gridCol w:w="2932"/>
        <w:gridCol w:w="2463"/>
        <w:gridCol w:w="2471"/>
        <w:gridCol w:w="211"/>
        <w:gridCol w:w="766"/>
        <w:gridCol w:w="109"/>
        <w:gridCol w:w="233"/>
        <w:gridCol w:w="848"/>
        <w:gridCol w:w="172"/>
      </w:tblGrid>
      <w:tr>
        <w:trPr/>
        <w:tc>
          <w:tcPr>
            <w:tcW w:w="2932" w:type="dxa"/>
            <w:tcBorders/>
            <w:shd w:fill="auto" w:val="clear"/>
            <w:vAlign w:val="center"/>
          </w:tcPr>
          <w:p>
            <w:pPr>
              <w:pStyle w:val="TableContents"/>
              <w:spacing w:before="0" w:after="283"/>
              <w:rPr>
                <w:sz w:val="4"/>
                <w:szCs w:val="4"/>
              </w:rPr>
            </w:pPr>
            <w:r>
              <w:rPr>
                <w:sz w:val="4"/>
                <w:szCs w:val="4"/>
              </w:rPr>
            </w:r>
          </w:p>
        </w:tc>
        <w:tc>
          <w:tcPr>
            <w:tcW w:w="2463" w:type="dxa"/>
            <w:tcBorders/>
            <w:shd w:fill="auto" w:val="clear"/>
            <w:vAlign w:val="center"/>
          </w:tcPr>
          <w:p>
            <w:pPr>
              <w:pStyle w:val="TableContents"/>
              <w:spacing w:before="0" w:after="283"/>
              <w:rPr>
                <w:sz w:val="4"/>
                <w:szCs w:val="4"/>
              </w:rPr>
            </w:pPr>
            <w:r>
              <w:rPr>
                <w:sz w:val="4"/>
                <w:szCs w:val="4"/>
              </w:rPr>
            </w:r>
          </w:p>
        </w:tc>
        <w:tc>
          <w:tcPr>
            <w:tcW w:w="24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7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253"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per-share data</w:t>
            </w:r>
          </w:p>
        </w:tc>
        <w:tc>
          <w:tcPr>
            <w:tcW w:w="108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253"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0205"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$11.4 and $10.8, respectively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78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3,252.6 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78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78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compensation and benefits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78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$0.01 par value, 426.0 authorized, 165.0 and 164.5 issued at March 31, 2023 and December 31, 2022, respectively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1,554.9 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equity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(Unaudited) </w:t>
      </w:r>
    </w:p>
    <w:tbl>
      <w:tblPr>
        <w:tblW w:w="10205" w:type="dxa"/>
        <w:jc w:val="center"/>
        <w:tblInd w:w="0" w:type="dxa"/>
        <w:tblCellMar>
          <w:top w:w="28" w:type="dxa"/>
          <w:left w:w="28" w:type="dxa"/>
          <w:bottom w:w="28" w:type="dxa"/>
          <w:right w:w="28" w:type="dxa"/>
        </w:tblCellMar>
      </w:tblPr>
      <w:tblGrid>
        <w:gridCol w:w="3032"/>
        <w:gridCol w:w="2581"/>
        <w:gridCol w:w="2612"/>
        <w:gridCol w:w="218"/>
        <w:gridCol w:w="636"/>
        <w:gridCol w:w="112"/>
        <w:gridCol w:w="217"/>
        <w:gridCol w:w="635"/>
        <w:gridCol w:w="162"/>
      </w:tblGrid>
      <w:tr>
        <w:trPr/>
        <w:tc>
          <w:tcPr>
            <w:tcW w:w="3032" w:type="dxa"/>
            <w:tcBorders/>
            <w:shd w:fill="auto" w:val="clear"/>
            <w:vAlign w:val="center"/>
          </w:tcPr>
          <w:p>
            <w:pPr>
              <w:pStyle w:val="TableContents"/>
              <w:spacing w:before="0" w:after="283"/>
              <w:rPr>
                <w:sz w:val="4"/>
                <w:szCs w:val="4"/>
              </w:rPr>
            </w:pPr>
            <w:r>
              <w:rPr>
                <w:sz w:val="4"/>
                <w:szCs w:val="4"/>
              </w:rPr>
            </w:r>
          </w:p>
        </w:tc>
        <w:tc>
          <w:tcPr>
            <w:tcW w:w="2581" w:type="dxa"/>
            <w:tcBorders/>
            <w:shd w:fill="auto" w:val="clear"/>
            <w:vAlign w:val="center"/>
          </w:tcPr>
          <w:p>
            <w:pPr>
              <w:pStyle w:val="TableContents"/>
              <w:spacing w:before="0" w:after="283"/>
              <w:rPr>
                <w:sz w:val="4"/>
                <w:szCs w:val="4"/>
              </w:rPr>
            </w:pPr>
            <w:r>
              <w:rPr>
                <w:sz w:val="4"/>
                <w:szCs w:val="4"/>
              </w:rPr>
            </w:r>
          </w:p>
        </w:tc>
        <w:tc>
          <w:tcPr>
            <w:tcW w:w="26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8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82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net of tax</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reconcile net income from continuing operations to net cash provided by (used for) operating activities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of unconsolidated subsidiaries</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and write-offs</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bridge financing fees</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in assets and liabilities, net of effects of business acquisitions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and liabilities</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of revolving long-term debt</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to employees, net of shares withheld</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 and cash equivalents</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cash and cash equivalents</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 (Unaudited)</w:t>
      </w:r>
    </w:p>
    <w:tbl>
      <w:tblPr>
        <w:tblW w:w="10205" w:type="dxa"/>
        <w:jc w:val="center"/>
        <w:tblInd w:w="0" w:type="dxa"/>
        <w:tblCellMar>
          <w:top w:w="28" w:type="dxa"/>
          <w:left w:w="28" w:type="dxa"/>
          <w:bottom w:w="28" w:type="dxa"/>
          <w:right w:w="28" w:type="dxa"/>
        </w:tblCellMar>
      </w:tblPr>
      <w:tblGrid>
        <w:gridCol w:w="702"/>
        <w:gridCol w:w="389"/>
        <w:gridCol w:w="394"/>
        <w:gridCol w:w="308"/>
        <w:gridCol w:w="308"/>
        <w:gridCol w:w="266"/>
        <w:gridCol w:w="267"/>
        <w:gridCol w:w="413"/>
        <w:gridCol w:w="110"/>
        <w:gridCol w:w="109"/>
        <w:gridCol w:w="109"/>
        <w:gridCol w:w="109"/>
        <w:gridCol w:w="109"/>
        <w:gridCol w:w="1060"/>
        <w:gridCol w:w="215"/>
        <w:gridCol w:w="782"/>
        <w:gridCol w:w="111"/>
        <w:gridCol w:w="270"/>
        <w:gridCol w:w="984"/>
        <w:gridCol w:w="140"/>
        <w:gridCol w:w="211"/>
        <w:gridCol w:w="633"/>
        <w:gridCol w:w="109"/>
        <w:gridCol w:w="109"/>
        <w:gridCol w:w="109"/>
        <w:gridCol w:w="109"/>
        <w:gridCol w:w="631"/>
        <w:gridCol w:w="211"/>
        <w:gridCol w:w="766"/>
        <w:gridCol w:w="162"/>
      </w:tblGrid>
      <w:tr>
        <w:trPr/>
        <w:tc>
          <w:tcPr>
            <w:tcW w:w="70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4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67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110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39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 loss</w:t>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Total</w:t>
            </w:r>
          </w:p>
        </w:tc>
        <w:tc>
          <w:tcPr>
            <w:tcW w:w="1139" w:type="dxa"/>
            <w:gridSpan w:val="3"/>
            <w:tcBorders/>
            <w:shd w:fill="auto" w:val="clear"/>
          </w:tcPr>
          <w:p>
            <w:pPr>
              <w:pStyle w:val="TableContents"/>
              <w:spacing w:before="0" w:after="283"/>
              <w:rPr>
                <w:sz w:val="4"/>
                <w:szCs w:val="4"/>
              </w:rPr>
            </w:pPr>
            <w:r>
              <w:rPr>
                <w:sz w:val="4"/>
                <w:szCs w:val="4"/>
              </w:rPr>
            </w:r>
          </w:p>
        </w:tc>
      </w:tr>
      <w:tr>
        <w:trPr/>
        <w:tc>
          <w:tcPr>
            <w:tcW w:w="1485" w:type="dxa"/>
            <w:gridSpan w:val="3"/>
            <w:vMerge w:val="continue"/>
            <w:tcBorders/>
            <w:shd w:fill="auto" w:val="clear"/>
            <w:tcMar>
              <w:top w:w="0" w:type="dxa"/>
              <w:left w:w="0" w:type="dxa"/>
              <w:bottom w:w="0" w:type="dxa"/>
              <w:right w:w="0" w:type="dxa"/>
            </w:tcMar>
            <w:vAlign w:val="center"/>
          </w:tcPr>
          <w:p>
            <w:pPr>
              <w:pStyle w:val="Normal"/>
              <w:rPr/>
            </w:pPr>
            <w:r>
              <w:rPr/>
            </w:r>
          </w:p>
        </w:tc>
        <w:tc>
          <w:tcPr>
            <w:tcW w:w="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vMerge w:val="continue"/>
            <w:tcBorders/>
            <w:shd w:fill="auto" w:val="clear"/>
            <w:tcMar>
              <w:top w:w="0" w:type="dxa"/>
              <w:left w:w="0" w:type="dxa"/>
              <w:bottom w:w="0" w:type="dxa"/>
              <w:right w:w="0" w:type="dxa"/>
            </w:tcMar>
            <w:vAlign w:val="center"/>
          </w:tcPr>
          <w:p>
            <w:pPr>
              <w:pStyle w:val="Normal"/>
              <w:rPr/>
            </w:pPr>
            <w:r>
              <w:rPr/>
            </w:r>
          </w:p>
        </w:tc>
        <w:tc>
          <w:tcPr>
            <w:tcW w:w="1108" w:type="dxa"/>
            <w:gridSpan w:val="3"/>
            <w:vMerge w:val="continue"/>
            <w:tcBorders/>
            <w:shd w:fill="auto" w:val="clear"/>
            <w:tcMar>
              <w:top w:w="0" w:type="dxa"/>
              <w:left w:w="0" w:type="dxa"/>
              <w:bottom w:w="0" w:type="dxa"/>
              <w:right w:w="0" w:type="dxa"/>
            </w:tcMar>
            <w:vAlign w:val="center"/>
          </w:tcPr>
          <w:p>
            <w:pPr>
              <w:pStyle w:val="Normal"/>
              <w:rPr/>
            </w:pPr>
            <w:r>
              <w:rPr/>
            </w:r>
          </w:p>
        </w:tc>
        <w:tc>
          <w:tcPr>
            <w:tcW w:w="1394" w:type="dxa"/>
            <w:gridSpan w:val="3"/>
            <w:vMerge w:val="continue"/>
            <w:tcBorders/>
            <w:shd w:fill="auto" w:val="clear"/>
            <w:tcMar>
              <w:top w:w="0" w:type="dxa"/>
              <w:left w:w="0" w:type="dxa"/>
              <w:bottom w:w="0" w:type="dxa"/>
              <w:right w:w="0" w:type="dxa"/>
            </w:tcMar>
            <w:vAlign w:val="center"/>
          </w:tcPr>
          <w:p>
            <w:pPr>
              <w:pStyle w:val="Normal"/>
              <w:rPr/>
            </w:pPr>
            <w:r>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631" w:type="dxa"/>
            <w:vMerge w:val="continue"/>
            <w:tcBorders/>
            <w:shd w:fill="auto" w:val="clear"/>
            <w:tcMar>
              <w:top w:w="0" w:type="dxa"/>
              <w:left w:w="0" w:type="dxa"/>
              <w:bottom w:w="0" w:type="dxa"/>
              <w:right w:w="0" w:type="dxa"/>
            </w:tcMar>
            <w:vAlign w:val="center"/>
          </w:tcPr>
          <w:p>
            <w:pPr>
              <w:pStyle w:val="Normal"/>
              <w:rPr/>
            </w:pPr>
            <w:r>
              <w:rPr/>
            </w:r>
          </w:p>
        </w:tc>
        <w:tc>
          <w:tcPr>
            <w:tcW w:w="1139" w:type="dxa"/>
            <w:gridSpan w:val="3"/>
            <w:tcBorders/>
            <w:shd w:fill="auto" w:val="clear"/>
          </w:tcPr>
          <w:p>
            <w:pPr>
              <w:pStyle w:val="TableContents"/>
              <w:spacing w:before="0" w:after="283"/>
              <w:rPr>
                <w:sz w:val="4"/>
                <w:szCs w:val="4"/>
              </w:rPr>
            </w:pPr>
            <w:r>
              <w:rPr>
                <w:sz w:val="4"/>
                <w:szCs w:val="4"/>
              </w:rPr>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$0.22 per share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net of shares tendered for payment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shares, net of cancellations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by employees to pay taxes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047"/>
        <w:gridCol w:w="774"/>
        <w:gridCol w:w="784"/>
        <w:gridCol w:w="308"/>
        <w:gridCol w:w="308"/>
        <w:gridCol w:w="266"/>
        <w:gridCol w:w="279"/>
        <w:gridCol w:w="473"/>
        <w:gridCol w:w="127"/>
        <w:gridCol w:w="109"/>
        <w:gridCol w:w="109"/>
        <w:gridCol w:w="109"/>
        <w:gridCol w:w="302"/>
        <w:gridCol w:w="1097"/>
        <w:gridCol w:w="155"/>
        <w:gridCol w:w="252"/>
        <w:gridCol w:w="918"/>
        <w:gridCol w:w="130"/>
        <w:gridCol w:w="337"/>
        <w:gridCol w:w="1009"/>
        <w:gridCol w:w="175"/>
        <w:gridCol w:w="211"/>
        <w:gridCol w:w="766"/>
        <w:gridCol w:w="160"/>
      </w:tblGrid>
      <w:tr>
        <w:trPr/>
        <w:tc>
          <w:tcPr>
            <w:tcW w:w="104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0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76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13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5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 loss</w:t>
            </w:r>
          </w:p>
        </w:tc>
        <w:tc>
          <w:tcPr>
            <w:tcW w:w="11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Total</w:t>
            </w:r>
          </w:p>
        </w:tc>
      </w:tr>
      <w:tr>
        <w:trPr/>
        <w:tc>
          <w:tcPr>
            <w:tcW w:w="2605" w:type="dxa"/>
            <w:gridSpan w:val="3"/>
            <w:vMerge w:val="continue"/>
            <w:tcBorders/>
            <w:shd w:fill="auto" w:val="clear"/>
            <w:tcMar>
              <w:top w:w="0" w:type="dxa"/>
              <w:left w:w="0" w:type="dxa"/>
              <w:bottom w:w="0" w:type="dxa"/>
              <w:right w:w="0" w:type="dxa"/>
            </w:tcMar>
            <w:vAlign w:val="center"/>
          </w:tcPr>
          <w:p>
            <w:pPr>
              <w:pStyle w:val="Normal"/>
              <w:rPr/>
            </w:pPr>
            <w:r>
              <w:rPr/>
            </w:r>
          </w:p>
        </w:tc>
        <w:tc>
          <w:tcPr>
            <w:tcW w:w="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554" w:type="dxa"/>
            <w:gridSpan w:val="3"/>
            <w:vMerge w:val="continue"/>
            <w:tcBorders/>
            <w:shd w:fill="auto" w:val="clear"/>
            <w:tcMar>
              <w:top w:w="0" w:type="dxa"/>
              <w:left w:w="0" w:type="dxa"/>
              <w:bottom w:w="0" w:type="dxa"/>
              <w:right w:w="0" w:type="dxa"/>
            </w:tcMar>
            <w:vAlign w:val="center"/>
          </w:tcPr>
          <w:p>
            <w:pPr>
              <w:pStyle w:val="Normal"/>
              <w:rPr/>
            </w:pPr>
            <w:r>
              <w:rPr/>
            </w:r>
          </w:p>
        </w:tc>
        <w:tc>
          <w:tcPr>
            <w:tcW w:w="1300" w:type="dxa"/>
            <w:gridSpan w:val="3"/>
            <w:vMerge w:val="continue"/>
            <w:tcBorders/>
            <w:shd w:fill="auto" w:val="clear"/>
            <w:tcMar>
              <w:top w:w="0" w:type="dxa"/>
              <w:left w:w="0" w:type="dxa"/>
              <w:bottom w:w="0" w:type="dxa"/>
              <w:right w:w="0" w:type="dxa"/>
            </w:tcMar>
            <w:vAlign w:val="center"/>
          </w:tcPr>
          <w:p>
            <w:pPr>
              <w:pStyle w:val="Normal"/>
              <w:rPr/>
            </w:pPr>
            <w:r>
              <w:rPr/>
            </w:r>
          </w:p>
        </w:tc>
        <w:tc>
          <w:tcPr>
            <w:tcW w:w="1521" w:type="dxa"/>
            <w:gridSpan w:val="3"/>
            <w:vMerge w:val="continue"/>
            <w:tcBorders/>
            <w:shd w:fill="auto" w:val="clear"/>
            <w:tcMar>
              <w:top w:w="0" w:type="dxa"/>
              <w:left w:w="0" w:type="dxa"/>
              <w:bottom w:w="0" w:type="dxa"/>
              <w:right w:w="0" w:type="dxa"/>
            </w:tcMar>
            <w:vAlign w:val="center"/>
          </w:tcPr>
          <w:p>
            <w:pPr>
              <w:pStyle w:val="Normal"/>
              <w:rPr/>
            </w:pPr>
            <w:r>
              <w:rPr/>
            </w:r>
          </w:p>
        </w:tc>
        <w:tc>
          <w:tcPr>
            <w:tcW w:w="113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6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$0.21 per share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net of shares tendered for payment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shares, net of cancellations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by employees to pay taxes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2022</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1.Basis of Presentation and Responsibility for Interim Financial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Pentair plc and its subsidiaries (“we,” “us,” “our,” “Pentair,” or the “Company”)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2022.</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expenses, cash flows, assets and liabilities can and do vary during each quarter of the year. Therefore, the results and trends in these interim financial statements may not be indicative of those for a full year.</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ends on December 31. We report our interim quarterly periods on a calendar quarter basis.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segment, geographic location and vertical market, as we believe these best depict how the nature, amount, timing and uncertainty of our revenue and cash flows are affected by economic factors. Refer to Note 15 for revenue disaggregated by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net sales information, based on geographic destination of the sale, was as follows:</w:t>
      </w:r>
    </w:p>
    <w:tbl>
      <w:tblPr>
        <w:tblW w:w="10018" w:type="dxa"/>
        <w:jc w:val="left"/>
        <w:tblInd w:w="0" w:type="dxa"/>
        <w:tblCellMar>
          <w:top w:w="28" w:type="dxa"/>
          <w:left w:w="28" w:type="dxa"/>
          <w:bottom w:w="28" w:type="dxa"/>
          <w:right w:w="28" w:type="dxa"/>
        </w:tblCellMar>
      </w:tblPr>
      <w:tblGrid>
        <w:gridCol w:w="2344"/>
        <w:gridCol w:w="2049"/>
        <w:gridCol w:w="2069"/>
        <w:gridCol w:w="361"/>
        <w:gridCol w:w="361"/>
        <w:gridCol w:w="165"/>
        <w:gridCol w:w="320"/>
        <w:gridCol w:w="1164"/>
        <w:gridCol w:w="165"/>
        <w:gridCol w:w="219"/>
        <w:gridCol w:w="641"/>
        <w:gridCol w:w="160"/>
      </w:tblGrid>
      <w:tr>
        <w:trPr/>
        <w:tc>
          <w:tcPr>
            <w:tcW w:w="2344"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1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20" w:type="dxa"/>
            <w:gridSpan w:val="3"/>
            <w:tcBorders/>
            <w:shd w:fill="auto" w:val="clear"/>
          </w:tcPr>
          <w:p>
            <w:pPr>
              <w:pStyle w:val="TableContents"/>
              <w:spacing w:before="0" w:after="283"/>
              <w:rPr>
                <w:sz w:val="4"/>
                <w:szCs w:val="4"/>
              </w:rPr>
            </w:pPr>
            <w:r>
              <w:rPr>
                <w:sz w:val="4"/>
                <w:szCs w:val="4"/>
              </w:rPr>
            </w:r>
          </w:p>
        </w:tc>
      </w:tr>
      <w:tr>
        <w:trPr/>
        <w:tc>
          <w:tcPr>
            <w:tcW w:w="6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64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Europe</w:t>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Developing </w:t>
            </w:r>
            <w:r>
              <w:rPr>
                <w:rFonts w:ascii="Times New Roman;sans-serif" w:hAnsi="Times New Roman;sans-serif"/>
                <w:b w:val="false"/>
                <w:color w:val="000000"/>
                <w:sz w:val="13"/>
              </w:rPr>
              <w:t>(1)</w:t>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Developed </w:t>
            </w:r>
            <w:r>
              <w:rPr>
                <w:rFonts w:ascii="Times New Roman;sans-serif" w:hAnsi="Times New Roman;sans-serif"/>
                <w:b w:val="false"/>
                <w:color w:val="000000"/>
                <w:sz w:val="13"/>
              </w:rPr>
              <w:t>(2)</w:t>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2" w:type="dxa"/>
            <w:gridSpan w:val="3"/>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6462" w:type="dxa"/>
            <w:gridSpan w:val="3"/>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7184" w:type="dxa"/>
            <w:gridSpan w:val="5"/>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Developing includes China, Eastern Europe, Latin America, the Middle East and Southeast Asia.</w:t>
            </w:r>
          </w:p>
        </w:tc>
        <w:tc>
          <w:tcPr>
            <w:tcW w:w="2834" w:type="dxa"/>
            <w:gridSpan w:val="7"/>
            <w:tcBorders/>
            <w:shd w:fill="auto" w:val="clear"/>
          </w:tcPr>
          <w:p>
            <w:pPr>
              <w:pStyle w:val="TableContents"/>
              <w:spacing w:before="0" w:after="283"/>
              <w:rPr>
                <w:sz w:val="4"/>
                <w:szCs w:val="4"/>
              </w:rPr>
            </w:pPr>
            <w:r>
              <w:rPr>
                <w:sz w:val="4"/>
                <w:szCs w:val="4"/>
              </w:rPr>
            </w:r>
          </w:p>
        </w:tc>
      </w:tr>
      <w:tr>
        <w:trPr/>
        <w:tc>
          <w:tcPr>
            <w:tcW w:w="7184" w:type="dxa"/>
            <w:gridSpan w:val="5"/>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Other Developed includes Australia, Canada and Japan.</w:t>
            </w:r>
          </w:p>
        </w:tc>
        <w:tc>
          <w:tcPr>
            <w:tcW w:w="2834" w:type="dxa"/>
            <w:gridSpan w:val="7"/>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Vertical market net sales information was as follows:</w:t>
      </w:r>
    </w:p>
    <w:tbl>
      <w:tblPr>
        <w:tblW w:w="5001" w:type="dxa"/>
        <w:jc w:val="left"/>
        <w:tblInd w:w="0" w:type="dxa"/>
        <w:tblCellMar>
          <w:top w:w="28" w:type="dxa"/>
          <w:left w:w="28" w:type="dxa"/>
          <w:bottom w:w="28" w:type="dxa"/>
          <w:right w:w="28" w:type="dxa"/>
        </w:tblCellMar>
      </w:tblPr>
      <w:tblGrid>
        <w:gridCol w:w="702"/>
        <w:gridCol w:w="617"/>
        <w:gridCol w:w="630"/>
        <w:gridCol w:w="109"/>
        <w:gridCol w:w="109"/>
        <w:gridCol w:w="165"/>
        <w:gridCol w:w="320"/>
        <w:gridCol w:w="1164"/>
        <w:gridCol w:w="165"/>
        <w:gridCol w:w="219"/>
        <w:gridCol w:w="641"/>
        <w:gridCol w:w="160"/>
      </w:tblGrid>
      <w:tr>
        <w:trPr/>
        <w:tc>
          <w:tcPr>
            <w:tcW w:w="702"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20" w:type="dxa"/>
            <w:gridSpan w:val="3"/>
            <w:tcBorders/>
            <w:shd w:fill="auto" w:val="clea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obligations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we had $98.1 million of remaining performance obligations on contracts with an original expected duration of one year or more. We expect to recognize the majority of our remaining performance obligations on these contracts within the next 12 to 18 months.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and liabilities consisted of the following:</w:t>
      </w:r>
    </w:p>
    <w:tbl>
      <w:tblPr>
        <w:tblW w:w="6597" w:type="dxa"/>
        <w:jc w:val="left"/>
        <w:tblInd w:w="0" w:type="dxa"/>
        <w:tblCellMar>
          <w:top w:w="28" w:type="dxa"/>
          <w:left w:w="28" w:type="dxa"/>
          <w:bottom w:w="28" w:type="dxa"/>
          <w:right w:w="28" w:type="dxa"/>
        </w:tblCellMar>
      </w:tblPr>
      <w:tblGrid>
        <w:gridCol w:w="702"/>
        <w:gridCol w:w="613"/>
        <w:gridCol w:w="619"/>
        <w:gridCol w:w="247"/>
        <w:gridCol w:w="600"/>
        <w:gridCol w:w="128"/>
        <w:gridCol w:w="320"/>
        <w:gridCol w:w="774"/>
        <w:gridCol w:w="166"/>
        <w:gridCol w:w="109"/>
        <w:gridCol w:w="109"/>
        <w:gridCol w:w="109"/>
        <w:gridCol w:w="261"/>
        <w:gridCol w:w="503"/>
        <w:gridCol w:w="137"/>
        <w:gridCol w:w="293"/>
        <w:gridCol w:w="293"/>
        <w:gridCol w:w="614"/>
      </w:tblGrid>
      <w:tr>
        <w:trPr/>
        <w:tc>
          <w:tcPr>
            <w:tcW w:w="70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liabilities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$8.6 million decrease in net contract liabilities from December 31, 2022 to March 31, 2023 was primarily the result of timing of milestone payments. Approximately 60% of our contract liabilities at December 31, 2022 were recognized in revenue in the first quarter of 2023.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3.</w:t>
      </w:r>
      <w:r>
        <w:rPr>
          <w:rFonts w:ascii="Times New Roman;sans-serif" w:hAnsi="Times New Roman;sans-serif"/>
          <w:b/>
          <w:color w:val="000000"/>
          <w:sz w:val="20"/>
        </w:rPr>
        <w:t>Acquisitions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as part of our Water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Manitowoc Ice is a designer, manufacturer and distributor of commercial ice machines. The acquisition of Manitowoc Ice allows us to enhance and deliver our total water management offerings to an expanded network of channel partners and customers.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has been preliminarily allocated based on the estimated fair value of assets acquired and liabilities assumed at the date of the Manitowoc Ice acquisition. The preliminary purchase price allocation is subject to further refinement and may require significant adjustments to arrive at the final purchase price allocation. These changes will primarily relate to income tax-related items. We expect the final purchase price allocation to be completed by the third quarter of 2023. There can be no assurance that such finalization will not result in material changes from the preliminary purchase price allocation.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preliminary estimates of the fair values of the assets acquired and liabilities assumed in the Manitowoc Ice acquisition as previously reported as of December 31, 2022 and revised as of March 31, 2023:</w:t>
      </w:r>
    </w:p>
    <w:tbl>
      <w:tblPr>
        <w:tblW w:w="5919" w:type="dxa"/>
        <w:jc w:val="left"/>
        <w:tblInd w:w="0" w:type="dxa"/>
        <w:tblCellMar>
          <w:top w:w="28" w:type="dxa"/>
          <w:left w:w="28" w:type="dxa"/>
          <w:bottom w:w="28" w:type="dxa"/>
          <w:right w:w="28" w:type="dxa"/>
        </w:tblCellMar>
      </w:tblPr>
      <w:tblGrid>
        <w:gridCol w:w="936"/>
        <w:gridCol w:w="818"/>
        <w:gridCol w:w="826"/>
        <w:gridCol w:w="408"/>
        <w:gridCol w:w="1481"/>
        <w:gridCol w:w="210"/>
        <w:gridCol w:w="109"/>
        <w:gridCol w:w="211"/>
        <w:gridCol w:w="766"/>
        <w:gridCol w:w="154"/>
      </w:tblGrid>
      <w:tr>
        <w:trPr/>
        <w:tc>
          <w:tcPr>
            <w:tcW w:w="936"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w:t>
            </w:r>
          </w:p>
        </w:tc>
        <w:tc>
          <w:tcPr>
            <w:tcW w:w="1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purchase price over tangible net assets and identified intangible assets acquired has been preliminarily allocated to goodwill in the amount of $791.0 million, all of which is expected to be deductible for income tax purposes. Goodwill recognized from the Manitowoc Ice acquisition primarily reflects the future economic benefit resulting from synergies of our combined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acquired as part of the Manitowoc Ice acquisition include $78.4 million of indefinite-lived trade name intangible assets, $588.4 million of definite-lived customer relationships with a weighted-average estimated useful life of 20 years, $47.1 million of definite-lived proprietary technology intangible assets with a weighted-average estimated useful life of 10 years and $14.4 million of other definite-lived intangible assets with a weighted-average estimated useful life of four months. The fair values of trade names and proprietary technology acquired in the acquisition were determined using a relief-from-royalty method, and customer relationships and other definite-lived intangible assets acquired were determined using a multi-period excess earnings method. These methods utilize unobservable inputs that are significant to these fair value measurements and thus classified as Level 3 of the fair value hierarchy described in Note 11.</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unaudited pro forma financial information as if the Manitowoc Ice acquisition had occurred on January 1, 2021:</w:t>
      </w:r>
    </w:p>
    <w:tbl>
      <w:tblPr>
        <w:tblW w:w="7398" w:type="dxa"/>
        <w:jc w:val="left"/>
        <w:tblInd w:w="0" w:type="dxa"/>
        <w:tblCellMar>
          <w:top w:w="28" w:type="dxa"/>
          <w:left w:w="28" w:type="dxa"/>
          <w:bottom w:w="28" w:type="dxa"/>
          <w:right w:w="28" w:type="dxa"/>
        </w:tblCellMar>
      </w:tblPr>
      <w:tblGrid>
        <w:gridCol w:w="1966"/>
        <w:gridCol w:w="1728"/>
        <w:gridCol w:w="1736"/>
        <w:gridCol w:w="352"/>
        <w:gridCol w:w="1280"/>
        <w:gridCol w:w="182"/>
        <w:gridCol w:w="154"/>
      </w:tblGrid>
      <w:tr>
        <w:trPr/>
        <w:tc>
          <w:tcPr>
            <w:tcW w:w="1966"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sales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from continuing operations</w:t>
            </w:r>
          </w:p>
        </w:tc>
        <w:tc>
          <w:tcPr>
            <w:tcW w:w="1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 forma earnings per ordinary share - continuing operations</w:t>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net income from continuing operations includes Manitowoc Ice’s identifiable intangible asset amortization expense of $8.5 million for the three months ended March 31, 2022. The unaudited pro forma net income from continuing operations for the three months ended March 31, 2022 excludes the impact of $8.9 million of transaction-related charges and acquisition-related bridge financing costs.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 forma condensed consolidated financial information has been prepared for comparative purposes only and includes certain adjustments, as noted above. The adjustments are estimates based on currently available information and actual amounts may differ materially from these estimates. They do not reflect the effect of costs or synergies that would have been expected to result from the integration of the Manitowoc Ice acquisition. The pro forma information does not purport to be indicative of the results of operations that actually would have resulted had the Manitowoc Ice acquisition occurred on January 1,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4.Share Plans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share-based compensation expense for the three months ended March 31, 2023 and 2022 was as follows: </w:t>
      </w:r>
    </w:p>
    <w:tbl>
      <w:tblPr>
        <w:tblW w:w="6485" w:type="dxa"/>
        <w:jc w:val="left"/>
        <w:tblInd w:w="0" w:type="dxa"/>
        <w:tblCellMar>
          <w:top w:w="28" w:type="dxa"/>
          <w:left w:w="28" w:type="dxa"/>
          <w:bottom w:w="28" w:type="dxa"/>
          <w:right w:w="28" w:type="dxa"/>
        </w:tblCellMar>
      </w:tblPr>
      <w:tblGrid>
        <w:gridCol w:w="1246"/>
        <w:gridCol w:w="1089"/>
        <w:gridCol w:w="1099"/>
        <w:gridCol w:w="109"/>
        <w:gridCol w:w="109"/>
        <w:gridCol w:w="237"/>
        <w:gridCol w:w="458"/>
        <w:gridCol w:w="882"/>
        <w:gridCol w:w="237"/>
        <w:gridCol w:w="279"/>
        <w:gridCol w:w="537"/>
        <w:gridCol w:w="203"/>
      </w:tblGrid>
      <w:tr>
        <w:trPr/>
        <w:tc>
          <w:tcPr>
            <w:tcW w:w="1246"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19" w:type="dxa"/>
            <w:gridSpan w:val="3"/>
            <w:tcBorders/>
            <w:shd w:fill="auto" w:val="clea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5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issued our annual share-based compensation grants under the Pentair plc 2020 Share and Incentive Plan to eligible employees. The total number of awards issued was approximately 0.9 million, of which 0.3 million were restricted stock units (“RSUs”), 0.4 million were stock options and 0.2 million were performance share units (“PSUs”). The weighted-average grant date fair value of the RSUs, stock options and PSUs issued was $51.11, $14.03, and $46.39,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estimated the fair value of each stock option award issued in the annual share-based compensation grant using a Black-Scholes option pricing model, modified for dividends and using the following assumptions:</w:t>
      </w:r>
    </w:p>
    <w:tbl>
      <w:tblPr>
        <w:tblW w:w="3930" w:type="dxa"/>
        <w:jc w:val="left"/>
        <w:tblInd w:w="0" w:type="dxa"/>
        <w:tblCellMar>
          <w:top w:w="28" w:type="dxa"/>
          <w:left w:w="28" w:type="dxa"/>
          <w:bottom w:w="28" w:type="dxa"/>
          <w:right w:w="28" w:type="dxa"/>
        </w:tblCellMar>
      </w:tblPr>
      <w:tblGrid>
        <w:gridCol w:w="945"/>
        <w:gridCol w:w="830"/>
        <w:gridCol w:w="835"/>
        <w:gridCol w:w="269"/>
        <w:gridCol w:w="269"/>
        <w:gridCol w:w="782"/>
      </w:tblGrid>
      <w:tr>
        <w:trPr/>
        <w:tc>
          <w:tcPr>
            <w:tcW w:w="94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br/>
              <w:t>Annual Grant</w:t>
            </w:r>
          </w:p>
        </w:tc>
      </w:tr>
      <w:tr>
        <w:trPr/>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bl>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5.Restructuring and Transformation Program</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initiated and continued execution of certain business restructuring initiatives aimed at reducing our fixed cost structure and realigning our business. In addition, we have continued to execute certain initiatives associated with the Transformation Program. These initiatives included a reduction in hourly and salaried headcount of approximately 200 employees during the three months ended March 31, 2023.</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0"/>
        <w:jc w:val="both"/>
        <w:rPr/>
      </w:pPr>
      <w:r>
        <w:rPr>
          <w:rFonts w:ascii="Times New Roman;sans-serif" w:hAnsi="Times New Roman;sans-serif"/>
          <w:b w:val="false"/>
          <w:color w:val="000000"/>
          <w:sz w:val="20"/>
        </w:rPr>
        <w:t xml:space="preserve">Restructuring and transformation-related costs included within </w:t>
      </w:r>
      <w:r>
        <w:rPr>
          <w:rFonts w:ascii="Times New Roman;sans-serif" w:hAnsi="Times New Roman;sans-serif"/>
          <w:b w:val="false"/>
          <w:i/>
          <w:color w:val="000000"/>
          <w:sz w:val="20"/>
        </w:rPr>
        <w:t xml:space="preserve">Cost of goods sold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in the Condensed Consolidated Statements of Operations and Comprehensive Income included the following:</w:t>
      </w:r>
      <w:r>
        <w:rPr>
          <w:color w:val="000000"/>
        </w:rPr>
        <w:t> </w:t>
      </w:r>
    </w:p>
    <w:tbl>
      <w:tblPr>
        <w:tblW w:w="10205" w:type="dxa"/>
        <w:jc w:val="left"/>
        <w:tblInd w:w="0" w:type="dxa"/>
        <w:tblCellMar>
          <w:top w:w="28" w:type="dxa"/>
          <w:left w:w="28" w:type="dxa"/>
          <w:bottom w:w="28" w:type="dxa"/>
          <w:right w:w="28" w:type="dxa"/>
        </w:tblCellMar>
      </w:tblPr>
      <w:tblGrid>
        <w:gridCol w:w="2573"/>
        <w:gridCol w:w="2148"/>
        <w:gridCol w:w="2168"/>
        <w:gridCol w:w="468"/>
        <w:gridCol w:w="477"/>
        <w:gridCol w:w="168"/>
        <w:gridCol w:w="325"/>
        <w:gridCol w:w="789"/>
        <w:gridCol w:w="168"/>
        <w:gridCol w:w="250"/>
        <w:gridCol w:w="482"/>
        <w:gridCol w:w="189"/>
      </w:tblGrid>
      <w:tr>
        <w:trPr/>
        <w:tc>
          <w:tcPr>
            <w:tcW w:w="2573" w:type="dxa"/>
            <w:tcBorders/>
            <w:shd w:fill="auto" w:val="clear"/>
            <w:vAlign w:val="center"/>
          </w:tcPr>
          <w:p>
            <w:pPr>
              <w:pStyle w:val="TableContents"/>
              <w:spacing w:before="0" w:after="283"/>
              <w:rPr>
                <w:sz w:val="4"/>
                <w:szCs w:val="4"/>
              </w:rPr>
            </w:pPr>
            <w:r>
              <w:rPr>
                <w:sz w:val="4"/>
                <w:szCs w:val="4"/>
              </w:rPr>
            </w:r>
          </w:p>
        </w:tc>
        <w:tc>
          <w:tcPr>
            <w:tcW w:w="2148"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6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450"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921" w:type="dxa"/>
            <w:gridSpan w:val="3"/>
            <w:tcBorders/>
            <w:shd w:fill="auto" w:val="clear"/>
          </w:tcPr>
          <w:p>
            <w:pPr>
              <w:pStyle w:val="TableContents"/>
              <w:spacing w:before="0" w:after="283"/>
              <w:rPr>
                <w:sz w:val="4"/>
                <w:szCs w:val="4"/>
              </w:rPr>
            </w:pPr>
            <w:r>
              <w:rPr>
                <w:sz w:val="4"/>
                <w:szCs w:val="4"/>
              </w:rPr>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9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7834" w:type="dxa"/>
            <w:gridSpan w:val="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Initiatives</w:t>
            </w:r>
          </w:p>
        </w:tc>
        <w:tc>
          <w:tcPr>
            <w:tcW w:w="2371" w:type="dxa"/>
            <w:gridSpan w:val="7"/>
            <w:tcBorders/>
            <w:shd w:fill="auto" w:val="clear"/>
          </w:tcPr>
          <w:p>
            <w:pPr>
              <w:pStyle w:val="TableContents"/>
              <w:spacing w:before="0" w:after="283"/>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related costs</w:t>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9" w:type="dxa"/>
            <w:gridSpan w:val="3"/>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restructuring costs </w:t>
            </w:r>
            <w:r>
              <w:rPr>
                <w:rFonts w:ascii="Times New Roman;sans-serif" w:hAnsi="Times New Roman;sans-serif"/>
                <w:b w:val="false"/>
                <w:color w:val="000000"/>
                <w:sz w:val="13"/>
              </w:rPr>
              <w:t>(1)</w:t>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4" w:type="dxa"/>
            <w:gridSpan w:val="5"/>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Transformation Program</w:t>
            </w:r>
          </w:p>
        </w:tc>
        <w:tc>
          <w:tcPr>
            <w:tcW w:w="2371" w:type="dxa"/>
            <w:gridSpan w:val="7"/>
            <w:tcBorders/>
            <w:shd w:fill="auto" w:val="clear"/>
          </w:tcPr>
          <w:p>
            <w:pPr>
              <w:pStyle w:val="TableContents"/>
              <w:spacing w:before="0" w:after="283"/>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related costs</w:t>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transformation costs </w:t>
            </w:r>
            <w:r>
              <w:rPr>
                <w:rFonts w:ascii="Times New Roman;sans-serif" w:hAnsi="Times New Roman;sans-serif"/>
                <w:b w:val="false"/>
                <w:color w:val="000000"/>
                <w:sz w:val="13"/>
              </w:rPr>
              <w:t>(2)</w:t>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transformation costs</w:t>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transformation costs</w:t>
            </w:r>
          </w:p>
        </w:tc>
        <w:tc>
          <w:tcPr>
            <w:tcW w:w="46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834" w:type="dxa"/>
            <w:gridSpan w:val="5"/>
            <w:tcBorders>
              <w:top w:val="double" w:sz="8" w:space="0" w:color="000000"/>
            </w:tcBorders>
            <w:shd w:fill="auto" w:val="clear"/>
            <w:tcMar>
              <w:top w:w="30" w:type="dxa"/>
              <w:left w:w="0" w:type="dxa"/>
              <w:bottom w:w="0" w:type="dxa"/>
              <w:right w:w="0" w:type="dxa"/>
            </w:tcMar>
            <w:vAlign w:val="center"/>
          </w:tcPr>
          <w:p>
            <w:pPr>
              <w:pStyle w:val="TableContents"/>
              <w:spacing w:lineRule="auto" w:line="256" w:before="0" w:after="0"/>
              <w:ind w:left="0" w:right="0" w:hanging="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Other restructuring costs primarily consist of certain accruals, various contract termination costs and inventory write-offs associated with business and product line exits.</w:t>
            </w:r>
          </w:p>
        </w:tc>
        <w:tc>
          <w:tcPr>
            <w:tcW w:w="2371" w:type="dxa"/>
            <w:gridSpan w:val="7"/>
            <w:tcBorders/>
            <w:shd w:fill="auto" w:val="clear"/>
          </w:tcPr>
          <w:p>
            <w:pPr>
              <w:pStyle w:val="TableContents"/>
              <w:spacing w:before="0" w:after="283"/>
              <w:rPr>
                <w:sz w:val="4"/>
                <w:szCs w:val="4"/>
              </w:rPr>
            </w:pPr>
            <w:r>
              <w:rPr>
                <w:sz w:val="4"/>
                <w:szCs w:val="4"/>
              </w:rPr>
            </w:r>
          </w:p>
        </w:tc>
      </w:tr>
      <w:tr>
        <w:trPr/>
        <w:tc>
          <w:tcPr>
            <w:tcW w:w="7834" w:type="dxa"/>
            <w:gridSpan w:val="5"/>
            <w:tcBorders/>
            <w:shd w:fill="auto" w:val="clear"/>
            <w:tcMar>
              <w:top w:w="0" w:type="dxa"/>
              <w:left w:w="0" w:type="dxa"/>
              <w:bottom w:w="0" w:type="dxa"/>
              <w:right w:w="0" w:type="dxa"/>
            </w:tcMar>
            <w:vAlign w:val="center"/>
          </w:tcPr>
          <w:p>
            <w:pPr>
              <w:pStyle w:val="TableContents"/>
              <w:spacing w:lineRule="auto" w:line="256"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 xml:space="preserve">Other transformation costs primarily consist of professional services and project management and related costs. </w:t>
            </w:r>
          </w:p>
        </w:tc>
        <w:tc>
          <w:tcPr>
            <w:tcW w:w="2371" w:type="dxa"/>
            <w:gridSpan w:val="7"/>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transformation costs by reportable segment were as follows:</w:t>
      </w:r>
    </w:p>
    <w:tbl>
      <w:tblPr>
        <w:tblW w:w="5750" w:type="dxa"/>
        <w:jc w:val="left"/>
        <w:tblInd w:w="0" w:type="dxa"/>
        <w:tblCellMar>
          <w:top w:w="28" w:type="dxa"/>
          <w:left w:w="28" w:type="dxa"/>
          <w:bottom w:w="28" w:type="dxa"/>
          <w:right w:w="28" w:type="dxa"/>
        </w:tblCellMar>
      </w:tblPr>
      <w:tblGrid>
        <w:gridCol w:w="978"/>
        <w:gridCol w:w="855"/>
        <w:gridCol w:w="866"/>
        <w:gridCol w:w="109"/>
        <w:gridCol w:w="109"/>
        <w:gridCol w:w="210"/>
        <w:gridCol w:w="407"/>
        <w:gridCol w:w="987"/>
        <w:gridCol w:w="210"/>
        <w:gridCol w:w="279"/>
        <w:gridCol w:w="537"/>
        <w:gridCol w:w="203"/>
      </w:tblGrid>
      <w:tr>
        <w:trPr/>
        <w:tc>
          <w:tcPr>
            <w:tcW w:w="978"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19" w:type="dxa"/>
            <w:gridSpan w:val="3"/>
            <w:tcBorders/>
            <w:shd w:fill="auto" w:val="clea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6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&amp; Flow Technologies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Activity related to accrued severance and related costs recorded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in the Condensed Consolidated Balance Sheets is summarized as follows for the three months ended March 31, 2023:</w:t>
      </w:r>
      <w:r>
        <w:rPr>
          <w:color w:val="000000"/>
        </w:rPr>
        <w:t> </w:t>
      </w:r>
    </w:p>
    <w:tbl>
      <w:tblPr>
        <w:tblW w:w="3179" w:type="dxa"/>
        <w:jc w:val="left"/>
        <w:tblInd w:w="0" w:type="dxa"/>
        <w:tblCellMar>
          <w:top w:w="28" w:type="dxa"/>
          <w:left w:w="28" w:type="dxa"/>
          <w:bottom w:w="28" w:type="dxa"/>
          <w:right w:w="28" w:type="dxa"/>
        </w:tblCellMar>
      </w:tblPr>
      <w:tblGrid>
        <w:gridCol w:w="783"/>
        <w:gridCol w:w="684"/>
        <w:gridCol w:w="693"/>
        <w:gridCol w:w="245"/>
        <w:gridCol w:w="595"/>
        <w:gridCol w:w="179"/>
      </w:tblGrid>
      <w:tr>
        <w:trPr/>
        <w:tc>
          <w:tcPr>
            <w:tcW w:w="78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and other</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6.Earnings Per Share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were calculated as follows:</w:t>
      </w:r>
    </w:p>
    <w:tbl>
      <w:tblPr>
        <w:tblW w:w="10205" w:type="dxa"/>
        <w:jc w:val="left"/>
        <w:tblInd w:w="0" w:type="dxa"/>
        <w:tblCellMar>
          <w:top w:w="28" w:type="dxa"/>
          <w:left w:w="28" w:type="dxa"/>
          <w:bottom w:w="28" w:type="dxa"/>
          <w:right w:w="28" w:type="dxa"/>
        </w:tblCellMar>
      </w:tblPr>
      <w:tblGrid>
        <w:gridCol w:w="2601"/>
        <w:gridCol w:w="2284"/>
        <w:gridCol w:w="2289"/>
        <w:gridCol w:w="109"/>
        <w:gridCol w:w="109"/>
        <w:gridCol w:w="186"/>
        <w:gridCol w:w="361"/>
        <w:gridCol w:w="1058"/>
        <w:gridCol w:w="186"/>
        <w:gridCol w:w="218"/>
        <w:gridCol w:w="640"/>
        <w:gridCol w:w="164"/>
      </w:tblGrid>
      <w:tr>
        <w:trPr/>
        <w:tc>
          <w:tcPr>
            <w:tcW w:w="2601" w:type="dxa"/>
            <w:tcBorders/>
            <w:shd w:fill="auto" w:val="clear"/>
            <w:vAlign w:val="center"/>
          </w:tcPr>
          <w:p>
            <w:pPr>
              <w:pStyle w:val="TableContents"/>
              <w:spacing w:before="0" w:after="283"/>
              <w:rPr>
                <w:sz w:val="4"/>
                <w:szCs w:val="4"/>
              </w:rPr>
            </w:pPr>
            <w:r>
              <w:rPr>
                <w:sz w:val="4"/>
                <w:szCs w:val="4"/>
              </w:rPr>
            </w:r>
          </w:p>
        </w:tc>
        <w:tc>
          <w:tcPr>
            <w:tcW w:w="2284" w:type="dxa"/>
            <w:tcBorders/>
            <w:shd w:fill="auto" w:val="clear"/>
            <w:vAlign w:val="center"/>
          </w:tcPr>
          <w:p>
            <w:pPr>
              <w:pStyle w:val="TableContents"/>
              <w:spacing w:before="0" w:after="283"/>
              <w:rPr>
                <w:sz w:val="4"/>
                <w:szCs w:val="4"/>
              </w:rPr>
            </w:pPr>
            <w:r>
              <w:rPr>
                <w:sz w:val="4"/>
                <w:szCs w:val="4"/>
              </w:rPr>
            </w:r>
          </w:p>
        </w:tc>
        <w:tc>
          <w:tcPr>
            <w:tcW w:w="2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1"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22" w:type="dxa"/>
            <w:gridSpan w:val="3"/>
            <w:tcBorders/>
            <w:shd w:fill="auto" w:val="clear"/>
          </w:tcPr>
          <w:p>
            <w:pPr>
              <w:pStyle w:val="TableContents"/>
              <w:spacing w:before="0" w:after="283"/>
              <w:rPr>
                <w:sz w:val="4"/>
                <w:szCs w:val="4"/>
              </w:rPr>
            </w:pPr>
            <w:r>
              <w:rPr>
                <w:sz w:val="4"/>
                <w:szCs w:val="4"/>
              </w:rPr>
            </w:r>
          </w:p>
        </w:tc>
      </w:tr>
      <w:tr>
        <w:trPr/>
        <w:tc>
          <w:tcPr>
            <w:tcW w:w="7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71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Net income from continuing operations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Dilutive impact of stock options, restricted stock units and performance share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1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6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(loss) per ordinary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ordinary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ordinary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Anti-dilutive stock options excluded from the calculation of 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1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7.Accounts Receivable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pStyle w:val="TextBody"/>
        <w:spacing w:lineRule="auto" w:line="288" w:before="0" w:after="180"/>
        <w:jc w:val="both"/>
        <w:rPr/>
      </w:pPr>
      <w:r>
        <w:rPr>
          <w:rFonts w:ascii="Times New Roman;sans-serif" w:hAnsi="Times New Roman;sans-serif"/>
          <w:b w:val="false"/>
          <w:color w:val="000000"/>
          <w:sz w:val="20"/>
        </w:rPr>
        <w:t>Activity related to our allowance for credit losses is summarized as follows for the three months ended March 31, 2023:</w:t>
      </w:r>
      <w:r>
        <w:rPr>
          <w:color w:val="000000"/>
        </w:rPr>
        <w:t> </w:t>
      </w:r>
    </w:p>
    <w:tbl>
      <w:tblPr>
        <w:tblW w:w="8507" w:type="dxa"/>
        <w:jc w:val="left"/>
        <w:tblInd w:w="0" w:type="dxa"/>
        <w:tblCellMar>
          <w:top w:w="28" w:type="dxa"/>
          <w:left w:w="28" w:type="dxa"/>
          <w:bottom w:w="28" w:type="dxa"/>
          <w:right w:w="28" w:type="dxa"/>
        </w:tblCellMar>
      </w:tblPr>
      <w:tblGrid>
        <w:gridCol w:w="2140"/>
        <w:gridCol w:w="1871"/>
        <w:gridCol w:w="1897"/>
        <w:gridCol w:w="619"/>
        <w:gridCol w:w="1505"/>
        <w:gridCol w:w="321"/>
        <w:gridCol w:w="154"/>
      </w:tblGrid>
      <w:tr>
        <w:trPr/>
        <w:tc>
          <w:tcPr>
            <w:tcW w:w="2140"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9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2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08" w:type="dxa"/>
            <w:gridSpan w:val="3"/>
            <w:tcBorders/>
            <w:shd w:fill="auto" w:val="clear"/>
            <w:vAlign w:val="center"/>
          </w:tcPr>
          <w:p>
            <w:pPr>
              <w:pStyle w:val="TableContents"/>
              <w:spacing w:before="0" w:after="283"/>
              <w:rPr>
                <w:sz w:val="4"/>
                <w:szCs w:val="4"/>
              </w:rPr>
            </w:pPr>
            <w:r>
              <w:rPr>
                <w:sz w:val="4"/>
                <w:szCs w:val="4"/>
              </w:rPr>
            </w:r>
          </w:p>
        </w:tc>
        <w:tc>
          <w:tcPr>
            <w:tcW w:w="244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2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53" w:type="dxa"/>
            <w:gridSpan w:val="6"/>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Other amounts are primarily the effects of changes in currency translation and the impact of allowance for credits.</w:t>
            </w:r>
          </w:p>
        </w:tc>
        <w:tc>
          <w:tcPr>
            <w:tcW w:w="154" w:type="dxa"/>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200"/>
        <w:ind w:left="0" w:right="0" w:hanging="720"/>
        <w:rPr>
          <w:rFonts w:ascii="Times New Roman;sans-serif" w:hAnsi="Times New Roman;sans-serif"/>
          <w:b/>
          <w:color w:val="000000"/>
          <w:sz w:val="20"/>
        </w:rPr>
      </w:pPr>
      <w:r>
        <w:rPr>
          <w:rFonts w:ascii="Times New Roman;sans-serif" w:hAnsi="Times New Roman;sans-serif"/>
          <w:b/>
          <w:color w:val="000000"/>
          <w:sz w:val="20"/>
        </w:rPr>
        <w:t>8.Supplemental Balance Sheet Information</w:t>
      </w:r>
    </w:p>
    <w:tbl>
      <w:tblPr>
        <w:tblW w:w="5233" w:type="dxa"/>
        <w:jc w:val="left"/>
        <w:tblInd w:w="0" w:type="dxa"/>
        <w:tblCellMar>
          <w:top w:w="28" w:type="dxa"/>
          <w:left w:w="28" w:type="dxa"/>
          <w:bottom w:w="28" w:type="dxa"/>
          <w:right w:w="28" w:type="dxa"/>
        </w:tblCellMar>
      </w:tblPr>
      <w:tblGrid>
        <w:gridCol w:w="1143"/>
        <w:gridCol w:w="1006"/>
        <w:gridCol w:w="1015"/>
        <w:gridCol w:w="201"/>
        <w:gridCol w:w="572"/>
        <w:gridCol w:w="112"/>
        <w:gridCol w:w="256"/>
        <w:gridCol w:w="727"/>
        <w:gridCol w:w="201"/>
      </w:tblGrid>
      <w:tr>
        <w:trPr/>
        <w:tc>
          <w:tcPr>
            <w:tcW w:w="114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Inventories</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supplies</w:t>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Work-in-process</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current assets</w:t>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in excess of billings</w:t>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 and land improvements</w:t>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 and amortization</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 net</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non-current assets</w:t>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lease assets</w:t>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plan assets</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non-current assets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current liabilities</w:t>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warranty</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rebates and incentives</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freight</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lease liability</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restructuring</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payable</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liabilities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non-current liabilities</w:t>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liability</w:t>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Self-insurance liabilities</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plan liabilities</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contract liabilities</w:t>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non-current liabilities</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9.Goodwill and Other Identifiable Intangible Assets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reportable segment were as follows:</w:t>
      </w:r>
    </w:p>
    <w:tbl>
      <w:tblPr>
        <w:tblW w:w="9279" w:type="dxa"/>
        <w:jc w:val="left"/>
        <w:tblInd w:w="0" w:type="dxa"/>
        <w:tblCellMar>
          <w:top w:w="28" w:type="dxa"/>
          <w:left w:w="28" w:type="dxa"/>
          <w:bottom w:w="28" w:type="dxa"/>
          <w:right w:w="28" w:type="dxa"/>
        </w:tblCellMar>
      </w:tblPr>
      <w:tblGrid>
        <w:gridCol w:w="978"/>
        <w:gridCol w:w="855"/>
        <w:gridCol w:w="866"/>
        <w:gridCol w:w="245"/>
        <w:gridCol w:w="889"/>
        <w:gridCol w:w="126"/>
        <w:gridCol w:w="861"/>
        <w:gridCol w:w="1661"/>
        <w:gridCol w:w="447"/>
        <w:gridCol w:w="109"/>
        <w:gridCol w:w="282"/>
        <w:gridCol w:w="683"/>
        <w:gridCol w:w="146"/>
        <w:gridCol w:w="211"/>
        <w:gridCol w:w="766"/>
        <w:gridCol w:w="154"/>
      </w:tblGrid>
      <w:tr>
        <w:trPr/>
        <w:tc>
          <w:tcPr>
            <w:tcW w:w="978"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Accounting Adjustments</w:t>
            </w:r>
          </w:p>
        </w:tc>
        <w:tc>
          <w:tcPr>
            <w:tcW w:w="109" w:type="dxa"/>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w:t>
              <w:br/>
              <w:t>Currency </w:t>
              <w:br/>
              <w:t>Translation</w:t>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&amp; Flow Technologies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consisted of the following:</w:t>
      </w:r>
    </w:p>
    <w:tbl>
      <w:tblPr>
        <w:tblW w:w="10117" w:type="dxa"/>
        <w:jc w:val="left"/>
        <w:tblInd w:w="0" w:type="dxa"/>
        <w:tblCellMar>
          <w:top w:w="28" w:type="dxa"/>
          <w:left w:w="28" w:type="dxa"/>
          <w:bottom w:w="28" w:type="dxa"/>
          <w:right w:w="28" w:type="dxa"/>
        </w:tblCellMar>
      </w:tblPr>
      <w:tblGrid>
        <w:gridCol w:w="1074"/>
        <w:gridCol w:w="940"/>
        <w:gridCol w:w="955"/>
        <w:gridCol w:w="211"/>
        <w:gridCol w:w="766"/>
        <w:gridCol w:w="109"/>
        <w:gridCol w:w="269"/>
        <w:gridCol w:w="806"/>
        <w:gridCol w:w="141"/>
        <w:gridCol w:w="211"/>
        <w:gridCol w:w="766"/>
        <w:gridCol w:w="109"/>
        <w:gridCol w:w="109"/>
        <w:gridCol w:w="109"/>
        <w:gridCol w:w="109"/>
        <w:gridCol w:w="211"/>
        <w:gridCol w:w="766"/>
        <w:gridCol w:w="109"/>
        <w:gridCol w:w="269"/>
        <w:gridCol w:w="806"/>
        <w:gridCol w:w="141"/>
        <w:gridCol w:w="211"/>
        <w:gridCol w:w="766"/>
        <w:gridCol w:w="154"/>
      </w:tblGrid>
      <w:tr>
        <w:trPr/>
        <w:tc>
          <w:tcPr>
            <w:tcW w:w="1074"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Definite-life intangibles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 and patents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finite-life intangibles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Indefinite-life intangibles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 amortization expense was $13.8 million and $6.6 million for the three months ended March 31, 2023 and 2022, respectively.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for identifiable intangible assets during the remainder of 2023 and the next five years is as follows:</w:t>
      </w:r>
    </w:p>
    <w:tbl>
      <w:tblPr>
        <w:tblW w:w="7745" w:type="dxa"/>
        <w:jc w:val="left"/>
        <w:tblInd w:w="0" w:type="dxa"/>
        <w:tblCellMar>
          <w:top w:w="28" w:type="dxa"/>
          <w:left w:w="28" w:type="dxa"/>
          <w:bottom w:w="28" w:type="dxa"/>
          <w:right w:w="28" w:type="dxa"/>
        </w:tblCellMar>
      </w:tblPr>
      <w:tblGrid>
        <w:gridCol w:w="984"/>
        <w:gridCol w:w="864"/>
        <w:gridCol w:w="866"/>
        <w:gridCol w:w="211"/>
        <w:gridCol w:w="511"/>
        <w:gridCol w:w="109"/>
        <w:gridCol w:w="211"/>
        <w:gridCol w:w="511"/>
        <w:gridCol w:w="109"/>
        <w:gridCol w:w="211"/>
        <w:gridCol w:w="511"/>
        <w:gridCol w:w="109"/>
        <w:gridCol w:w="211"/>
        <w:gridCol w:w="511"/>
        <w:gridCol w:w="109"/>
        <w:gridCol w:w="211"/>
        <w:gridCol w:w="511"/>
        <w:gridCol w:w="109"/>
        <w:gridCol w:w="211"/>
        <w:gridCol w:w="511"/>
        <w:gridCol w:w="154"/>
      </w:tblGrid>
      <w:tr>
        <w:trPr/>
        <w:tc>
          <w:tcPr>
            <w:tcW w:w="98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Q2-Q4</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10.Debt</w:t>
      </w:r>
    </w:p>
    <w:p>
      <w:pPr>
        <w:pStyle w:val="TextBody"/>
        <w:spacing w:lineRule="auto" w:line="288" w:before="0" w:after="0"/>
        <w:jc w:val="both"/>
        <w:rPr/>
      </w:pPr>
      <w:r>
        <w:rPr>
          <w:rFonts w:ascii="Times New Roman;sans-serif" w:hAnsi="Times New Roman;sans-serif"/>
          <w:b w:val="false"/>
          <w:color w:val="000000"/>
          <w:sz w:val="20"/>
        </w:rPr>
        <w:t>Debt and the average interest rates on debt outstanding were as follows:</w:t>
      </w:r>
      <w:r>
        <w:rPr>
          <w:color w:val="000000"/>
        </w:rPr>
        <w:t> </w:t>
      </w:r>
    </w:p>
    <w:tbl>
      <w:tblPr>
        <w:tblW w:w="10205" w:type="dxa"/>
        <w:jc w:val="left"/>
        <w:tblInd w:w="0" w:type="dxa"/>
        <w:tblCellMar>
          <w:top w:w="28" w:type="dxa"/>
          <w:left w:w="28" w:type="dxa"/>
          <w:bottom w:w="28" w:type="dxa"/>
          <w:right w:w="28" w:type="dxa"/>
        </w:tblCellMar>
      </w:tblPr>
      <w:tblGrid>
        <w:gridCol w:w="1311"/>
        <w:gridCol w:w="1120"/>
        <w:gridCol w:w="1134"/>
        <w:gridCol w:w="1072"/>
        <w:gridCol w:w="1072"/>
        <w:gridCol w:w="1076"/>
        <w:gridCol w:w="351"/>
        <w:gridCol w:w="351"/>
        <w:gridCol w:w="353"/>
        <w:gridCol w:w="211"/>
        <w:gridCol w:w="766"/>
        <w:gridCol w:w="109"/>
        <w:gridCol w:w="237"/>
        <w:gridCol w:w="864"/>
        <w:gridCol w:w="178"/>
      </w:tblGrid>
      <w:tr>
        <w:trPr/>
        <w:tc>
          <w:tcPr>
            <w:tcW w:w="1311"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3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interest rate as of March 31, 2023</w:t>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br/>
              <w:t>Year</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565" w:type="dxa"/>
            <w:gridSpan w:val="3"/>
            <w:tcBorders/>
            <w:shd w:fill="auto" w:val="clear"/>
            <w:vAlign w:val="center"/>
          </w:tcPr>
          <w:p>
            <w:pPr>
              <w:pStyle w:val="TableContents"/>
              <w:spacing w:before="0" w:after="283"/>
              <w:rPr>
                <w:sz w:val="4"/>
                <w:szCs w:val="4"/>
              </w:rPr>
            </w:pPr>
            <w:r>
              <w:rPr>
                <w:sz w:val="4"/>
                <w:szCs w:val="4"/>
              </w:rPr>
            </w:r>
          </w:p>
        </w:tc>
        <w:tc>
          <w:tcPr>
            <w:tcW w:w="3220" w:type="dxa"/>
            <w:gridSpan w:val="3"/>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5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(Senior Credit Facility)</w:t>
            </w:r>
          </w:p>
        </w:tc>
        <w:tc>
          <w:tcPr>
            <w:tcW w:w="32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6.080%</w:t>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3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6.114%</w:t>
            </w:r>
          </w:p>
        </w:tc>
        <w:tc>
          <w:tcPr>
            <w:tcW w:w="10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2023 - 2027</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(Senior Credit Facility)</w:t>
            </w:r>
          </w:p>
        </w:tc>
        <w:tc>
          <w:tcPr>
            <w:tcW w:w="32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6.102%</w:t>
            </w:r>
          </w:p>
        </w:tc>
        <w:tc>
          <w:tcPr>
            <w:tcW w:w="10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Senior notes - fixed rate</w:t>
            </w:r>
            <w:r>
              <w:rPr>
                <w:color w:val="000000"/>
              </w:rPr>
              <w:t xml:space="preserve"> </w:t>
            </w:r>
            <w:r>
              <w:rPr>
                <w:rFonts w:ascii="Times New Roman;sans-serif" w:hAnsi="Times New Roman;sans-serif"/>
                <w:b w:val="false"/>
                <w:color w:val="000000"/>
                <w:sz w:val="13"/>
              </w:rPr>
              <w:t>(1)</w:t>
            </w:r>
          </w:p>
        </w:tc>
        <w:tc>
          <w:tcPr>
            <w:tcW w:w="3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4.650%</w:t>
            </w:r>
          </w:p>
        </w:tc>
        <w:tc>
          <w:tcPr>
            <w:tcW w:w="10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Senior notes - fixed rate</w:t>
            </w:r>
            <w:r>
              <w:rPr>
                <w:color w:val="000000"/>
              </w:rPr>
              <w:t xml:space="preserve"> </w:t>
            </w:r>
            <w:r>
              <w:rPr>
                <w:rFonts w:ascii="Times New Roman;sans-serif" w:hAnsi="Times New Roman;sans-serif"/>
                <w:b w:val="false"/>
                <w:color w:val="000000"/>
                <w:sz w:val="13"/>
              </w:rPr>
              <w:t>(1)</w:t>
            </w:r>
          </w:p>
        </w:tc>
        <w:tc>
          <w:tcPr>
            <w:tcW w:w="32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0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Senior notes - fixed rate</w:t>
            </w:r>
            <w:r>
              <w:rPr>
                <w:color w:val="000000"/>
              </w:rPr>
              <w:t xml:space="preserve"> </w:t>
            </w:r>
            <w:r>
              <w:rPr>
                <w:rFonts w:ascii="Times New Roman;sans-serif" w:hAnsi="Times New Roman;sans-serif"/>
                <w:b w:val="false"/>
                <w:color w:val="000000"/>
                <w:sz w:val="13"/>
              </w:rPr>
              <w:t>(1)</w:t>
            </w:r>
          </w:p>
        </w:tc>
        <w:tc>
          <w:tcPr>
            <w:tcW w:w="3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10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and discounts</w:t>
            </w:r>
          </w:p>
        </w:tc>
        <w:tc>
          <w:tcPr>
            <w:tcW w:w="32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5" w:type="dxa"/>
            <w:gridSpan w:val="3"/>
            <w:tcBorders/>
            <w:shd w:fill="auto" w:val="clear"/>
            <w:vAlign w:val="center"/>
          </w:tcPr>
          <w:p>
            <w:pPr>
              <w:pStyle w:val="TableContents"/>
              <w:spacing w:before="0" w:after="283"/>
              <w:rPr>
                <w:sz w:val="4"/>
                <w:szCs w:val="4"/>
              </w:rPr>
            </w:pPr>
            <w:r>
              <w:rPr>
                <w:sz w:val="4"/>
                <w:szCs w:val="4"/>
              </w:rPr>
            </w:r>
          </w:p>
        </w:tc>
        <w:tc>
          <w:tcPr>
            <w:tcW w:w="3220" w:type="dxa"/>
            <w:gridSpan w:val="3"/>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565" w:type="dxa"/>
            <w:gridSpan w:val="3"/>
            <w:tcBorders/>
            <w:shd w:fill="auto" w:val="clear"/>
            <w:vAlign w:val="center"/>
          </w:tcPr>
          <w:p>
            <w:pPr>
              <w:pStyle w:val="TableContents"/>
              <w:spacing w:before="0" w:after="283"/>
              <w:rPr>
                <w:sz w:val="4"/>
                <w:szCs w:val="4"/>
              </w:rPr>
            </w:pPr>
            <w:r>
              <w:rPr>
                <w:sz w:val="4"/>
                <w:szCs w:val="4"/>
              </w:rPr>
            </w:r>
          </w:p>
        </w:tc>
        <w:tc>
          <w:tcPr>
            <w:tcW w:w="3220" w:type="dxa"/>
            <w:gridSpan w:val="3"/>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Senior notes are guaranteed as to payment by Pentair plc.</w:t>
            </w:r>
          </w:p>
        </w:tc>
      </w:tr>
    </w:tbl>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Pentair Finance S.à r.l (“PFSA“) and Pentair, Inc. are parties to a credit agreement (the “Senior Credit Facility”), with Pentair as guarantor and PFSA and Pentair, Inc. as borrowers, which was amended and restated in December 2021 and further amended in December 2022,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total availability under the Senior Credit Facility was $406.4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pStyle w:val="TextBody"/>
        <w:spacing w:lineRule="auto" w:line="288" w:before="200" w:after="283"/>
        <w:jc w:val="both"/>
        <w:rPr/>
      </w:pPr>
      <w:r>
        <w:rPr>
          <w:rFonts w:ascii="Times New Roman;sans-serif" w:hAnsi="Times New Roman;sans-serif"/>
          <w:b w:val="false"/>
          <w:color w:val="000000"/>
          <w:sz w:val="20"/>
        </w:rPr>
        <w:t xml:space="preserve">In March 2022, in contemplation of the acquisition of Manitowoc Ice, Pentair and PFSA entered into a Loan Agreement among PFSA, as borrower, Pentair, as guarantor, and the lenders and agents party thereto, providing for a $600.0 million senior unsecured term loan facility (the “Term Loan Facility”). In June 2022, the Term Loan Facility was amended to increase the facility by $400.0 million to an aggregate principal amount of $1.0 billion. The Term Loan Facility has a maturity date of July 28, 2027, with required quarterly installment payments of $6.3 million beginning on the last day of the third quarter of 2023 and increasing to $12.5 million beginning with the last day of the third quarter of 2024. </w:t>
      </w:r>
      <w:r>
        <w:rPr>
          <w:rFonts w:ascii="Times New Roman;sans-serif" w:hAnsi="Times New Roman;sans-serif"/>
          <w:b w:val="false"/>
          <w:color w:val="000000"/>
          <w:sz w:val="20"/>
          <w:highlight w:val="white"/>
        </w:rPr>
        <w:t xml:space="preserve">The Term Loan Facility bears interest at a rate equal to an alternate base rate, adjusted term secured overnight financing rate, or adjusted daily simple secured overnight financing rate, plus, in each case, an applicable margin. </w:t>
      </w:r>
      <w:r>
        <w:rPr>
          <w:rFonts w:ascii="Times New Roman;sans-serif" w:hAnsi="Times New Roman;sans-serif"/>
          <w:b w:val="false"/>
          <w:color w:val="000000"/>
          <w:sz w:val="20"/>
        </w:rPr>
        <w:t>The applicable margin is based on, at PFSA’s election, Pentair’s leverage level or PFSA’s public credit rating.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in contemplation of the acquisition of Manitowoc Ice, Pentair, as guarantor, and PFSA, as issuer, completed a public offering of $400.0 million aggregate principal amount of 5.900% Senior Notes due 2032 (“2032 Senior Notes”).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used the net proceeds from the Term Loan Facility and the issuance of the 2032 Senior Notes to finance a portion of the Manitowoc Ice acquisition purchase price and to pay related fees and expenses.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 Facility provide for the calculation of EBITDA giving pro forma effect to certain acquisitions, divestitures and liquidations during the period to which such calculation relates.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Senior Credit Facility and the Term Loan Facility, we have various other credit facilities with an aggregate availability of $21.1 million, of which there were no outstanding borrowings at March 31, 2023. Borrowings under these credit facilities bear interest at variable rates.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$18.8 million of Term Loan Facility payments due in the next twelve months. We classified this debt as long-term as of March 31, 2023 as we have the intent and ability to refinance such obligation on a long-term basis under the revolving credit facility under the Senior Credit Facility.</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outstanding, excluding unamortized issuance costs and discounts, at March 31, 2023 matures on a calendar year basis as follows:</w:t>
      </w:r>
    </w:p>
    <w:tbl>
      <w:tblPr>
        <w:tblW w:w="10205" w:type="dxa"/>
        <w:jc w:val="left"/>
        <w:tblInd w:w="0" w:type="dxa"/>
        <w:tblCellMar>
          <w:top w:w="28" w:type="dxa"/>
          <w:left w:w="28" w:type="dxa"/>
          <w:bottom w:w="28" w:type="dxa"/>
          <w:right w:w="28" w:type="dxa"/>
        </w:tblCellMar>
      </w:tblPr>
      <w:tblGrid>
        <w:gridCol w:w="1003"/>
        <w:gridCol w:w="872"/>
        <w:gridCol w:w="871"/>
        <w:gridCol w:w="211"/>
        <w:gridCol w:w="511"/>
        <w:gridCol w:w="109"/>
        <w:gridCol w:w="211"/>
        <w:gridCol w:w="616"/>
        <w:gridCol w:w="109"/>
        <w:gridCol w:w="211"/>
        <w:gridCol w:w="511"/>
        <w:gridCol w:w="109"/>
        <w:gridCol w:w="211"/>
        <w:gridCol w:w="616"/>
        <w:gridCol w:w="109"/>
        <w:gridCol w:w="211"/>
        <w:gridCol w:w="616"/>
        <w:gridCol w:w="109"/>
        <w:gridCol w:w="211"/>
        <w:gridCol w:w="406"/>
        <w:gridCol w:w="109"/>
        <w:gridCol w:w="109"/>
        <w:gridCol w:w="230"/>
        <w:gridCol w:w="671"/>
        <w:gridCol w:w="120"/>
        <w:gridCol w:w="211"/>
        <w:gridCol w:w="766"/>
        <w:gridCol w:w="156"/>
      </w:tblGrid>
      <w:tr>
        <w:trPr/>
        <w:tc>
          <w:tcPr>
            <w:tcW w:w="100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7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Q2-Q4</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debt obligation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274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11.Derivatives and Financial Instruments</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contracts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we had outstanding foreign currency derivative contracts with gross notional U.S. dollar equivalent amounts of $17.1 million and $9.4 million, respectively. The impact of these contracts on the Condensed Consolidated Statements of Operations and Comprehensive Income was not material for any period presented.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Cross currency swaps</w:t>
      </w:r>
    </w:p>
    <w:p>
      <w:pPr>
        <w:pStyle w:val="TextBody"/>
        <w:spacing w:lineRule="auto" w:line="288" w:before="0" w:after="0"/>
        <w:jc w:val="both"/>
        <w:rPr/>
      </w:pPr>
      <w:r>
        <w:rPr>
          <w:rFonts w:ascii="Times New Roman;sans-serif" w:hAnsi="Times New Roman;sans-serif"/>
          <w:b w:val="false"/>
          <w:color w:val="000000"/>
          <w:sz w:val="20"/>
        </w:rPr>
        <w:t xml:space="preserve">At March 31, 2023 and December 31, 2022, we had outstanding cross currency swap agreements with a combined notional amount of $759.1 million and $746.3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$47.6 million and $40.3 million at March 31, 2023 and December 31, 2022, respectively, recorded in </w:t>
      </w:r>
      <w:r>
        <w:rPr>
          <w:rFonts w:ascii="Times New Roman;sans-serif" w:hAnsi="Times New Roman;sans-serif"/>
          <w:b w:val="false"/>
          <w:i/>
          <w:color w:val="000000"/>
          <w:sz w:val="20"/>
        </w:rPr>
        <w:t>Accumulated other comprehensive loss</w:t>
      </w:r>
      <w:r>
        <w:rPr>
          <w:color w:val="000000"/>
        </w:rPr>
        <w:t xml:space="preserve"> </w:t>
      </w:r>
      <w:r>
        <w:rPr>
          <w:rFonts w:ascii="Times New Roman;sans-serif" w:hAnsi="Times New Roman;sans-serif"/>
          <w:b w:val="false"/>
          <w:color w:val="000000"/>
          <w:sz w:val="20"/>
        </w:rPr>
        <w:t>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Hedging of variable interest rates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we entered into floating-to-fixed interest rate swap agreements to hedge the interest rate variability related to a portion of our Senior Credit Facility and Term Loan Facility referenced in Note 10. The swaps have a combined notional amount of $300.0 million, an average fixed one-month U.S. Dollar secured overnight financing rate (“SOFR”) of 3.795% and settle monthly through April 2026.</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 2023, we entered into five-year interest rate collar agreements with a combined notional value of $200.0 million to hedge the cash flows related to the interest rate variability on our Senior Credit Facility and Term Loan Facility referenced in Note 10. In these collar agreements, the Company and counterparty financial institutions agreed to a one-month U.S. Dollar SOFR floor of 1.875% and a cap of 5.000%. The collars have an effective date of April 4, 2023 and settle monthly through April 2028.</w:t>
      </w:r>
    </w:p>
    <w:p>
      <w:pPr>
        <w:pStyle w:val="TextBody"/>
        <w:spacing w:lineRule="auto" w:line="268" w:before="180" w:after="283"/>
        <w:jc w:val="both"/>
        <w:rPr/>
      </w:pPr>
      <w:r>
        <w:rPr>
          <w:rFonts w:ascii="Times New Roman;sans-serif" w:hAnsi="Times New Roman;sans-serif"/>
          <w:b w:val="false"/>
          <w:color w:val="000000"/>
          <w:sz w:val="20"/>
        </w:rPr>
        <w:t xml:space="preserve">The interest rate swaps and the collars were designated as cash flow hedges. Unrealized gains and losses related to the fair value of the interest rate swaps are recorded in </w:t>
      </w:r>
      <w:r>
        <w:rPr>
          <w:rFonts w:ascii="Times New Roman;sans-serif" w:hAnsi="Times New Roman;sans-serif"/>
          <w:b w:val="false"/>
          <w:i/>
          <w:color w:val="000000"/>
          <w:sz w:val="20"/>
        </w:rPr>
        <w:t xml:space="preserve">Accumulated other comprehensive loss </w:t>
      </w:r>
      <w:r>
        <w:rPr>
          <w:rFonts w:ascii="Times New Roman;sans-serif" w:hAnsi="Times New Roman;sans-serif"/>
          <w:b w:val="false"/>
          <w:color w:val="000000"/>
          <w:sz w:val="20"/>
        </w:rPr>
        <w:t xml:space="preserve">on our Condensed Consolidated Balance Sheets. </w:t>
      </w:r>
    </w:p>
    <w:p>
      <w:pPr>
        <w:pStyle w:val="TextBody"/>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tbl>
      <w:tblPr>
        <w:tblW w:w="10205" w:type="dxa"/>
        <w:jc w:val="left"/>
        <w:tblInd w:w="0" w:type="dxa"/>
        <w:tblCellMar>
          <w:top w:w="28" w:type="dxa"/>
          <w:left w:w="28" w:type="dxa"/>
          <w:bottom w:w="28" w:type="dxa"/>
          <w:right w:w="28" w:type="dxa"/>
        </w:tblCellMar>
      </w:tblPr>
      <w:tblGrid>
        <w:gridCol w:w="263"/>
        <w:gridCol w:w="232"/>
        <w:gridCol w:w="233"/>
        <w:gridCol w:w="109"/>
        <w:gridCol w:w="109"/>
        <w:gridCol w:w="109"/>
        <w:gridCol w:w="2716"/>
        <w:gridCol w:w="2663"/>
        <w:gridCol w:w="3771"/>
      </w:tblGrid>
      <w:tr>
        <w:trPr/>
        <w:tc>
          <w:tcPr>
            <w:tcW w:w="26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c>
          <w:tcPr>
            <w:tcW w:w="2663" w:type="dxa"/>
            <w:tcBorders/>
            <w:shd w:fill="auto" w:val="clear"/>
            <w:vAlign w:val="center"/>
          </w:tcPr>
          <w:p>
            <w:pPr>
              <w:pStyle w:val="TableContents"/>
              <w:spacing w:before="0" w:after="283"/>
              <w:rPr>
                <w:sz w:val="4"/>
                <w:szCs w:val="4"/>
              </w:rPr>
            </w:pPr>
            <w:r>
              <w:rPr>
                <w:sz w:val="4"/>
                <w:szCs w:val="4"/>
              </w:rPr>
            </w:r>
          </w:p>
        </w:tc>
        <w:tc>
          <w:tcPr>
            <w:tcW w:w="3771" w:type="dxa"/>
            <w:tcBorders/>
            <w:shd w:fill="auto" w:val="clear"/>
            <w:vAlign w:val="center"/>
          </w:tcPr>
          <w:p>
            <w:pPr>
              <w:pStyle w:val="TableContents"/>
              <w:spacing w:before="0" w:after="283"/>
              <w:rPr>
                <w:sz w:val="4"/>
                <w:szCs w:val="4"/>
              </w:rPr>
            </w:pPr>
            <w:r>
              <w:rPr>
                <w:sz w:val="4"/>
                <w:szCs w:val="4"/>
              </w:rPr>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is based on observable inputs such as quoted market prices (unadjusted) for identical assets or liabilities in active markets.</w:t>
            </w:r>
          </w:p>
        </w:tc>
      </w:tr>
      <w:tr>
        <w:trPr/>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tc>
      </w:tr>
      <w:tr>
        <w:trPr/>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Level 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is based upon other unobservable inputs that are significant to the fair value measurement.</w:t>
            </w:r>
          </w:p>
        </w:tc>
      </w:tr>
    </w:tbl>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lineRule="auto" w:line="288" w:before="0" w:after="0"/>
        <w:jc w:val="both"/>
        <w:rPr/>
      </w:pPr>
      <w:r>
        <w:rPr>
          <w:rFonts w:ascii="Times New Roman;sans-serif" w:hAnsi="Times New Roman;sans-serif"/>
          <w:b w:val="false"/>
          <w:color w:val="000000"/>
          <w:sz w:val="20"/>
        </w:rPr>
        <w:t>The following methods were used to estimate the fair values of each class of financial instrument:</w:t>
      </w:r>
      <w:r>
        <w:rPr>
          <w:color w:val="000000"/>
        </w:rPr>
        <w:t> </w:t>
      </w:r>
    </w:p>
    <w:p>
      <w:pPr>
        <w:pStyle w:val="TextBody"/>
        <w:spacing w:lineRule="auto" w:line="288" w:before="180" w:after="283"/>
        <w:ind w:left="0" w:right="0" w:hanging="360"/>
        <w:jc w:val="both"/>
        <w:rPr/>
      </w:pPr>
      <w:r>
        <w:rPr>
          <w:color w:val="000000"/>
        </w:rPr>
        <w:t>•</w:t>
      </w:r>
      <w:r>
        <w:rPr>
          <w:rFonts w:ascii="Times New Roman;sans-serif" w:hAnsi="Times New Roman;sans-serif"/>
          <w:b w:val="false"/>
          <w:i/>
          <w:color w:val="000000"/>
          <w:sz w:val="20"/>
        </w:rPr>
        <w:t>short-term financial instruments (cash and cash equivalents, accounts and notes receivable, accounts payable and variable-rate debt)</w:t>
      </w:r>
      <w:r>
        <w:rPr>
          <w:color w:val="000000"/>
        </w:rPr>
        <w:t xml:space="preserve"> — </w:t>
      </w:r>
      <w:r>
        <w:rPr>
          <w:rFonts w:ascii="Times New Roman;sans-serif" w:hAnsi="Times New Roman;sans-serif"/>
          <w:b w:val="false"/>
          <w:color w:val="000000"/>
          <w:sz w:val="20"/>
        </w:rPr>
        <w:t>recorded amount approximates fair value because of the short maturity period;</w:t>
      </w:r>
    </w:p>
    <w:p>
      <w:pPr>
        <w:pStyle w:val="TextBody"/>
        <w:spacing w:lineRule="auto" w:line="288" w:before="180" w:after="283"/>
        <w:ind w:left="0" w:right="0" w:hanging="360"/>
        <w:jc w:val="both"/>
        <w:rPr/>
      </w:pPr>
      <w:r>
        <w:rPr>
          <w:color w:val="000000"/>
        </w:rPr>
        <w:t>•</w:t>
      </w:r>
      <w:r>
        <w:rPr>
          <w:rFonts w:ascii="Times New Roman;sans-serif" w:hAnsi="Times New Roman;sans-serif"/>
          <w:b w:val="false"/>
          <w:i/>
          <w:color w:val="000000"/>
          <w:sz w:val="20"/>
        </w:rPr>
        <w:t>long-term fixed-rate debt, including current maturities</w:t>
      </w:r>
      <w:r>
        <w:rPr>
          <w:color w:val="000000"/>
        </w:rPr>
        <w:t xml:space="preserve"> — </w:t>
      </w:r>
      <w:r>
        <w:rPr>
          <w:rFonts w:ascii="Times New Roman;sans-serif" w:hAnsi="Times New Roman;sans-serif"/>
          <w:b w:val="false"/>
          <w:color w:val="000000"/>
          <w:sz w:val="20"/>
        </w:rPr>
        <w:t>fair value is based on market quotes available for issuance of debt with similar terms, which are inputs that are classified as Level 2 in the valuation hierarchy defined above;</w:t>
      </w:r>
    </w:p>
    <w:p>
      <w:pPr>
        <w:pStyle w:val="TextBody"/>
        <w:spacing w:lineRule="auto" w:line="288" w:before="180" w:after="283"/>
        <w:ind w:left="0" w:right="0" w:hanging="360"/>
        <w:jc w:val="both"/>
        <w:rPr/>
      </w:pPr>
      <w:r>
        <w:rPr>
          <w:color w:val="000000"/>
        </w:rPr>
        <w:t>•</w:t>
      </w:r>
      <w:r>
        <w:rPr>
          <w:rFonts w:ascii="Times New Roman;sans-serif" w:hAnsi="Times New Roman;sans-serif"/>
          <w:b w:val="false"/>
          <w:i/>
          <w:color w:val="000000"/>
          <w:sz w:val="20"/>
        </w:rPr>
        <w:t>foreign currency contracts, interest rate swap and collar agreements</w:t>
      </w:r>
      <w:r>
        <w:rPr>
          <w:color w:val="000000"/>
        </w:rPr>
        <w:t xml:space="preserve"> — </w:t>
      </w:r>
      <w:r>
        <w:rPr>
          <w:rFonts w:ascii="Times New Roman;sans-serif" w:hAnsi="Times New Roman;sans-serif"/>
          <w:b w:val="false"/>
          <w:color w:val="000000"/>
          <w:sz w:val="20"/>
        </w:rPr>
        <w:t>fair values are determined through the use of models that consider various assumptions, including time value, yield curves, as well as other relevant economic measures, which are inputs that are classified as Level 2 in the valuation hierarchy defined above;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i/>
          <w:color w:val="000000"/>
          <w:sz w:val="20"/>
        </w:rPr>
        <w:t>deferred compensation plan assets (mutual funds, common/collective trusts and cash equivalents for payment of certain non-qualified benefits for retired, terminated and active employees)</w:t>
      </w:r>
      <w:r>
        <w:rPr>
          <w:color w:val="000000"/>
        </w:rPr>
        <w:t xml:space="preserve"> — </w:t>
      </w:r>
      <w:r>
        <w:rPr>
          <w:rFonts w:ascii="Times New Roman;sans-serif" w:hAnsi="Times New Roman;sans-serif"/>
          <w:b w:val="false"/>
          <w:color w:val="000000"/>
          <w:sz w:val="20"/>
        </w:rPr>
        <w:t>fair value of mutual funds and cash equivalents are based on quoted market prices in active markets that are classified as Level 1 in the valuation hierarchy defined above; fair value of common/collective trusts are valued at net asset value (“NAV”), which is based on the fair value of the underlying securities owned by the fund and divided by the number of shares outstanding.</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recorded amounts and estimated fair values of total debt, excluding unamortized issuance costs and discounts, were as follows:</w:t>
      </w:r>
    </w:p>
    <w:tbl>
      <w:tblPr>
        <w:tblW w:w="6276" w:type="dxa"/>
        <w:jc w:val="left"/>
        <w:tblInd w:w="0" w:type="dxa"/>
        <w:tblCellMar>
          <w:top w:w="28" w:type="dxa"/>
          <w:left w:w="28" w:type="dxa"/>
          <w:bottom w:w="28" w:type="dxa"/>
          <w:right w:w="28" w:type="dxa"/>
        </w:tblCellMar>
      </w:tblPr>
      <w:tblGrid>
        <w:gridCol w:w="566"/>
        <w:gridCol w:w="495"/>
        <w:gridCol w:w="499"/>
        <w:gridCol w:w="211"/>
        <w:gridCol w:w="766"/>
        <w:gridCol w:w="109"/>
        <w:gridCol w:w="211"/>
        <w:gridCol w:w="766"/>
        <w:gridCol w:w="109"/>
        <w:gridCol w:w="109"/>
        <w:gridCol w:w="109"/>
        <w:gridCol w:w="109"/>
        <w:gridCol w:w="211"/>
        <w:gridCol w:w="766"/>
        <w:gridCol w:w="109"/>
        <w:gridCol w:w="211"/>
        <w:gridCol w:w="766"/>
        <w:gridCol w:w="154"/>
      </w:tblGrid>
      <w:tr>
        <w:trPr/>
        <w:tc>
          <w:tcPr>
            <w:tcW w:w="566"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Amount</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Amount</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measured at fair value on a recurring and nonrecurring basis were as follows:</w:t>
      </w:r>
    </w:p>
    <w:tbl>
      <w:tblPr>
        <w:tblW w:w="7584" w:type="dxa"/>
        <w:jc w:val="left"/>
        <w:tblInd w:w="0" w:type="dxa"/>
        <w:tblCellMar>
          <w:top w:w="28" w:type="dxa"/>
          <w:left w:w="28" w:type="dxa"/>
          <w:bottom w:w="28" w:type="dxa"/>
          <w:right w:w="28" w:type="dxa"/>
        </w:tblCellMar>
      </w:tblPr>
      <w:tblGrid>
        <w:gridCol w:w="1206"/>
        <w:gridCol w:w="1057"/>
        <w:gridCol w:w="1066"/>
        <w:gridCol w:w="211"/>
        <w:gridCol w:w="511"/>
        <w:gridCol w:w="109"/>
        <w:gridCol w:w="211"/>
        <w:gridCol w:w="586"/>
        <w:gridCol w:w="109"/>
        <w:gridCol w:w="213"/>
        <w:gridCol w:w="411"/>
        <w:gridCol w:w="112"/>
        <w:gridCol w:w="211"/>
        <w:gridCol w:w="511"/>
        <w:gridCol w:w="109"/>
        <w:gridCol w:w="211"/>
        <w:gridCol w:w="586"/>
        <w:gridCol w:w="154"/>
      </w:tblGrid>
      <w:tr>
        <w:trPr/>
        <w:tc>
          <w:tcPr>
            <w:tcW w:w="1206"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5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liabilities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recurring fair value measurements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bl>
    <w:tbl>
      <w:tblPr>
        <w:tblW w:w="7584" w:type="dxa"/>
        <w:jc w:val="center"/>
        <w:tblInd w:w="0" w:type="dxa"/>
        <w:tblCellMar>
          <w:top w:w="28" w:type="dxa"/>
          <w:left w:w="28" w:type="dxa"/>
          <w:bottom w:w="28" w:type="dxa"/>
          <w:right w:w="28" w:type="dxa"/>
        </w:tblCellMar>
      </w:tblPr>
      <w:tblGrid>
        <w:gridCol w:w="1206"/>
        <w:gridCol w:w="1057"/>
        <w:gridCol w:w="1066"/>
        <w:gridCol w:w="211"/>
        <w:gridCol w:w="511"/>
        <w:gridCol w:w="109"/>
        <w:gridCol w:w="211"/>
        <w:gridCol w:w="586"/>
        <w:gridCol w:w="109"/>
        <w:gridCol w:w="213"/>
        <w:gridCol w:w="411"/>
        <w:gridCol w:w="112"/>
        <w:gridCol w:w="211"/>
        <w:gridCol w:w="511"/>
        <w:gridCol w:w="109"/>
        <w:gridCol w:w="211"/>
        <w:gridCol w:w="586"/>
        <w:gridCol w:w="154"/>
      </w:tblGrid>
      <w:tr>
        <w:trPr/>
        <w:tc>
          <w:tcPr>
            <w:tcW w:w="1206"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5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compensation plan assets </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recurring fair value measurements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12.Income Taxes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income tax rate for the three months ended March 31, 2023 was 14.6%, compared to 15.4% for the three months ended March 31, 2022. We continue to actively pursue initiatives to reduce our effective tax rate. The tax rate in any quarter can be affected positively or negatively by the mix of global earnings or adjustments that are required to be reported in the specific quarter of resolution. </w:t>
      </w:r>
    </w:p>
    <w:p>
      <w:pPr>
        <w:pStyle w:val="TextBody"/>
        <w:spacing w:lineRule="auto" w:line="288" w:before="180" w:after="200"/>
        <w:jc w:val="both"/>
        <w:rPr/>
      </w:pPr>
      <w:r>
        <w:rPr>
          <w:rFonts w:ascii="Times New Roman;sans-serif" w:hAnsi="Times New Roman;sans-serif"/>
          <w:b w:val="false"/>
          <w:color w:val="000000"/>
          <w:sz w:val="20"/>
        </w:rPr>
        <w:t xml:space="preserve">The total gross liability for uncertain tax positions was $39.6 million at March 31, 2023 and December 31, 2022. We record penalties and interest related to unrecognized tax benefits in </w:t>
      </w: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 interest expense</w:t>
      </w:r>
      <w:r>
        <w:rPr>
          <w:rFonts w:ascii="Times New Roman;sans-serif" w:hAnsi="Times New Roman;sans-serif"/>
          <w:b w:val="false"/>
          <w:color w:val="000000"/>
          <w:sz w:val="20"/>
        </w:rPr>
        <w:t>, respectively, on the Condensed Consolidated Statements of Operations and Comprehensive Income, which is consistent with our past practices.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13.Benefit Plans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expense for our pension plans for the three months ended March 31, 2023 and 2022 were as follows:</w:t>
      </w:r>
    </w:p>
    <w:tbl>
      <w:tblPr>
        <w:tblW w:w="5630" w:type="dxa"/>
        <w:jc w:val="left"/>
        <w:tblInd w:w="0" w:type="dxa"/>
        <w:tblCellMar>
          <w:top w:w="28" w:type="dxa"/>
          <w:left w:w="28" w:type="dxa"/>
          <w:bottom w:w="28" w:type="dxa"/>
          <w:right w:w="28" w:type="dxa"/>
        </w:tblCellMar>
      </w:tblPr>
      <w:tblGrid>
        <w:gridCol w:w="936"/>
        <w:gridCol w:w="818"/>
        <w:gridCol w:w="825"/>
        <w:gridCol w:w="109"/>
        <w:gridCol w:w="109"/>
        <w:gridCol w:w="237"/>
        <w:gridCol w:w="458"/>
        <w:gridCol w:w="882"/>
        <w:gridCol w:w="237"/>
        <w:gridCol w:w="279"/>
        <w:gridCol w:w="537"/>
        <w:gridCol w:w="203"/>
      </w:tblGrid>
      <w:tr>
        <w:trPr/>
        <w:tc>
          <w:tcPr>
            <w:tcW w:w="936"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19" w:type="dxa"/>
            <w:gridSpan w:val="3"/>
            <w:tcBorders/>
            <w:shd w:fill="auto" w:val="clea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5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57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expense for our other post-retirement plans for the three months ended March 31, 2023 and 2022 were not material.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14.Shareholders’ Equity</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Board of Directors authorized the repurchase of our ordinary shares up to a maximum dollar limit of $750.0 million. The authorization expires on December 31, 2025. During the three months ended March 31, 2023, no ordinary shares were repurchased. As of March 31, 2023, we had $600.0 million available for share repurchases under this authorization.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Dividends payable</w:t>
      </w:r>
    </w:p>
    <w:p>
      <w:pPr>
        <w:pStyle w:val="TextBody"/>
        <w:spacing w:lineRule="auto" w:line="288" w:before="0" w:after="200"/>
        <w:jc w:val="both"/>
        <w:rPr/>
      </w:pPr>
      <w:r>
        <w:rPr>
          <w:rFonts w:ascii="Times New Roman;sans-serif" w:hAnsi="Times New Roman;sans-serif"/>
          <w:b w:val="false"/>
          <w:color w:val="000000"/>
          <w:sz w:val="20"/>
        </w:rPr>
        <w:t xml:space="preserve">On February 20, 2023, the Board of Directors declared a quarterly cash dividend of $0.22, payable on May 5, 2023 to shareholders of record at the close of business on April 21, 2023. As a result, the balance of dividends payable included in </w:t>
      </w:r>
      <w:r>
        <w:rPr>
          <w:rFonts w:ascii="Times New Roman;sans-serif" w:hAnsi="Times New Roman;sans-serif"/>
          <w:b w:val="false"/>
          <w:i/>
          <w:color w:val="000000"/>
          <w:sz w:val="20"/>
        </w:rPr>
        <w:t xml:space="preserve">Other current liabilities </w:t>
      </w:r>
      <w:r>
        <w:rPr>
          <w:rFonts w:ascii="Times New Roman;sans-serif" w:hAnsi="Times New Roman;sans-serif"/>
          <w:b w:val="false"/>
          <w:color w:val="000000"/>
          <w:sz w:val="20"/>
        </w:rPr>
        <w:t xml:space="preserve">on our Condensed Consolidated Balance Sheets was $36.3 million at March 31, 2023, compared to $36.2 million at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15.Segment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we reorganized our reporting segments to reflect how we are managing our business and to help us accelerate our efforts to improve customer experience, differentiate our products and drive profitability for our shareholders. All prior period amounts related to the segment change have been retrospectively reclassified to conform to the new presentation. As part of this reorganization, the legacy Consumer Solutions segment was divided into a Pool segment and a Water Solutions segment. The Industrial &amp; Flow Technologies segment remains the same. We classify our operations into the following reporting segments:</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Industrial &amp; Flow Technologies </w:t>
      </w:r>
      <w:r>
        <w:rPr>
          <w:color w:val="000000"/>
        </w:rPr>
        <w:t xml:space="preserve">— </w:t>
      </w:r>
      <w:r>
        <w:rPr>
          <w:rFonts w:ascii="Times New Roman;sans-serif" w:hAnsi="Times New Roman;sans-serif"/>
          <w:b w:val="false"/>
          <w:color w:val="000000"/>
          <w:sz w:val="20"/>
        </w:rPr>
        <w:t>The focus of this segment is to deliver water where it is needed, when it is needed and more efficiently and transforming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Water Solutions </w:t>
      </w:r>
      <w:r>
        <w:rPr>
          <w:color w:val="000000"/>
        </w:rPr>
        <w:t xml:space="preserve">— </w:t>
      </w:r>
      <w:r>
        <w:rPr>
          <w:rFonts w:ascii="Times New Roman;sans-serif" w:hAnsi="Times New Roman;sans-serif"/>
          <w:b w:val="false"/>
          <w:color w:val="000000"/>
          <w:sz w:val="20"/>
        </w:rPr>
        <w:t>The focus of this segment is to provide great tasting, higher-quality water and ice while helping end-users use water more 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Pool </w:t>
      </w:r>
      <w:r>
        <w:rPr>
          <w:color w:val="000000"/>
        </w:rPr>
        <w:t xml:space="preserve">— </w:t>
      </w:r>
      <w:r>
        <w:rPr>
          <w:rFonts w:ascii="Times New Roman;sans-serif" w:hAnsi="Times New Roman;sans-serif"/>
          <w:b w:val="false"/>
          <w:color w:val="000000"/>
          <w:sz w:val="20"/>
        </w:rPr>
        <w:t>The focus of this segment is to provide innovative, energy efficient pool solutions to help end-users more sustainably enjoy water. This 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and construction and aquaculture solutions.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reportable segment is as follows:</w:t>
      </w:r>
    </w:p>
    <w:tbl>
      <w:tblPr>
        <w:tblW w:w="5751" w:type="dxa"/>
        <w:jc w:val="left"/>
        <w:tblInd w:w="0" w:type="dxa"/>
        <w:tblCellMar>
          <w:top w:w="28" w:type="dxa"/>
          <w:left w:w="28" w:type="dxa"/>
          <w:bottom w:w="28" w:type="dxa"/>
          <w:right w:w="28" w:type="dxa"/>
        </w:tblCellMar>
      </w:tblPr>
      <w:tblGrid>
        <w:gridCol w:w="978"/>
        <w:gridCol w:w="855"/>
        <w:gridCol w:w="866"/>
        <w:gridCol w:w="109"/>
        <w:gridCol w:w="109"/>
        <w:gridCol w:w="165"/>
        <w:gridCol w:w="320"/>
        <w:gridCol w:w="1164"/>
        <w:gridCol w:w="165"/>
        <w:gridCol w:w="219"/>
        <w:gridCol w:w="641"/>
        <w:gridCol w:w="160"/>
      </w:tblGrid>
      <w:tr>
        <w:trPr/>
        <w:tc>
          <w:tcPr>
            <w:tcW w:w="978"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20" w:type="dxa"/>
            <w:gridSpan w:val="3"/>
            <w:tcBorders/>
            <w:shd w:fill="auto" w:val="clea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&amp; Flow Technologies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&amp; Flow Technologies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1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consolidated segment income to consolidated income from continuing operations before income taxes:</w:t>
      </w:r>
    </w:p>
    <w:tbl>
      <w:tblPr>
        <w:tblW w:w="7702" w:type="dxa"/>
        <w:jc w:val="center"/>
        <w:tblInd w:w="0" w:type="dxa"/>
        <w:tblCellMar>
          <w:top w:w="28" w:type="dxa"/>
          <w:left w:w="28" w:type="dxa"/>
          <w:bottom w:w="28" w:type="dxa"/>
          <w:right w:w="28" w:type="dxa"/>
        </w:tblCellMar>
      </w:tblPr>
      <w:tblGrid>
        <w:gridCol w:w="1686"/>
        <w:gridCol w:w="1474"/>
        <w:gridCol w:w="1490"/>
        <w:gridCol w:w="109"/>
        <w:gridCol w:w="109"/>
        <w:gridCol w:w="189"/>
        <w:gridCol w:w="366"/>
        <w:gridCol w:w="1070"/>
        <w:gridCol w:w="189"/>
        <w:gridCol w:w="219"/>
        <w:gridCol w:w="641"/>
        <w:gridCol w:w="160"/>
      </w:tblGrid>
      <w:tr>
        <w:trPr/>
        <w:tc>
          <w:tcPr>
            <w:tcW w:w="1686"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20" w:type="dxa"/>
            <w:gridSpan w:val="3"/>
            <w:tcBorders/>
            <w:shd w:fill="auto" w:val="clea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Deal-related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and write-offs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Transformation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2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2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2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2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2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 business exit impact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2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accrual adjustments and settlements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2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16.Commitments and Contingencies</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Warranties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pStyle w:val="TextBody"/>
        <w:spacing w:lineRule="auto" w:line="288" w:before="18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service and product warranties from continuing operations for the three months ended March 31, 2023 were as follows:</w:t>
      </w:r>
    </w:p>
    <w:tbl>
      <w:tblPr>
        <w:tblW w:w="4334" w:type="dxa"/>
        <w:jc w:val="left"/>
        <w:tblInd w:w="0" w:type="dxa"/>
        <w:tblCellMar>
          <w:top w:w="28" w:type="dxa"/>
          <w:left w:w="28" w:type="dxa"/>
          <w:bottom w:w="28" w:type="dxa"/>
          <w:right w:w="28" w:type="dxa"/>
        </w:tblCellMar>
      </w:tblPr>
      <w:tblGrid>
        <w:gridCol w:w="1201"/>
        <w:gridCol w:w="1050"/>
        <w:gridCol w:w="1064"/>
        <w:gridCol w:w="245"/>
        <w:gridCol w:w="595"/>
        <w:gridCol w:w="179"/>
      </w:tblGrid>
      <w:tr>
        <w:trPr/>
        <w:tc>
          <w:tcPr>
            <w:tcW w:w="1201"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and product warranty provision</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Stand-by letters of credit, bank guarantees and bonds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pStyle w:val="TextBody"/>
        <w:spacing w:lineRule="auto" w:line="288" w:before="18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outstanding value of bonds, letters of credit and bank guarantees totaled $101.6 million and $99.7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the conflict between Russia and Ukraine and related sanctions;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ESG goals. Additional information concerning these and other factors is contained in our filings with the U.S. Securities and Exchange Commission, including this Form 10-Q and our Annual Report on Form 10-K for the year ended December 31, 2022. All forward-looking statements speak only as of the date of this report. Pentair assumes no obligation, and disclaims any obligation, to update the information contained in this report.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improving, moving or helping people enjoy water, we help manage the world’s most precious resource. We are comprised of three reporting segments: Industrial &amp; Flow Technologies, Water Solutions and Pool. For the first three months of 2023, the Industrial &amp; Flow Technologies, Water Solutions and Pool segments represented approximately 38%, 26% and 36% of total revenues, respectively. We classify our operations into reporting segments based primarily on types of products offered and markets served:</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Industrial &amp; Flow Technologies </w:t>
      </w:r>
      <w:r>
        <w:rPr>
          <w:color w:val="000000"/>
        </w:rPr>
        <w:t xml:space="preserve">— </w:t>
      </w:r>
      <w:r>
        <w:rPr>
          <w:rFonts w:ascii="Times New Roman;sans-serif" w:hAnsi="Times New Roman;sans-serif"/>
          <w:b w:val="false"/>
          <w:color w:val="000000"/>
          <w:sz w:val="20"/>
        </w:rPr>
        <w:t>The focus of this segment is to deliver water where it is needed, when it is needed and more efficiently and transforming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Water Solutions </w:t>
      </w:r>
      <w:r>
        <w:rPr>
          <w:color w:val="000000"/>
        </w:rPr>
        <w:t xml:space="preserve">— </w:t>
      </w:r>
      <w:r>
        <w:rPr>
          <w:rFonts w:ascii="Times New Roman;sans-serif" w:hAnsi="Times New Roman;sans-serif"/>
          <w:b w:val="false"/>
          <w:color w:val="000000"/>
          <w:sz w:val="20"/>
        </w:rPr>
        <w:t>The focus of this segment is to provide great tasting, higher-quality water and ice while helping end-users use water more 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Pool </w:t>
      </w:r>
      <w:r>
        <w:rPr>
          <w:color w:val="000000"/>
        </w:rPr>
        <w:t xml:space="preserve">— </w:t>
      </w:r>
      <w:r>
        <w:rPr>
          <w:rFonts w:ascii="Times New Roman;sans-serif" w:hAnsi="Times New Roman;sans-serif"/>
          <w:b w:val="false"/>
          <w:color w:val="000000"/>
          <w:sz w:val="20"/>
        </w:rPr>
        <w:t>The focus of this segment is to provide innovative, energy efficient pool solutions to help end-users more sustainably enjoy water. This 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and construction and aquaculture solutions.</w:t>
      </w:r>
    </w:p>
    <w:p>
      <w:pPr>
        <w:pStyle w:val="TextBody"/>
        <w:spacing w:lineRule="auto" w:line="26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as part of our Water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Key Trends and Uncertainties Regarding Our Existing Business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trends and uncertainties affected our financial performance in the first three months of 2023 and are reasonably likely to impact our results in the future:</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During 2022 and the first three months of 2023, we executed certain business restructuring initiatives aimed at reducing our fixed cost structure and realigning our business. We expect these actions to continue throughout the remainder of 2023 and to drive margin growth.</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 2021, we created a transformation office and launched and committed resources to the Transformation Program designed to accelerate growth and drive margin expansion by driving operational excellence, reducing complexity and streamlining our processes. During 2022 and the first three months of 2023, we made strategic progress on our Transformation Program initiatives with a primary focus on two of our four key themes of pricing excellence and strategic sourcing and built capabilities across all themes, including the other two of operations excellence and organizational effectiveness. We expect to continue to execute on our key Transformation Program initiatives during 2023 to drive margin expansion and continue to incur transformation costs throughout the remainder of 2023 and beyond.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During the first three months of 2023, we continued to experience supply chain challenges and inflationary cost increases of certain raw materials due to availability constraints and high demand. While we have taken pricing actions and implemented transformation initiatives that we expect to improve productivity and offset these cost increases, we expect supply chain pressures and inflationary cost increases to continue for the remainder of 2023, which may continue thereafter and could negatively impact our results of operations.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The ongoing effects of the COVID-19 pandemic continue to impact global economic conditions. There are many uncertainties regarding the COVID-19 pandemic, including the duration and severity of the pandemic, the spread of increasing number of virus variants, the extent of worldwide social, political and economic disruption it may continue to cause and the distribution and effectiveness of vaccines to address the COVID-19 virus. The broader implications of the COVID-19 pandemic that are reasonably likely to impact our business, financial condition, results of operations and cash flows cannot be determined at this time, and ultimately will be affected by a number of evolving factors including the length of time that the pandemic continues and the impact of vaccines on it, the impact of virus variants, the effectiveness of vaccinations, the pandemic’s effect on the demand for our products and services, our supply chain, and our manufacturing and distribution capacity, as well as the impact of governmental regulations imposed in response to the pandemic.</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our operating objectives focus on delivering our core and building our future. We expect to execute these objectives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Delivering profitable revenue growth and productivity for customers and shareholders;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Continuing to focus on capital allocation through:</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Committing to maintain our investment grade rating;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Focusing on reducing our long-term debt;</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Returning cash to shareholders through dividends and share repurchases;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Accelerating our performance with strategically-aligned mergers and acquisitions;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Focusing growth initiatives that accelerate our investments in digital, technology and services expansion;</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Continuing to implement our Transformation Program initiatives that will drive operational excellence, reduce complexity and improve our organizational structure;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Building a high performance growth culture and delivering on our commitments while living our Win Right values.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results of operations for the three months ended March 31, 2023 and March 31, 2022 were as follows: </w:t>
      </w:r>
    </w:p>
    <w:tbl>
      <w:tblPr>
        <w:tblW w:w="9006" w:type="dxa"/>
        <w:jc w:val="left"/>
        <w:tblInd w:w="0" w:type="dxa"/>
        <w:tblCellMar>
          <w:top w:w="28" w:type="dxa"/>
          <w:left w:w="28" w:type="dxa"/>
          <w:bottom w:w="28" w:type="dxa"/>
          <w:right w:w="28" w:type="dxa"/>
        </w:tblCellMar>
      </w:tblPr>
      <w:tblGrid>
        <w:gridCol w:w="1687"/>
        <w:gridCol w:w="1474"/>
        <w:gridCol w:w="1488"/>
        <w:gridCol w:w="211"/>
        <w:gridCol w:w="766"/>
        <w:gridCol w:w="271"/>
        <w:gridCol w:w="211"/>
        <w:gridCol w:w="616"/>
        <w:gridCol w:w="271"/>
        <w:gridCol w:w="211"/>
        <w:gridCol w:w="511"/>
        <w:gridCol w:w="109"/>
        <w:gridCol w:w="254"/>
        <w:gridCol w:w="257"/>
        <w:gridCol w:w="669"/>
      </w:tblGrid>
      <w:tr>
        <w:trPr/>
        <w:tc>
          <w:tcPr>
            <w:tcW w:w="1687"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w:t>
              <w:br/>
              <w:t>Change</w:t>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w:t>
              <w:br/>
              <w:t>Change</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i/>
                <w:color w:val="000000"/>
                <w:sz w:val="20"/>
              </w:rPr>
              <w:t>% of net sales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3.9 </w:t>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0.4 </w:t>
            </w:r>
          </w:p>
        </w:tc>
        <w:tc>
          <w:tcPr>
            <w:tcW w:w="6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0.2 </w:t>
            </w:r>
          </w:p>
        </w:tc>
        <w:tc>
          <w:tcPr>
            <w:tcW w:w="6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6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3.2 </w:t>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20"/>
              </w:rPr>
              <w:t>Effective tax rate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(0.8)</w:t>
            </w:r>
          </w:p>
        </w:tc>
        <w:tc>
          <w:tcPr>
            <w:tcW w:w="6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N.M. Not Meaningful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consolidated net sales change from the prior period were as follows:</w:t>
      </w:r>
    </w:p>
    <w:tbl>
      <w:tblPr>
        <w:tblW w:w="5464" w:type="dxa"/>
        <w:jc w:val="left"/>
        <w:tblInd w:w="0" w:type="dxa"/>
        <w:tblCellMar>
          <w:top w:w="28" w:type="dxa"/>
          <w:left w:w="28" w:type="dxa"/>
          <w:bottom w:w="28" w:type="dxa"/>
          <w:right w:w="28" w:type="dxa"/>
        </w:tblCellMar>
      </w:tblPr>
      <w:tblGrid>
        <w:gridCol w:w="764"/>
        <w:gridCol w:w="673"/>
        <w:gridCol w:w="678"/>
        <w:gridCol w:w="109"/>
        <w:gridCol w:w="660"/>
        <w:gridCol w:w="660"/>
        <w:gridCol w:w="1920"/>
      </w:tblGrid>
      <w:tr>
        <w:trPr/>
        <w:tc>
          <w:tcPr>
            <w:tcW w:w="764"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over the prior year period </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growth</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92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Acquisition/Divestitures</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9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9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2.9 percent increase in net sales in the first quarter of 2023 from 2022 was primarily driven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increases in selling prices to mitigate a rise in inflationary costs;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in our commercial business within our Water Solutions segment from the acquisition of Manitowoc Ice, which was completed in the third quarter of 2022;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sales volume increase in our Industrial &amp; Flow Technologies segment mainly driven by our commercial flow and industrial solutions businesses.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increase was partially offset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sales volume decreases in our Pool segment primarily due to unusual U.S. weather in the West, higher channel inventory and lower demand compared to the first quarter of the prior year;</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sales volume decrease in our residential business within our Water Solutions segment driven by lower demand compared to the first quarter of the prior year and certain business exits announced in the second half of 2022;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 compared to the first quarter of the prior year.</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3.9 percentage point increase in gross profit as a percentage of net sales in the first three months of 2023 from 2022 was primarily driven by: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increases in selling prices to mitigate impacts of inflation;</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within our Water Solutions segment as a result of certain transformation and restructuring initiatives;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increased productivity in our Industrial &amp; Flow Technologies segment mainly driven by manufacturing leverage and transformation initiatives. </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increase was partially offset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inflationary cost increases related to labor costs and certain raw materials; and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asset impairments and write-offs of $3.9 million recorded in the first quarter of 2023.</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 (“SG&amp;A”)</w:t>
      </w:r>
    </w:p>
    <w:p>
      <w:pPr>
        <w:pStyle w:val="TextBody"/>
        <w:spacing w:lineRule="auto" w:line="288" w:before="0" w:after="0"/>
        <w:jc w:val="both"/>
        <w:rPr/>
      </w:pPr>
      <w:r>
        <w:rPr>
          <w:rFonts w:ascii="Times New Roman;sans-serif" w:hAnsi="Times New Roman;sans-serif"/>
          <w:b w:val="false"/>
          <w:i/>
          <w:color w:val="000000"/>
          <w:sz w:val="20"/>
        </w:rPr>
        <w:t>The 0.4 percentage point increase in SG&amp;A as a percentage of net sales in the first quarter</w:t>
      </w:r>
      <w:r>
        <w:rPr>
          <w:color w:val="000000"/>
        </w:rPr>
        <w:t xml:space="preserve"> </w:t>
      </w:r>
      <w:r>
        <w:rPr>
          <w:rFonts w:ascii="Times New Roman;sans-serif" w:hAnsi="Times New Roman;sans-serif"/>
          <w:b w:val="false"/>
          <w:i/>
          <w:color w:val="000000"/>
          <w:sz w:val="20"/>
        </w:rPr>
        <w:t xml:space="preserve">of 2023 from 2022 was primarily driven by: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identifiable intangible asset amortization expense of $8.5 million related to the addition of Manitowoc Ice’s definite-lived intangible assets in the third quarter of 2022;</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transformation costs of $8.5 million in the first quarter of 2023, compared to $5.5 million in the first quarter of 2022; and</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including higher employee labor costs in the first quarter of 2023.</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increase was partially offset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a charge of $4.2 million recorded in the first quarter of 2022 for the write-off of uncollectible accounts receivable and other costs incurred in light of our exiting of business activity and sales in Russia that did not recur in the first quarter of 2023;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deal-related costs and expenses of $6.4 million in the first quarter of 2022, compared to none in the current period.</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interest expense</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increase in net interest expense in the first quarter of 2023 from 2022 was primarily driven by: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debt due to the acquisition of Manitowoc Ice in the third quarter of 2022;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variable interest rates in the first quarter of 2023, compared to the same period of the prior year.</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0" w:after="180"/>
        <w:jc w:val="both"/>
        <w:rPr/>
      </w:pPr>
      <w:r>
        <w:rPr>
          <w:rFonts w:ascii="Times New Roman;sans-serif" w:hAnsi="Times New Roman;sans-serif"/>
          <w:b w:val="false"/>
          <w:i/>
          <w:color w:val="000000"/>
          <w:sz w:val="20"/>
        </w:rPr>
        <w:t>The 0.8 percentage point decrease in the effective tax rate in the first quarter of 2023 from 2022 was primarily driven b</w:t>
      </w:r>
      <w:r>
        <w:rPr>
          <w:rFonts w:ascii="Times New Roman;sans-serif" w:hAnsi="Times New Roman;sans-serif"/>
          <w:b w:val="false"/>
          <w:color w:val="000000"/>
          <w:sz w:val="20"/>
        </w:rPr>
        <w:t>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the favorable mix of global earnings.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that follows provides a discussion of the results of operations of our three reportable segments (Industrial &amp; Flow Technologies, Water Solutions and Pool). Each of these segments is comprised of various product offerings that serve multiple end users.</w:t>
      </w:r>
    </w:p>
    <w:p>
      <w:pPr>
        <w:pStyle w:val="TextBody"/>
        <w:spacing w:before="0" w:after="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and transformation activities, impairments, legal accrual adjustments and settlements and other unusual non-operating items.</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Industrial &amp; Flow Technologies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sales and segment income for Industrial &amp; Flow Technologies were as follows:</w:t>
      </w:r>
    </w:p>
    <w:tbl>
      <w:tblPr>
        <w:tblW w:w="6914" w:type="dxa"/>
        <w:jc w:val="left"/>
        <w:tblInd w:w="0" w:type="dxa"/>
        <w:tblCellMar>
          <w:top w:w="28" w:type="dxa"/>
          <w:left w:w="28" w:type="dxa"/>
          <w:bottom w:w="28" w:type="dxa"/>
          <w:right w:w="28" w:type="dxa"/>
        </w:tblCellMar>
      </w:tblPr>
      <w:tblGrid>
        <w:gridCol w:w="582"/>
        <w:gridCol w:w="509"/>
        <w:gridCol w:w="514"/>
        <w:gridCol w:w="109"/>
        <w:gridCol w:w="109"/>
        <w:gridCol w:w="109"/>
        <w:gridCol w:w="109"/>
        <w:gridCol w:w="163"/>
        <w:gridCol w:w="317"/>
        <w:gridCol w:w="926"/>
        <w:gridCol w:w="407"/>
        <w:gridCol w:w="211"/>
        <w:gridCol w:w="616"/>
        <w:gridCol w:w="271"/>
        <w:gridCol w:w="109"/>
        <w:gridCol w:w="109"/>
        <w:gridCol w:w="109"/>
        <w:gridCol w:w="266"/>
        <w:gridCol w:w="266"/>
        <w:gridCol w:w="1103"/>
      </w:tblGrid>
      <w:tr>
        <w:trPr/>
        <w:tc>
          <w:tcPr>
            <w:tcW w:w="582"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3"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bl>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sales</w:t>
      </w:r>
    </w:p>
    <w:p>
      <w:pPr>
        <w:pStyle w:val="TextBody"/>
        <w:spacing w:lineRule="auto" w:line="288" w:before="0" w:after="0"/>
        <w:jc w:val="both"/>
        <w:rPr/>
      </w:pPr>
      <w:r>
        <w:rPr>
          <w:rFonts w:ascii="Times New Roman;sans-serif" w:hAnsi="Times New Roman;sans-serif"/>
          <w:b w:val="false"/>
          <w:color w:val="000000"/>
          <w:sz w:val="20"/>
          <w:highlight w:val="white"/>
        </w:rPr>
        <w:t xml:space="preserve">The components of the change in </w:t>
      </w:r>
      <w:r>
        <w:rPr>
          <w:rFonts w:ascii="Times New Roman;sans-serif" w:hAnsi="Times New Roman;sans-serif"/>
          <w:b w:val="false"/>
          <w:color w:val="000000"/>
          <w:sz w:val="20"/>
        </w:rPr>
        <w:t>Industrial &amp; Flow Technologies</w:t>
      </w:r>
      <w:r>
        <w:rPr>
          <w:color w:val="000000"/>
          <w:highlight w:val="white"/>
        </w:rPr>
        <w:t xml:space="preserve"> </w:t>
      </w:r>
      <w:r>
        <w:rPr>
          <w:rFonts w:ascii="Times New Roman;sans-serif" w:hAnsi="Times New Roman;sans-serif"/>
          <w:b w:val="false"/>
          <w:color w:val="000000"/>
          <w:sz w:val="20"/>
          <w:highlight w:val="white"/>
        </w:rPr>
        <w:t>net sales from the prior period were as follows:</w:t>
      </w:r>
    </w:p>
    <w:tbl>
      <w:tblPr>
        <w:tblW w:w="4474" w:type="dxa"/>
        <w:jc w:val="left"/>
        <w:tblInd w:w="0" w:type="dxa"/>
        <w:tblCellMar>
          <w:top w:w="28" w:type="dxa"/>
          <w:left w:w="28" w:type="dxa"/>
          <w:bottom w:w="28" w:type="dxa"/>
          <w:right w:w="28" w:type="dxa"/>
        </w:tblCellMar>
      </w:tblPr>
      <w:tblGrid>
        <w:gridCol w:w="407"/>
        <w:gridCol w:w="358"/>
        <w:gridCol w:w="360"/>
        <w:gridCol w:w="109"/>
        <w:gridCol w:w="660"/>
        <w:gridCol w:w="660"/>
        <w:gridCol w:w="1920"/>
      </w:tblGrid>
      <w:tr>
        <w:trPr/>
        <w:tc>
          <w:tcPr>
            <w:tcW w:w="40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growth</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92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vAlign w:val="center"/>
          </w:tcPr>
          <w:p>
            <w:pPr>
              <w:pStyle w:val="TableContents"/>
              <w:spacing w:before="0" w:after="283"/>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9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9.4 percent increase in net sales for Industrial &amp; Flow Technologies in the first quarter of 2023 from 2022 was primarily driven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increases in selling prices to mitigate inflationary cost increases; and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volume in our commercial flow and industrial solutions businesses.</w:t>
      </w:r>
    </w:p>
    <w:p>
      <w:pPr>
        <w:pStyle w:val="TextBody"/>
        <w:spacing w:lineRule="auto" w:line="288" w:before="18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 compared to the same period of the prior year.</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Segment income</w:t>
      </w:r>
    </w:p>
    <w:p>
      <w:pPr>
        <w:pStyle w:val="TextBody"/>
        <w:spacing w:lineRule="auto" w:line="288" w:before="0" w:after="0"/>
        <w:jc w:val="both"/>
        <w:rPr/>
      </w:pPr>
      <w:r>
        <w:rPr>
          <w:rFonts w:ascii="Times New Roman;sans-serif" w:hAnsi="Times New Roman;sans-serif"/>
          <w:b w:val="false"/>
          <w:color w:val="000000"/>
          <w:sz w:val="20"/>
          <w:highlight w:val="white"/>
        </w:rPr>
        <w:t>The components of the change in Industrial &amp; Flow Technologies segment income as a percentage of net sales from the prior period were as follows:</w:t>
      </w:r>
      <w:r>
        <w:rPr>
          <w:color w:val="000000"/>
        </w:rPr>
        <w:t xml:space="preserve"> </w:t>
      </w:r>
    </w:p>
    <w:tbl>
      <w:tblPr>
        <w:tblW w:w="4532" w:type="dxa"/>
        <w:jc w:val="center"/>
        <w:tblInd w:w="0" w:type="dxa"/>
        <w:tblCellMar>
          <w:top w:w="28" w:type="dxa"/>
          <w:left w:w="28" w:type="dxa"/>
          <w:bottom w:w="28" w:type="dxa"/>
          <w:right w:w="28" w:type="dxa"/>
        </w:tblCellMar>
      </w:tblPr>
      <w:tblGrid>
        <w:gridCol w:w="429"/>
        <w:gridCol w:w="376"/>
        <w:gridCol w:w="379"/>
        <w:gridCol w:w="109"/>
        <w:gridCol w:w="524"/>
        <w:gridCol w:w="524"/>
        <w:gridCol w:w="2191"/>
      </w:tblGrid>
      <w:tr>
        <w:trPr/>
        <w:tc>
          <w:tcPr>
            <w:tcW w:w="42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Growth/Price</w:t>
            </w:r>
          </w:p>
        </w:tc>
        <w:tc>
          <w:tcPr>
            <w:tcW w:w="109"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1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w:t>
            </w:r>
          </w:p>
        </w:tc>
        <w:tc>
          <w:tcPr>
            <w:tcW w:w="109"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w:t>
            </w:r>
          </w:p>
        </w:tc>
        <w:tc>
          <w:tcPr>
            <w:tcW w:w="109"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bl>
    <w:p>
      <w:pPr>
        <w:pStyle w:val="TextBody"/>
        <w:spacing w:lineRule="auto" w:line="288" w:before="80" w:after="283"/>
        <w:jc w:val="both"/>
        <w:rPr/>
      </w:pPr>
      <w:r>
        <w:rPr>
          <w:rFonts w:ascii="Times New Roman;sans-serif" w:hAnsi="Times New Roman;sans-serif"/>
          <w:b w:val="false"/>
          <w:i/>
          <w:color w:val="000000"/>
          <w:sz w:val="20"/>
        </w:rPr>
        <w:t>The 2.0 percentage point increase in segment income for Industrial &amp; Flow Technologies as a percentage of net sales in the first quarter of 2023 from 2022 was primarily driven by:</w:t>
      </w:r>
      <w:r>
        <w:rPr>
          <w:color w:val="000000"/>
        </w:rPr>
        <w:t xml:space="preserve">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increases in selling prices to mitigate inflationary cost increases; and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mainly driven by manufacturing leverage and transformation initiatives.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spacing w:lineRule="auto" w:line="288" w:before="180" w:after="200"/>
        <w:ind w:left="0" w:right="0" w:hanging="360"/>
        <w:jc w:val="both"/>
        <w:rPr/>
      </w:pPr>
      <w:r>
        <w:rPr>
          <w:color w:val="000000"/>
        </w:rPr>
        <w:t>•</w:t>
      </w:r>
      <w:r>
        <w:rPr>
          <w:rFonts w:ascii="Times New Roman;sans-serif" w:hAnsi="Times New Roman;sans-serif"/>
          <w:b w:val="false"/>
          <w:color w:val="000000"/>
          <w:sz w:val="20"/>
        </w:rPr>
        <w:t>inflationary cost increases related to labor costs and certain raw materials.</w:t>
      </w:r>
    </w:p>
    <w:p>
      <w:pPr>
        <w:pStyle w:val="TextBody"/>
        <w:spacing w:before="180" w:after="20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Water Solutions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sales and segment income for Water Solutions were as follows:</w:t>
      </w:r>
    </w:p>
    <w:tbl>
      <w:tblPr>
        <w:tblW w:w="6914" w:type="dxa"/>
        <w:jc w:val="left"/>
        <w:tblInd w:w="0" w:type="dxa"/>
        <w:tblCellMar>
          <w:top w:w="28" w:type="dxa"/>
          <w:left w:w="28" w:type="dxa"/>
          <w:bottom w:w="28" w:type="dxa"/>
          <w:right w:w="28" w:type="dxa"/>
        </w:tblCellMar>
      </w:tblPr>
      <w:tblGrid>
        <w:gridCol w:w="582"/>
        <w:gridCol w:w="509"/>
        <w:gridCol w:w="514"/>
        <w:gridCol w:w="109"/>
        <w:gridCol w:w="109"/>
        <w:gridCol w:w="109"/>
        <w:gridCol w:w="109"/>
        <w:gridCol w:w="163"/>
        <w:gridCol w:w="317"/>
        <w:gridCol w:w="926"/>
        <w:gridCol w:w="407"/>
        <w:gridCol w:w="211"/>
        <w:gridCol w:w="616"/>
        <w:gridCol w:w="271"/>
        <w:gridCol w:w="109"/>
        <w:gridCol w:w="109"/>
        <w:gridCol w:w="109"/>
        <w:gridCol w:w="266"/>
        <w:gridCol w:w="266"/>
        <w:gridCol w:w="1103"/>
      </w:tblGrid>
      <w:tr>
        <w:trPr/>
        <w:tc>
          <w:tcPr>
            <w:tcW w:w="582"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3"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w:t>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19.3 </w:t>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8.5 </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bl>
    <w:p>
      <w:pPr>
        <w:pStyle w:val="TextBody"/>
        <w:spacing w:lineRule="auto" w:line="288" w:before="18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sales</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components of the change in Water Solutions net sales from the prior period were as follows:</w:t>
      </w:r>
    </w:p>
    <w:tbl>
      <w:tblPr>
        <w:tblW w:w="5464" w:type="dxa"/>
        <w:jc w:val="center"/>
        <w:tblInd w:w="0" w:type="dxa"/>
        <w:tblCellMar>
          <w:top w:w="28" w:type="dxa"/>
          <w:left w:w="28" w:type="dxa"/>
          <w:bottom w:w="28" w:type="dxa"/>
          <w:right w:w="28" w:type="dxa"/>
        </w:tblCellMar>
      </w:tblPr>
      <w:tblGrid>
        <w:gridCol w:w="764"/>
        <w:gridCol w:w="673"/>
        <w:gridCol w:w="678"/>
        <w:gridCol w:w="109"/>
        <w:gridCol w:w="660"/>
        <w:gridCol w:w="660"/>
        <w:gridCol w:w="1920"/>
      </w:tblGrid>
      <w:tr>
        <w:trPr/>
        <w:tc>
          <w:tcPr>
            <w:tcW w:w="764"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growth</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2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Acquisition/Divestitures</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9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32.2 percent increase in net sales for Water Solutions in the first quarter of 2023 from 2022 was primarily driven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in our commercial business as a result of the acquisition of Manitowoc Ice, which was completed in the third quarter of 2022;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increases in selling prices to mitigate inflationary cost increases.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our residential business driven by lower demand compared to the first quarter of the prior year and certain business exits announced in the second half of 2022;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 compared to the first quarter of the prior year.</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Segment income</w:t>
      </w:r>
    </w:p>
    <w:p>
      <w:pPr>
        <w:pStyle w:val="TextBody"/>
        <w:spacing w:lineRule="auto" w:line="288" w:before="0" w:after="0"/>
        <w:jc w:val="both"/>
        <w:rPr/>
      </w:pPr>
      <w:r>
        <w:rPr>
          <w:rFonts w:ascii="Times New Roman;sans-serif" w:hAnsi="Times New Roman;sans-serif"/>
          <w:b w:val="false"/>
          <w:color w:val="000000"/>
          <w:sz w:val="20"/>
          <w:highlight w:val="white"/>
        </w:rPr>
        <w:t>The components of the change in Water Solutions segment income as a percentage of net sales from the prior period were as follows:</w:t>
      </w:r>
      <w:r>
        <w:rPr>
          <w:color w:val="000000"/>
        </w:rPr>
        <w:t xml:space="preserve"> </w:t>
      </w:r>
    </w:p>
    <w:tbl>
      <w:tblPr>
        <w:tblW w:w="6589" w:type="dxa"/>
        <w:jc w:val="center"/>
        <w:tblInd w:w="0" w:type="dxa"/>
        <w:tblCellMar>
          <w:top w:w="28" w:type="dxa"/>
          <w:left w:w="28" w:type="dxa"/>
          <w:bottom w:w="28" w:type="dxa"/>
          <w:right w:w="28" w:type="dxa"/>
        </w:tblCellMar>
      </w:tblPr>
      <w:tblGrid>
        <w:gridCol w:w="1173"/>
        <w:gridCol w:w="1031"/>
        <w:gridCol w:w="1036"/>
        <w:gridCol w:w="109"/>
        <w:gridCol w:w="482"/>
        <w:gridCol w:w="482"/>
        <w:gridCol w:w="2276"/>
      </w:tblGrid>
      <w:tr>
        <w:trPr/>
        <w:tc>
          <w:tcPr>
            <w:tcW w:w="11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Growth/Price/Acquisition/Divestitures</w:t>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w:t>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w:t>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bl>
    <w:p>
      <w:pPr>
        <w:pStyle w:val="TextBody"/>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8.5 percentage point increase in segment income for Water Solutions as a percentage of net sales in the first quarter of 2023 from 2022 was primarily driven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increased sales in our commercial business as a result of the Manitowoc Ice acquisition;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increases in selling prices to mitigate inflationary cost increases; and</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increased productivity as a result of certain transformation and restructuring initiatives.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increase was partially offset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related to labor costs and certain raw materials;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 compared to the first quarter of the prior year.</w:t>
      </w:r>
    </w:p>
    <w:p>
      <w:pPr>
        <w:pStyle w:val="TextBody"/>
        <w:spacing w:lineRule="auto" w:line="288" w:before="180" w:after="180"/>
        <w:ind w:left="0" w:right="0" w:firstLine="180"/>
        <w:jc w:val="both"/>
        <w:rPr>
          <w:rFonts w:ascii="Times New Roman;sans-serif" w:hAnsi="Times New Roman;sans-serif"/>
          <w:b/>
          <w:color w:val="000000"/>
          <w:sz w:val="20"/>
        </w:rPr>
      </w:pPr>
      <w:r>
        <w:rPr>
          <w:rFonts w:ascii="Times New Roman;sans-serif" w:hAnsi="Times New Roman;sans-serif"/>
          <w:b/>
          <w:color w:val="000000"/>
          <w:sz w:val="20"/>
        </w:rPr>
        <w:t>Pool</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sales and segment income for Pool were as follows:</w:t>
      </w:r>
    </w:p>
    <w:tbl>
      <w:tblPr>
        <w:tblW w:w="6914" w:type="dxa"/>
        <w:jc w:val="left"/>
        <w:tblInd w:w="0" w:type="dxa"/>
        <w:tblCellMar>
          <w:top w:w="28" w:type="dxa"/>
          <w:left w:w="28" w:type="dxa"/>
          <w:bottom w:w="28" w:type="dxa"/>
          <w:right w:w="28" w:type="dxa"/>
        </w:tblCellMar>
      </w:tblPr>
      <w:tblGrid>
        <w:gridCol w:w="582"/>
        <w:gridCol w:w="509"/>
        <w:gridCol w:w="514"/>
        <w:gridCol w:w="109"/>
        <w:gridCol w:w="109"/>
        <w:gridCol w:w="109"/>
        <w:gridCol w:w="109"/>
        <w:gridCol w:w="163"/>
        <w:gridCol w:w="317"/>
        <w:gridCol w:w="926"/>
        <w:gridCol w:w="407"/>
        <w:gridCol w:w="211"/>
        <w:gridCol w:w="616"/>
        <w:gridCol w:w="271"/>
        <w:gridCol w:w="109"/>
        <w:gridCol w:w="109"/>
        <w:gridCol w:w="109"/>
        <w:gridCol w:w="266"/>
        <w:gridCol w:w="266"/>
        <w:gridCol w:w="1103"/>
      </w:tblGrid>
      <w:tr>
        <w:trPr/>
        <w:tc>
          <w:tcPr>
            <w:tcW w:w="582"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3"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5.2 </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bl>
    <w:p>
      <w:pPr>
        <w:pStyle w:val="TextBody"/>
        <w:spacing w:lineRule="auto" w:line="288" w:before="18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sales</w:t>
      </w:r>
    </w:p>
    <w:p>
      <w:pPr>
        <w:pStyle w:val="TextBody"/>
        <w:spacing w:lineRule="auto" w:line="288" w:before="0" w:after="180"/>
        <w:jc w:val="both"/>
        <w:rPr/>
      </w:pPr>
      <w:r>
        <w:rPr>
          <w:rFonts w:ascii="Times New Roman;sans-serif" w:hAnsi="Times New Roman;sans-serif"/>
          <w:b w:val="false"/>
          <w:color w:val="000000"/>
          <w:sz w:val="20"/>
          <w:highlight w:val="white"/>
        </w:rPr>
        <w:t xml:space="preserve">The components of the change in </w:t>
      </w:r>
      <w:r>
        <w:rPr>
          <w:rFonts w:ascii="Times New Roman;sans-serif" w:hAnsi="Times New Roman;sans-serif"/>
          <w:b w:val="false"/>
          <w:color w:val="000000"/>
          <w:sz w:val="20"/>
        </w:rPr>
        <w:t>Pool</w:t>
      </w:r>
      <w:r>
        <w:rPr>
          <w:color w:val="000000"/>
          <w:highlight w:val="white"/>
        </w:rPr>
        <w:t xml:space="preserve"> </w:t>
      </w:r>
      <w:r>
        <w:rPr>
          <w:rFonts w:ascii="Times New Roman;sans-serif" w:hAnsi="Times New Roman;sans-serif"/>
          <w:b w:val="false"/>
          <w:color w:val="000000"/>
          <w:sz w:val="20"/>
          <w:highlight w:val="white"/>
        </w:rPr>
        <w:t>net sales from the prior period were as follows:</w:t>
      </w:r>
    </w:p>
    <w:tbl>
      <w:tblPr>
        <w:tblW w:w="4474" w:type="dxa"/>
        <w:jc w:val="left"/>
        <w:tblInd w:w="0" w:type="dxa"/>
        <w:tblCellMar>
          <w:top w:w="28" w:type="dxa"/>
          <w:left w:w="28" w:type="dxa"/>
          <w:bottom w:w="28" w:type="dxa"/>
          <w:right w:w="28" w:type="dxa"/>
        </w:tblCellMar>
      </w:tblPr>
      <w:tblGrid>
        <w:gridCol w:w="407"/>
        <w:gridCol w:w="358"/>
        <w:gridCol w:w="360"/>
        <w:gridCol w:w="109"/>
        <w:gridCol w:w="660"/>
        <w:gridCol w:w="660"/>
        <w:gridCol w:w="1920"/>
      </w:tblGrid>
      <w:tr>
        <w:trPr/>
        <w:tc>
          <w:tcPr>
            <w:tcW w:w="40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growth</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92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vAlign w:val="center"/>
          </w:tcPr>
          <w:p>
            <w:pPr>
              <w:pStyle w:val="TableContents"/>
              <w:spacing w:before="0" w:after="283"/>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32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9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16.3 percent decrease in net sales for Pool in the first quarter of 2023 from 2022 was primarily driven by:</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sales volume decreases primarily due to unusual U.S. weather in the West, higher channel inventory and lower demand compared to the first quarter of the prior year; and</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unfavorable foreign currency effects compared to the first quarter of the prior year.</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decrease was partially offset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increases in selling prices to mitigate inflationary cost increases.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Segment income</w:t>
      </w:r>
    </w:p>
    <w:p>
      <w:pPr>
        <w:pStyle w:val="TextBody"/>
        <w:spacing w:lineRule="auto" w:line="288" w:before="0" w:after="0"/>
        <w:jc w:val="both"/>
        <w:rPr/>
      </w:pPr>
      <w:r>
        <w:rPr>
          <w:rFonts w:ascii="Times New Roman;sans-serif" w:hAnsi="Times New Roman;sans-serif"/>
          <w:b w:val="false"/>
          <w:color w:val="000000"/>
          <w:sz w:val="20"/>
          <w:highlight w:val="white"/>
        </w:rPr>
        <w:t>The components of the change in Pool segment income as a percentage of net sales from the prior period were as follows:</w:t>
      </w:r>
      <w:r>
        <w:rPr>
          <w:color w:val="000000"/>
        </w:rPr>
        <w:t xml:space="preserve"> </w:t>
      </w:r>
    </w:p>
    <w:tbl>
      <w:tblPr>
        <w:tblW w:w="4533" w:type="dxa"/>
        <w:jc w:val="left"/>
        <w:tblInd w:w="0" w:type="dxa"/>
        <w:tblCellMar>
          <w:top w:w="28" w:type="dxa"/>
          <w:left w:w="28" w:type="dxa"/>
          <w:bottom w:w="28" w:type="dxa"/>
          <w:right w:w="28" w:type="dxa"/>
        </w:tblCellMar>
      </w:tblPr>
      <w:tblGrid>
        <w:gridCol w:w="429"/>
        <w:gridCol w:w="376"/>
        <w:gridCol w:w="379"/>
        <w:gridCol w:w="109"/>
        <w:gridCol w:w="482"/>
        <w:gridCol w:w="482"/>
        <w:gridCol w:w="2276"/>
      </w:tblGrid>
      <w:tr>
        <w:trPr/>
        <w:tc>
          <w:tcPr>
            <w:tcW w:w="42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Growth/Price</w:t>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r>
        <w:trPr/>
        <w:tc>
          <w:tcPr>
            <w:tcW w:w="11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0" w:type="dxa"/>
            <w:gridSpan w:val="3"/>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w:t>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w:t>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2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bl>
    <w:p>
      <w:pPr>
        <w:pStyle w:val="TextBody"/>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5.2 percentage point increase in segment income for Pool as a percentage of net sales in the first quarter of 2023 from 2022 was primarily driven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increases in selling prices to mitigate inflationary cost increases.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increase was partially offset by:</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related to labor costs and certain raw materials.</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BACKLOG OF ORDERS BY SEGMENT</w:t>
      </w:r>
    </w:p>
    <w:tbl>
      <w:tblPr>
        <w:tblW w:w="7145" w:type="dxa"/>
        <w:jc w:val="left"/>
        <w:tblInd w:w="0" w:type="dxa"/>
        <w:tblCellMar>
          <w:top w:w="28" w:type="dxa"/>
          <w:left w:w="28" w:type="dxa"/>
          <w:bottom w:w="28" w:type="dxa"/>
          <w:right w:w="28" w:type="dxa"/>
        </w:tblCellMar>
      </w:tblPr>
      <w:tblGrid>
        <w:gridCol w:w="978"/>
        <w:gridCol w:w="855"/>
        <w:gridCol w:w="866"/>
        <w:gridCol w:w="220"/>
        <w:gridCol w:w="642"/>
        <w:gridCol w:w="113"/>
        <w:gridCol w:w="283"/>
        <w:gridCol w:w="829"/>
        <w:gridCol w:w="148"/>
        <w:gridCol w:w="211"/>
        <w:gridCol w:w="691"/>
        <w:gridCol w:w="109"/>
        <w:gridCol w:w="293"/>
        <w:gridCol w:w="293"/>
        <w:gridCol w:w="614"/>
      </w:tblGrid>
      <w:tr>
        <w:trPr/>
        <w:tc>
          <w:tcPr>
            <w:tcW w:w="978"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&amp; Flow Technologies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0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2023 net sales.</w:t>
      </w:r>
    </w:p>
    <w:p>
      <w:pPr>
        <w:pStyle w:val="TextBody"/>
        <w:spacing w:lineRule="auto" w:line="288" w:before="18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our overall backlog from December 31, 2022 was primarily driven by our Pool segment’s backlog trending down to more historical levels as a result of increased manufacturing capacity, improved lead times and customers balancing the need to place new orders with market demand and channel inventory levels.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 seasonal cash flows primarily due to seasonal demand in a number of markets. Consistent with historical trends, we experienced seasonal cash usage in the first quarter of 2023 and drew on our revolving credit facility to fund our operations. This cash usage typically reverses in the second quarter as the seasonality of our businesses peak. We expect historical seasonal patterns to continue and the second quarter of 2023 to generate significant cash to fund our operations.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End-user demand for pool and certain pumping equipment follows warm weather trends and historically is at seasonal highs from April to August. The magnitude of the sales spike typically is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Summary of cash flows</w:t>
      </w:r>
    </w:p>
    <w:tbl>
      <w:tblPr>
        <w:tblW w:w="4781" w:type="dxa"/>
        <w:jc w:val="left"/>
        <w:tblInd w:w="0" w:type="dxa"/>
        <w:tblCellMar>
          <w:top w:w="28" w:type="dxa"/>
          <w:left w:w="28" w:type="dxa"/>
          <w:bottom w:w="28" w:type="dxa"/>
          <w:right w:w="28" w:type="dxa"/>
        </w:tblCellMar>
      </w:tblPr>
      <w:tblGrid>
        <w:gridCol w:w="984"/>
        <w:gridCol w:w="861"/>
        <w:gridCol w:w="869"/>
        <w:gridCol w:w="211"/>
        <w:gridCol w:w="691"/>
        <w:gridCol w:w="109"/>
        <w:gridCol w:w="211"/>
        <w:gridCol w:w="691"/>
        <w:gridCol w:w="154"/>
      </w:tblGrid>
      <w:tr>
        <w:trPr/>
        <w:tc>
          <w:tcPr>
            <w:tcW w:w="98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Investing activities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Financing activities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$106.6 million in net cash used for operating activities in the first three months of 2023 primarily reflects $161.1 million of net income from continuing operations, net of non-cash depreciation, amortization and asset impairment. Additionally, we had a cash outflow of $262.6 million as a result of changes in net working capital, primarily due to an increase in accounts receivable largely related to certain advance sale programs in anticipation of our distributors’ peak sales season in the second and third quarters.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$131.5 million in net cash used for operating activities in the first three months of 2022 primarily reflects $138.1 million of net income from continuing operations, net of non-cash depreciation and amortization. Additionally, we had a cash outflow of $274.2 million as a result of changes in net working capital, primarily the result of increased accounts receivable and inventory balances along with lower employee compensation and benefits accruals compared to December 31, 2021. The change in the accounts receivable balance was due to higher sales during the last month of the first quarter of 2022 and timing of collections. The increased inventory balance was related to additional purchases to support existing orders. The lower employee compensation and benefits accruals were attributable to the payment of employee incentive compensation in the first quarter. </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in the first three months of 2023 primarily reflects capital expenditures of $16.6 million.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in the first three months of 2022 primarily reflects capital expenditures of $17.7 million.</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in the first three months of 2023 primarily relates to net borrowings of revolving long-term debt of $173.6 million, partially offset by dividend payments of $36.2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 the first three months of 2022 primarily relates to net borrowings of revolving long-term debt of $199.6 million, partially offset by dividend payments of $34.7 million and payments of debt issuance costs of $5.8 million.</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measuring our cash flow generation or usage based upon operating, investing and financing classifications included in the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free cash flow:</w:t>
      </w:r>
    </w:p>
    <w:tbl>
      <w:tblPr>
        <w:tblW w:w="6913" w:type="dxa"/>
        <w:jc w:val="left"/>
        <w:tblInd w:w="0" w:type="dxa"/>
        <w:tblCellMar>
          <w:top w:w="28" w:type="dxa"/>
          <w:left w:w="28" w:type="dxa"/>
          <w:bottom w:w="28" w:type="dxa"/>
          <w:right w:w="28" w:type="dxa"/>
        </w:tblCellMar>
      </w:tblPr>
      <w:tblGrid>
        <w:gridCol w:w="1387"/>
        <w:gridCol w:w="1213"/>
        <w:gridCol w:w="1225"/>
        <w:gridCol w:w="109"/>
        <w:gridCol w:w="109"/>
        <w:gridCol w:w="176"/>
        <w:gridCol w:w="342"/>
        <w:gridCol w:w="1120"/>
        <w:gridCol w:w="176"/>
        <w:gridCol w:w="211"/>
        <w:gridCol w:w="691"/>
        <w:gridCol w:w="154"/>
      </w:tblGrid>
      <w:tr>
        <w:trPr/>
        <w:tc>
          <w:tcPr>
            <w:tcW w:w="1387"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56" w:type="dxa"/>
            <w:gridSpan w:val="3"/>
            <w:tcBorders/>
            <w:shd w:fill="auto" w:val="clea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38"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38"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38"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38"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both"/>
        <w:rPr>
          <w:rFonts w:ascii="Times New Roman;sans-serif" w:hAnsi="Times New Roman;sans-serif"/>
          <w:b/>
          <w:i/>
          <w:color w:val="000000"/>
          <w:sz w:val="20"/>
        </w:rPr>
      </w:pPr>
      <w:r>
        <w:rPr>
          <w:rFonts w:ascii="Times New Roman;sans-serif" w:hAnsi="Times New Roman;sans-serif"/>
          <w:b/>
          <w:i/>
          <w:color w:val="000000"/>
          <w:sz w:val="20"/>
        </w:rPr>
        <w:t>Debt and capital</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Pentair Finance S.à r.l (“PFSA“) and Pentair, Inc. are parties to a credit agreement (the “Senior Credit Facility”), with Pentair as guarantor and PFSA and Pentair, Inc. as borrowers, which was amended and restated in December 2021 and further amended in December 2022,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total availability under the Senior Credit Facility was $406.4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pStyle w:val="TextBody"/>
        <w:spacing w:lineRule="auto" w:line="288" w:before="200" w:after="283"/>
        <w:jc w:val="both"/>
        <w:rPr/>
      </w:pPr>
      <w:r>
        <w:rPr>
          <w:rFonts w:ascii="Times New Roman;sans-serif" w:hAnsi="Times New Roman;sans-serif"/>
          <w:b w:val="false"/>
          <w:color w:val="000000"/>
          <w:sz w:val="20"/>
        </w:rPr>
        <w:t xml:space="preserve">In March 2022, in contemplation of the acquisition of Manitowoc Ice, Pentair and PFSA entered into a Loan Agreement among PFSA, as borrower, Pentair, as guarantor, and the lenders and agents party thereto, providing for a $600.0 million senior unsecured term loan facility (the “Term Loan Facility”). In June 2022, the Term Loan Facility was amended to increase the facility by $400.0 million to an aggregate principal amount of $1.0 billion. The Term Loan Facility has a maturity date of July 28, 2027, with required quarterly installment payments of $6.3 million beginning on the last day of the third quarter of 2023 and increasing to $12.5 million beginning with the last day of the third quarter of 2024. </w:t>
      </w:r>
      <w:r>
        <w:rPr>
          <w:rFonts w:ascii="Times New Roman;sans-serif" w:hAnsi="Times New Roman;sans-serif"/>
          <w:b w:val="false"/>
          <w:color w:val="000000"/>
          <w:sz w:val="20"/>
          <w:highlight w:val="white"/>
        </w:rPr>
        <w:t xml:space="preserve">The Term Loan Facility bears interest at a rate equal to an alternate base rate, adjusted term secured overnight financing rate, or adjusted daily simple secured overnight financing rate, plus, in each case, an applicable margin. </w:t>
      </w:r>
      <w:r>
        <w:rPr>
          <w:rFonts w:ascii="Times New Roman;sans-serif" w:hAnsi="Times New Roman;sans-serif"/>
          <w:b w:val="false"/>
          <w:color w:val="000000"/>
          <w:sz w:val="20"/>
        </w:rPr>
        <w:t>The applicable margin is based on, at PFSA’s election, Pentair’s leverage level or PFSA’s public credit rating.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in contemplation of the acquisition of Manitowoc Ice, Pentair, as guarantor, and PFSA, as issuer, completed a public offering of $400.0 million aggregate principal amount of 5.900% Senior Notes due 2032 (“2032 Senior Notes”).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used the net proceeds from the Term Loan Facility and the issuance of the 2032 Senior Notes to finance a portion of the Manitowoc Ice acquisition purchase price and to pay related fees and expenses.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Senior Credit Facility and the Term Loan Facility, we have various other credit facilities with an aggregate availability of $21.1 million, of which there were no outstanding borrowings at March 31, 2023. Borrowings under these credit facilities bear interest at variable rates.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$18.8 million of Term Loan Facility payments due in the next twelve months. We classified this debt as long-term as of March 31, 2023 as we have the intent and ability to refinance such obligation on a long-term basis under the revolving credit facility under the Senior Credit Facility.</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$98.9 million of cash held in certain countries in which the ability to repatriate is limited due to local regulations or significant potential tax consequences.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Board of Directors authorized the repurchase of our ordinary shares up to a maximum dollar limit of $750.0 million. The authorization expires on December 31, 2025. During the three months ended March 31, 2023, no ordinary shares were repurchased. As of March 31, 2023, we had $600.0 million available for share repurchases under this authorization.</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 payable</w:t>
      </w:r>
    </w:p>
    <w:p>
      <w:pPr>
        <w:pStyle w:val="TextBody"/>
        <w:spacing w:lineRule="auto" w:line="288" w:before="0" w:after="200"/>
        <w:jc w:val="both"/>
        <w:rPr/>
      </w:pPr>
      <w:r>
        <w:rPr>
          <w:rFonts w:ascii="Times New Roman;sans-serif" w:hAnsi="Times New Roman;sans-serif"/>
          <w:b w:val="false"/>
          <w:color w:val="000000"/>
          <w:sz w:val="20"/>
        </w:rPr>
        <w:t xml:space="preserve">On February 20, 2023, the Board of Directors declared a quarterly cash dividend of $0.22, payable on May 5, 2023 to shareholders of record at the close of business on April 21, 2023. As a result, the balance of dividends payable included in </w:t>
      </w:r>
      <w:r>
        <w:rPr>
          <w:rFonts w:ascii="Times New Roman;sans-serif" w:hAnsi="Times New Roman;sans-serif"/>
          <w:b w:val="false"/>
          <w:i/>
          <w:color w:val="000000"/>
          <w:sz w:val="20"/>
        </w:rPr>
        <w:t xml:space="preserve">Other current liabilities </w:t>
      </w:r>
      <w:r>
        <w:rPr>
          <w:rFonts w:ascii="Times New Roman;sans-serif" w:hAnsi="Times New Roman;sans-serif"/>
          <w:b w:val="false"/>
          <w:color w:val="000000"/>
          <w:sz w:val="20"/>
        </w:rPr>
        <w:t xml:space="preserve">on our Condensed Consolidated Balance Sheets was $36.3 million at March 31, 2023, compared to $36.2 million at December 31, 2022.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paid dividends in the first three months of 2023 of $36.2 million, or $0.22 per ordinary share compared with $34.7 million, or $0.21 per ordinary share, in the prior year period. </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$7.1 billion as of December 31, 2022.</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guarantor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Pentair plc (the “Parent Company Guarantor”), fully and unconditionally, guarantees the senior notes of PFSA (the “Subsidiary Issuer”). The Subsidiary Issuer is a Luxembourg private limited liability company and 100 percent-owned subsidiary of the Parent Company Guarantor.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summarized financial information as of March 31, 2023 and December 31, 2022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757"/>
        <w:gridCol w:w="1509"/>
        <w:gridCol w:w="1523"/>
        <w:gridCol w:w="673"/>
        <w:gridCol w:w="1287"/>
        <w:gridCol w:w="341"/>
        <w:gridCol w:w="859"/>
        <w:gridCol w:w="1652"/>
        <w:gridCol w:w="445"/>
        <w:gridCol w:w="159"/>
      </w:tblGrid>
      <w:tr>
        <w:trPr/>
        <w:tc>
          <w:tcPr>
            <w:tcW w:w="1757"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478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3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29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159" w:type="dxa"/>
            <w:tcBorders/>
            <w:shd w:fill="auto" w:val="clear"/>
          </w:tcPr>
          <w:p>
            <w:pPr>
              <w:pStyle w:val="TableContents"/>
              <w:spacing w:before="0" w:after="283"/>
              <w:rPr>
                <w:sz w:val="4"/>
                <w:szCs w:val="4"/>
              </w:rPr>
            </w:pPr>
            <w:r>
              <w:rPr>
                <w:sz w:val="4"/>
                <w:szCs w:val="4"/>
              </w:rPr>
            </w:r>
          </w:p>
        </w:tc>
      </w:tr>
      <w:tr>
        <w:trPr/>
        <w:tc>
          <w:tcPr>
            <w:tcW w:w="4789" w:type="dxa"/>
            <w:gridSpan w:val="3"/>
            <w:vMerge w:val="continue"/>
            <w:tcBorders/>
            <w:shd w:fill="auto" w:val="clear"/>
            <w:tcMar>
              <w:top w:w="0" w:type="dxa"/>
              <w:left w:w="0" w:type="dxa"/>
              <w:bottom w:w="0" w:type="dxa"/>
              <w:right w:w="0" w:type="dxa"/>
            </w:tcMar>
            <w:vAlign w:val="center"/>
          </w:tcPr>
          <w:p>
            <w:pPr>
              <w:pStyle w:val="Normal"/>
              <w:rPr/>
            </w:pPr>
            <w:r>
              <w:rPr/>
            </w:r>
          </w:p>
        </w:tc>
        <w:tc>
          <w:tcPr>
            <w:tcW w:w="2301" w:type="dxa"/>
            <w:gridSpan w:val="3"/>
            <w:vMerge w:val="continue"/>
            <w:tcBorders/>
            <w:shd w:fill="auto" w:val="clear"/>
            <w:tcMar>
              <w:top w:w="0" w:type="dxa"/>
              <w:left w:w="0" w:type="dxa"/>
              <w:bottom w:w="0" w:type="dxa"/>
              <w:right w:w="0" w:type="dxa"/>
            </w:tcMar>
            <w:vAlign w:val="center"/>
          </w:tcPr>
          <w:p>
            <w:pPr>
              <w:pStyle w:val="Normal"/>
              <w:rPr/>
            </w:pPr>
            <w:r>
              <w:rPr/>
            </w:r>
          </w:p>
        </w:tc>
        <w:tc>
          <w:tcPr>
            <w:tcW w:w="2956" w:type="dxa"/>
            <w:gridSpan w:val="3"/>
            <w:vMerge w:val="continue"/>
            <w:tcBorders/>
            <w:shd w:fill="auto" w:val="clear"/>
            <w:tcMar>
              <w:top w:w="0" w:type="dxa"/>
              <w:left w:w="0" w:type="dxa"/>
              <w:bottom w:w="0" w:type="dxa"/>
              <w:right w:w="0" w:type="dxa"/>
            </w:tcMar>
            <w:vAlign w:val="center"/>
          </w:tcPr>
          <w:p>
            <w:pPr>
              <w:pStyle w:val="Normal"/>
              <w:rPr/>
            </w:pPr>
            <w:r>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Current assets </w:t>
            </w:r>
            <w:r>
              <w:rPr>
                <w:rFonts w:ascii="Times New Roman;sans-serif" w:hAnsi="Times New Roman;sans-serif"/>
                <w:b w:val="false"/>
                <w:color w:val="000000"/>
                <w:sz w:val="13"/>
              </w:rPr>
              <w:t>(1)</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Noncurrent assets </w:t>
            </w:r>
            <w:r>
              <w:rPr>
                <w:rFonts w:ascii="Times New Roman;sans-serif" w:hAnsi="Times New Roman;sans-serif"/>
                <w:b w:val="false"/>
                <w:color w:val="000000"/>
                <w:sz w:val="13"/>
              </w:rPr>
              <w:t>(2)</w:t>
            </w:r>
          </w:p>
        </w:tc>
        <w:tc>
          <w:tcPr>
            <w:tcW w:w="1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2,680.6 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2,677.4 </w:t>
            </w:r>
          </w:p>
        </w:tc>
        <w:tc>
          <w:tcPr>
            <w:tcW w:w="4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Current liabilities </w:t>
            </w:r>
            <w:r>
              <w:rPr>
                <w:rFonts w:ascii="Times New Roman;sans-serif" w:hAnsi="Times New Roman;sans-serif"/>
                <w:b w:val="false"/>
                <w:color w:val="000000"/>
                <w:sz w:val="13"/>
              </w:rPr>
              <w:t>(3)</w:t>
            </w:r>
          </w:p>
        </w:tc>
        <w:tc>
          <w:tcPr>
            <w:tcW w:w="1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1,068.6 </w:t>
            </w:r>
          </w:p>
        </w:tc>
        <w:tc>
          <w:tcPr>
            <w:tcW w:w="4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Noncurrent liabilities </w:t>
            </w:r>
            <w:r>
              <w:rPr>
                <w:rFonts w:ascii="Times New Roman;sans-serif" w:hAnsi="Times New Roman;sans-serif"/>
                <w:b w:val="false"/>
                <w:color w:val="000000"/>
                <w:sz w:val="13"/>
              </w:rPr>
              <w:t>(4)</w:t>
            </w:r>
          </w:p>
        </w:tc>
        <w:tc>
          <w:tcPr>
            <w:tcW w:w="1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2,805.9 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2,640.3 </w:t>
            </w:r>
          </w:p>
        </w:tc>
        <w:tc>
          <w:tcPr>
            <w:tcW w:w="4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10046"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7"/>
              </w:rPr>
              <w:t>No assets due from non-guarantor subsidiaries were included as of March 31, 2023 and December 31, 2022, respectively.</w:t>
            </w:r>
          </w:p>
        </w:tc>
        <w:tc>
          <w:tcPr>
            <w:tcW w:w="159" w:type="dxa"/>
            <w:tcBorders/>
            <w:shd w:fill="auto" w:val="clear"/>
          </w:tcPr>
          <w:p>
            <w:pPr>
              <w:pStyle w:val="TableContents"/>
              <w:spacing w:before="0" w:after="283"/>
              <w:rPr>
                <w:sz w:val="4"/>
                <w:szCs w:val="4"/>
              </w:rPr>
            </w:pPr>
            <w:r>
              <w:rPr>
                <w:sz w:val="4"/>
                <w:szCs w:val="4"/>
              </w:rPr>
            </w:r>
          </w:p>
        </w:tc>
      </w:tr>
      <w:tr>
        <w:trPr/>
        <w:tc>
          <w:tcPr>
            <w:tcW w:w="10046"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7"/>
              </w:rPr>
              <w:t xml:space="preserve">Includes assets due from non-guarantor subsidiaries of $2,667.9 million and $2,664.7 million as of March 31, 2023 and December 31, 2022, respectively. </w:t>
            </w:r>
          </w:p>
        </w:tc>
        <w:tc>
          <w:tcPr>
            <w:tcW w:w="159" w:type="dxa"/>
            <w:tcBorders/>
            <w:shd w:fill="auto" w:val="clear"/>
          </w:tcPr>
          <w:p>
            <w:pPr>
              <w:pStyle w:val="TableContents"/>
              <w:spacing w:before="0" w:after="283"/>
              <w:rPr>
                <w:sz w:val="4"/>
                <w:szCs w:val="4"/>
              </w:rPr>
            </w:pPr>
            <w:r>
              <w:rPr>
                <w:sz w:val="4"/>
                <w:szCs w:val="4"/>
              </w:rPr>
            </w:r>
          </w:p>
        </w:tc>
      </w:tr>
      <w:tr>
        <w:trPr/>
        <w:tc>
          <w:tcPr>
            <w:tcW w:w="10046"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7"/>
              </w:rPr>
              <w:t>Includes liabilities due to non-guarantor subsidiaries of $890.1 million and $989.8 million as of March 31, 2023 and December 31, 2022, respectively.</w:t>
            </w:r>
          </w:p>
        </w:tc>
        <w:tc>
          <w:tcPr>
            <w:tcW w:w="159" w:type="dxa"/>
            <w:tcBorders/>
            <w:shd w:fill="auto" w:val="clear"/>
          </w:tcPr>
          <w:p>
            <w:pPr>
              <w:pStyle w:val="TableContents"/>
              <w:spacing w:before="0" w:after="283"/>
              <w:rPr>
                <w:sz w:val="4"/>
                <w:szCs w:val="4"/>
              </w:rPr>
            </w:pPr>
            <w:r>
              <w:rPr>
                <w:sz w:val="4"/>
                <w:szCs w:val="4"/>
              </w:rPr>
            </w:r>
          </w:p>
        </w:tc>
      </w:tr>
      <w:tr>
        <w:trPr/>
        <w:tc>
          <w:tcPr>
            <w:tcW w:w="10046"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17"/>
              </w:rPr>
              <w:t>Includes liabilities due to non-guarantor subsidiaries of $263.0 million and $259.8 million as of March 31, 2023 and December 31, 2022, respectively.</w:t>
            </w:r>
          </w:p>
        </w:tc>
        <w:tc>
          <w:tcPr>
            <w:tcW w:w="159" w:type="dxa"/>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Parent Company Guarantor and Subsidiary Issuer do not have material results of operations on a combined basis.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18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2022,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8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market risk during the quarter ended March 31, 2023. For additional information refer to Item 7A of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    Evaluation of Disclosure Controls and Procedures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2023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2023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    Changes in Internal Control over Financial Reporting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ongoing integration activities associated with the Manitowoc Ice acquisition, which was completed in July 2022, we are reviewing the internal controls and procedures of Manitowoc Ice and working to augment our company-wide controls to reflect the risks inherent in the acquisition. There was no other change in our internal control over financial reporting that occurred during the quarter ended March 31, 2023 that has materially affected, or is reasonably likely to materially affect, our internal control over financial reporting.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Item 1A. of our Annual Report on Form 10-K for the year ended December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purchases we made of our ordinary shares during the first quarter of 2023:</w:t>
      </w:r>
    </w:p>
    <w:tbl>
      <w:tblPr>
        <w:tblW w:w="10205" w:type="dxa"/>
        <w:jc w:val="left"/>
        <w:tblInd w:w="0" w:type="dxa"/>
        <w:tblCellMar>
          <w:top w:w="28" w:type="dxa"/>
          <w:left w:w="28" w:type="dxa"/>
          <w:bottom w:w="28" w:type="dxa"/>
          <w:right w:w="28" w:type="dxa"/>
        </w:tblCellMar>
      </w:tblPr>
      <w:tblGrid>
        <w:gridCol w:w="505"/>
        <w:gridCol w:w="388"/>
        <w:gridCol w:w="392"/>
        <w:gridCol w:w="425"/>
        <w:gridCol w:w="425"/>
        <w:gridCol w:w="426"/>
        <w:gridCol w:w="297"/>
        <w:gridCol w:w="869"/>
        <w:gridCol w:w="155"/>
        <w:gridCol w:w="1052"/>
        <w:gridCol w:w="1052"/>
        <w:gridCol w:w="1054"/>
        <w:gridCol w:w="421"/>
        <w:gridCol w:w="2368"/>
        <w:gridCol w:w="217"/>
        <w:gridCol w:w="159"/>
      </w:tblGrid>
      <w:tr>
        <w:trPr/>
        <w:tc>
          <w:tcPr>
            <w:tcW w:w="505"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w:t>
            </w:r>
          </w:p>
        </w:tc>
        <w:tc>
          <w:tcPr>
            <w:tcW w:w="3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w:t>
              <w:br/>
              <w:t>of shares</w:t>
              <w:br/>
              <w:t>purchased</w:t>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w:t>
              <w:br/>
              <w:t>paid per share</w:t>
            </w:r>
          </w:p>
        </w:tc>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 value of  shares that may yet be purchased under the plans or programs</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January 28</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600,002,203 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29 - February 25</w:t>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49,111 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600,002,203 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 March 31</w:t>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57,312 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600,002,203 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2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122,921 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006"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purchases in this column include 16,498 shares for the period January 1 - January 28, 49,111 shares for the period January 29 - February 25 and 57,312 shares for the period February 26 - March 31 deemed surrendered to us by participants in our equity incentive plans to satisfy the exercise price or withholding of tax obligations related to the exercise of stock options and vesting of restricted and performance shares.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(c)The number of shares in this column represents the number of shares repurchased as part of our publicly announced plans to repurchase our ordinary shares up to the maximum dollar limit authorized by the Board of Directors, discussed below.</w:t>
      </w:r>
    </w:p>
    <w:p>
      <w:pPr>
        <w:pStyle w:val="TextBody"/>
        <w:spacing w:lineRule="auto" w:line="288" w:before="180" w:after="3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(d)In December 2020, the Board of Directors authorized the repurchase of our ordinary shares up to a maximum dollar limit of $750.0 million. The authorization expires on December 31, 2025. As of March 31, 2023, we had $600.0 million available for share repurchases under this authorization. From time to time, we may enter into a Rule 10b5-1 trading plan for the purpose of repurchasing shares under this authorization.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following Exhibit Index are filed as part of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Exhibit Index to Form 10-Q for the Period Ended March 31, 2023</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74"/>
        <w:gridCol w:w="153"/>
        <w:gridCol w:w="154"/>
        <w:gridCol w:w="109"/>
        <w:gridCol w:w="109"/>
        <w:gridCol w:w="109"/>
        <w:gridCol w:w="2865"/>
        <w:gridCol w:w="2706"/>
        <w:gridCol w:w="3826"/>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70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color w:val="0000FF"/>
                  <w:sz w:val="20"/>
                  <w:u w:val="single"/>
                </w:rPr>
                <w:t>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Guarantors and Subsidiary Issuers of Guaranteed Securities. (Incorporated by reference to Exhibit 22 to the Quarterly Report on Form 10-Q of Pentair plc for the quarter ended September 30, 2022 (File No. 001-11625)).</w:t>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1ceocertificationq12023.htm">
              <w:r>
                <w:rPr>
                  <w:rStyle w:val="InternetLink"/>
                  <w:rFonts w:ascii="Times New Roman;sans-serif" w:hAnsi="Times New Roman;sans-serif"/>
                  <w:b/>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2cfocertificationq12023.htm">
              <w:r>
                <w:rPr>
                  <w:rStyle w:val="InternetLink"/>
                  <w:rFonts w:ascii="Times New Roman;sans-serif" w:hAnsi="Times New Roman;sans-serif"/>
                  <w:b/>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21ceocertificationq12023.htm">
              <w:r>
                <w:rPr>
                  <w:rStyle w:val="InternetLink"/>
                  <w:rFonts w:ascii="Times New Roman;sans-serif" w:hAnsi="Times New Roman;sans-serif"/>
                  <w:b/>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22cfocertificationq12023.htm">
              <w:r>
                <w:rPr>
                  <w:rStyle w:val="InternetLink"/>
                  <w:rFonts w:ascii="Times New Roman;sans-serif" w:hAnsi="Times New Roman;sans-serif"/>
                  <w:b/>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Pentair plc’s Quarterly Report on Form 10-Q for the quarter ended March 31, 2023 are filed herewith, formatted in iXBRL (Inline Extensible Business Reporting Language): (i) the Condensed Consolidated Statements of Operations and Comprehensive Income for the three months ended March 31, 2023 and 2022, (ii) the Condensed Consolidated Balance Sheets as of March 31, 2023 and December 31, 2022, (iii) the Condensed Consolidated Statements of Cash Flows for the three months ended March 31, 2023 and 2022, (iv) the Condensed Consolidated Statements of Changes in Equity for the three months ended March 31, 2023 and 2022, and (v) Notes to Condensed Consolidated Financial Statements. The instance document does not appear in the interactive data file because its XBRL tags are embedded within the Inline XBRL document.</w:t>
            </w:r>
          </w:p>
        </w:tc>
      </w:tr>
      <w:tr>
        <w:trPr/>
        <w:tc>
          <w:tcPr>
            <w:tcW w:w="4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104</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80" w:after="283"/>
        <w:ind w:left="0" w:right="0" w:firstLine="18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dd88de78c82a4c1db19a5aa44719597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April 27, 2023.</w:t>
      </w:r>
    </w:p>
    <w:p>
      <w:pPr>
        <w:pStyle w:val="TextBody"/>
        <w:spacing w:lineRule="auto" w:line="288" w:before="0" w:after="0"/>
        <w:rPr>
          <w:color w:val="000000"/>
        </w:rPr>
      </w:pPr>
      <w:r>
        <w:rPr>
          <w:color w:val="000000"/>
        </w:rPr>
        <w:t> </w:t>
      </w:r>
    </w:p>
    <w:tbl>
      <w:tblPr>
        <w:tblW w:w="7400" w:type="dxa"/>
        <w:jc w:val="left"/>
        <w:tblInd w:w="0" w:type="dxa"/>
        <w:tblCellMar>
          <w:top w:w="28" w:type="dxa"/>
          <w:left w:w="28" w:type="dxa"/>
          <w:bottom w:w="28" w:type="dxa"/>
          <w:right w:w="28" w:type="dxa"/>
        </w:tblCellMar>
      </w:tblPr>
      <w:tblGrid>
        <w:gridCol w:w="124"/>
        <w:gridCol w:w="109"/>
        <w:gridCol w:w="109"/>
        <w:gridCol w:w="158"/>
        <w:gridCol w:w="158"/>
        <w:gridCol w:w="158"/>
        <w:gridCol w:w="2012"/>
        <w:gridCol w:w="2012"/>
        <w:gridCol w:w="25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c>
          <w:tcPr>
            <w:tcW w:w="25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Pentair plc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Accounting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6584"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6584"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658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John L. Stauch, certify that: </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Pentair plc; </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054" w:type="dxa"/>
        <w:jc w:val="left"/>
        <w:tblInd w:w="0" w:type="dxa"/>
        <w:tblCellMar>
          <w:top w:w="28" w:type="dxa"/>
          <w:left w:w="28" w:type="dxa"/>
          <w:bottom w:w="28" w:type="dxa"/>
          <w:right w:w="28" w:type="dxa"/>
        </w:tblCellMar>
      </w:tblPr>
      <w:tblGrid>
        <w:gridCol w:w="201"/>
        <w:gridCol w:w="177"/>
        <w:gridCol w:w="177"/>
        <w:gridCol w:w="429"/>
        <w:gridCol w:w="429"/>
        <w:gridCol w:w="431"/>
        <w:gridCol w:w="937"/>
        <w:gridCol w:w="937"/>
        <w:gridCol w:w="1336"/>
      </w:tblGrid>
      <w:tr>
        <w:trPr/>
        <w:tc>
          <w:tcPr>
            <w:tcW w:w="2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L. Stauch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Stauch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ind w:left="0" w:right="0" w:hanging="27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Robert P. Fishman, certify that: </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Pentair plc; </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8428" w:type="dxa"/>
        <w:jc w:val="left"/>
        <w:tblInd w:w="0" w:type="dxa"/>
        <w:tblCellMar>
          <w:top w:w="28" w:type="dxa"/>
          <w:left w:w="28" w:type="dxa"/>
          <w:bottom w:w="28" w:type="dxa"/>
          <w:right w:w="28" w:type="dxa"/>
        </w:tblCellMar>
      </w:tblPr>
      <w:tblGrid>
        <w:gridCol w:w="201"/>
        <w:gridCol w:w="177"/>
        <w:gridCol w:w="177"/>
        <w:gridCol w:w="429"/>
        <w:gridCol w:w="429"/>
        <w:gridCol w:w="431"/>
        <w:gridCol w:w="1925"/>
        <w:gridCol w:w="1925"/>
        <w:gridCol w:w="2734"/>
      </w:tblGrid>
      <w:tr>
        <w:trPr/>
        <w:tc>
          <w:tcPr>
            <w:tcW w:w="2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27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Pentair plc (the “Company”) on Form 10-Q for the period ended March 31, 2023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before="0" w:after="0"/>
        <w:ind w:left="0" w:right="0" w:hanging="36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tbl>
      <w:tblPr>
        <w:tblW w:w="5054" w:type="dxa"/>
        <w:jc w:val="left"/>
        <w:tblInd w:w="0" w:type="dxa"/>
        <w:tblCellMar>
          <w:top w:w="28" w:type="dxa"/>
          <w:left w:w="28" w:type="dxa"/>
          <w:bottom w:w="28" w:type="dxa"/>
          <w:right w:w="28" w:type="dxa"/>
        </w:tblCellMar>
      </w:tblPr>
      <w:tblGrid>
        <w:gridCol w:w="201"/>
        <w:gridCol w:w="177"/>
        <w:gridCol w:w="177"/>
        <w:gridCol w:w="429"/>
        <w:gridCol w:w="429"/>
        <w:gridCol w:w="431"/>
        <w:gridCol w:w="937"/>
        <w:gridCol w:w="937"/>
        <w:gridCol w:w="1336"/>
      </w:tblGrid>
      <w:tr>
        <w:trPr/>
        <w:tc>
          <w:tcPr>
            <w:tcW w:w="2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L. Stauch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Stauch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CFO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Pentair plc (the “Company”) on Form 10-Q for the period ended March 31, 2023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before="0" w:after="0"/>
        <w:ind w:left="0" w:right="0" w:hanging="36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tbl>
      <w:tblPr>
        <w:tblW w:w="8428" w:type="dxa"/>
        <w:jc w:val="left"/>
        <w:tblInd w:w="0" w:type="dxa"/>
        <w:tblCellMar>
          <w:top w:w="28" w:type="dxa"/>
          <w:left w:w="28" w:type="dxa"/>
          <w:bottom w:w="28" w:type="dxa"/>
          <w:right w:w="28" w:type="dxa"/>
        </w:tblCellMar>
      </w:tblPr>
      <w:tblGrid>
        <w:gridCol w:w="201"/>
        <w:gridCol w:w="177"/>
        <w:gridCol w:w="177"/>
        <w:gridCol w:w="429"/>
        <w:gridCol w:w="429"/>
        <w:gridCol w:w="431"/>
        <w:gridCol w:w="1925"/>
        <w:gridCol w:w="1925"/>
        <w:gridCol w:w="2734"/>
      </w:tblGrid>
      <w:tr>
        <w:trPr/>
        <w:tc>
          <w:tcPr>
            <w:tcW w:w="2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27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Accounting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77360/000007736022000041/ex22guarantorsubsidiariesq.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16200</Words>
  <CharactersWithSpaces>104957</CharactersWithSpaces>
  <Paragraphs>2342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