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518160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337"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2021</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left="4300" w:right="1400" w:hanging="4274"/>
        <w:spacing w:after="0" w:line="387" w:lineRule="auto"/>
        <w:tabs>
          <w:tab w:leader="none" w:pos="112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-28575</wp:posOffset>
            </wp:positionV>
            <wp:extent cx="196278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278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auto"/>
            </w:tcBorders>
          </w:tcPr>
          <w:p>
            <w:pPr>
              <w:jc w:val="center"/>
              <w:ind w:left="1410"/>
              <w:spacing w:after="0"/>
              <w:rPr>
                <w:sz w:val="20"/>
                <w:szCs w:val="20"/>
                <w:color w:val="auto"/>
              </w:rPr>
            </w:pPr>
            <w:r>
              <w:rPr>
                <w:rFonts w:ascii="Arial" w:cs="Arial" w:eastAsia="Arial" w:hAnsi="Arial"/>
                <w:sz w:val="18"/>
                <w:szCs w:val="18"/>
                <w:b w:val="1"/>
                <w:bCs w:val="1"/>
                <w:color w:val="auto"/>
                <w:w w:val="94"/>
              </w:rPr>
              <w:t>Ireland</w:t>
            </w:r>
          </w:p>
        </w:tc>
        <w:tc>
          <w:tcPr>
            <w:tcW w:w="1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jc w:val="right"/>
              <w:ind w:right="2090"/>
              <w:spacing w:after="0"/>
              <w:rPr>
                <w:sz w:val="20"/>
                <w:szCs w:val="20"/>
                <w:color w:val="auto"/>
              </w:rPr>
            </w:pPr>
            <w:r>
              <w:rPr>
                <w:rFonts w:ascii="Arial" w:cs="Arial" w:eastAsia="Arial" w:hAnsi="Arial"/>
                <w:sz w:val="18"/>
                <w:szCs w:val="18"/>
                <w:b w:val="1"/>
                <w:bCs w:val="1"/>
                <w:color w:val="auto"/>
              </w:rPr>
              <w:t>98-1141328</w:t>
            </w:r>
          </w:p>
        </w:tc>
      </w:tr>
      <w:tr>
        <w:trPr>
          <w:trHeight w:val="224"/>
        </w:trPr>
        <w:tc>
          <w:tcPr>
            <w:tcW w:w="582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220" w:type="dxa"/>
            <w:vAlign w:val="bottom"/>
            <w:gridSpan w:val="2"/>
          </w:tcPr>
          <w:p>
            <w:pPr>
              <w:jc w:val="right"/>
              <w:ind w:right="1350"/>
              <w:spacing w:after="0"/>
              <w:rPr>
                <w:sz w:val="20"/>
                <w:szCs w:val="20"/>
                <w:color w:val="auto"/>
              </w:rPr>
            </w:pPr>
            <w:r>
              <w:rPr>
                <w:rFonts w:ascii="Arial" w:cs="Arial" w:eastAsia="Arial" w:hAnsi="Arial"/>
                <w:sz w:val="18"/>
                <w:szCs w:val="18"/>
                <w:color w:val="auto"/>
              </w:rPr>
              <w:t>(I.R.S. Employer Identification No.)</w:t>
            </w:r>
          </w:p>
        </w:tc>
      </w:tr>
      <w:tr>
        <w:trPr>
          <w:trHeight w:val="283"/>
        </w:trPr>
        <w:tc>
          <w:tcPr>
            <w:tcW w:w="434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w w:val="99"/>
              </w:rPr>
              <w:t>Regal House, 70 London Road,</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Twickenham,</w:t>
            </w:r>
          </w:p>
        </w:tc>
        <w:tc>
          <w:tcPr>
            <w:tcW w:w="1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London,  TW13QS</w:t>
            </w:r>
          </w:p>
        </w:tc>
        <w:tc>
          <w:tcPr>
            <w:tcW w:w="336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b w:val="1"/>
                <w:bCs w:val="1"/>
                <w:color w:val="auto"/>
              </w:rPr>
              <w:t>United Kingdom</w:t>
            </w:r>
          </w:p>
        </w:tc>
      </w:tr>
      <w:tr>
        <w:trPr>
          <w:trHeight w:val="224"/>
        </w:trPr>
        <w:tc>
          <w:tcPr>
            <w:tcW w:w="7680" w:type="dxa"/>
            <w:vAlign w:val="bottom"/>
            <w:gridSpan w:val="3"/>
          </w:tcPr>
          <w:p>
            <w:pPr>
              <w:ind w:left="3960"/>
              <w:spacing w:after="0"/>
              <w:rPr>
                <w:sz w:val="20"/>
                <w:szCs w:val="20"/>
                <w:color w:val="auto"/>
              </w:rPr>
            </w:pPr>
            <w:r>
              <w:rPr>
                <w:rFonts w:ascii="Arial" w:cs="Arial" w:eastAsia="Arial" w:hAnsi="Arial"/>
                <w:sz w:val="18"/>
                <w:szCs w:val="18"/>
                <w:color w:val="auto"/>
              </w:rPr>
              <w:t>(Address of principal executive offices)</w:t>
            </w:r>
          </w:p>
        </w:tc>
        <w:tc>
          <w:tcPr>
            <w:tcW w:w="3360" w:type="dxa"/>
            <w:vAlign w:val="bottom"/>
          </w:tcPr>
          <w:p>
            <w:pPr>
              <w:spacing w:after="0"/>
              <w:rPr>
                <w:sz w:val="19"/>
                <w:szCs w:val="19"/>
                <w:color w:val="auto"/>
              </w:rPr>
            </w:pPr>
          </w:p>
        </w:tc>
      </w:tr>
    </w:tbl>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0"/>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2"/>
              </w:rPr>
              <w:t>Trading Symbol(s)</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Arial" w:cs="Arial" w:eastAsia="Arial" w:hAnsi="Arial"/>
                <w:sz w:val="18"/>
                <w:szCs w:val="18"/>
                <w:color w:val="auto"/>
                <w:w w:val="89"/>
              </w:rPr>
              <w:t>Ordinary Shares, nominal value $0.01 per share</w:t>
            </w:r>
          </w:p>
        </w:tc>
        <w:tc>
          <w:tcPr>
            <w:tcW w:w="2400" w:type="dxa"/>
            <w:vAlign w:val="bottom"/>
          </w:tcPr>
          <w:p>
            <w:pPr>
              <w:jc w:val="center"/>
              <w:ind w:left="70"/>
              <w:spacing w:after="0"/>
              <w:rPr>
                <w:sz w:val="20"/>
                <w:szCs w:val="20"/>
                <w:color w:val="auto"/>
              </w:rPr>
            </w:pPr>
            <w:r>
              <w:rPr>
                <w:rFonts w:ascii="Arial" w:cs="Arial" w:eastAsia="Arial" w:hAnsi="Arial"/>
                <w:sz w:val="18"/>
                <w:szCs w:val="18"/>
                <w:color w:val="auto"/>
                <w:w w:val="94"/>
              </w:rPr>
              <w:t>PNR</w:t>
            </w: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7"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9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820" w:type="dxa"/>
            <w:vAlign w:val="bottom"/>
            <w:vMerge w:val="restart"/>
          </w:tcPr>
          <w:p>
            <w:pPr>
              <w:ind w:left="140"/>
              <w:spacing w:after="0"/>
              <w:rPr>
                <w:sz w:val="20"/>
                <w:szCs w:val="20"/>
                <w:color w:val="auto"/>
              </w:rPr>
            </w:pPr>
            <w:r>
              <w:rPr>
                <w:rFonts w:ascii="Arial" w:cs="Arial" w:eastAsia="Arial" w:hAnsi="Arial"/>
                <w:sz w:val="18"/>
                <w:szCs w:val="18"/>
                <w:color w:val="auto"/>
                <w:w w:val="99"/>
              </w:rPr>
              <w:t>Non-accelerated filer</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6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0"/>
        </w:trPr>
        <w:tc>
          <w:tcPr>
            <w:tcW w:w="182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980" w:type="dxa"/>
            <w:vAlign w:val="bottom"/>
            <w:vMerge w:val="continue"/>
          </w:tcPr>
          <w:p>
            <w:pPr>
              <w:spacing w:after="0"/>
              <w:rPr>
                <w:sz w:val="21"/>
                <w:szCs w:val="21"/>
                <w:color w:val="auto"/>
              </w:rPr>
            </w:pPr>
          </w:p>
        </w:tc>
        <w:tc>
          <w:tcPr>
            <w:tcW w:w="1820" w:type="dxa"/>
            <w:vAlign w:val="bottom"/>
            <w:vMerge w:val="continue"/>
          </w:tcPr>
          <w:p>
            <w:pPr>
              <w:spacing w:after="0"/>
              <w:rPr>
                <w:sz w:val="21"/>
                <w:szCs w:val="21"/>
                <w:color w:val="auto"/>
              </w:rPr>
            </w:pP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6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On September 30, 2021, 165,478,219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Pentair plc and Subsidiaries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17145</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380" w:type="dxa"/>
            <w:vAlign w:val="bottom"/>
            <w:gridSpan w:val="17"/>
          </w:tcPr>
          <w:p>
            <w:pPr>
              <w:spacing w:after="0"/>
              <w:rPr>
                <w:sz w:val="20"/>
                <w:szCs w:val="20"/>
                <w:color w:val="auto"/>
              </w:rPr>
            </w:pPr>
            <w:r>
              <w:rPr>
                <w:rFonts w:ascii="Arial" w:cs="Arial" w:eastAsia="Arial" w:hAnsi="Arial"/>
                <w:sz w:val="18"/>
                <w:szCs w:val="18"/>
                <w:b w:val="1"/>
                <w:bCs w:val="1"/>
                <w:color w:val="auto"/>
              </w:rPr>
              <w:t>PART I FINANCIAL INFORMATION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1.</w:t>
            </w:r>
          </w:p>
        </w:tc>
        <w:tc>
          <w:tcPr>
            <w:tcW w:w="7340" w:type="dxa"/>
            <w:vAlign w:val="bottom"/>
            <w:gridSpan w:val="16"/>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 (unaudited)</w:t>
              </w:r>
            </w:hyperlink>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 and Comprehensive Income</w:t>
              </w:r>
            </w:hyperlink>
          </w:p>
        </w:tc>
        <w:tc>
          <w:tcPr>
            <w:tcW w:w="1620" w:type="dxa"/>
            <w:vAlign w:val="bottom"/>
            <w:gridSpan w:val="2"/>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40" w:type="dxa"/>
            <w:vAlign w:val="bottom"/>
          </w:tcPr>
          <w:p>
            <w:pPr>
              <w:spacing w:after="0"/>
              <w:rPr>
                <w:sz w:val="22"/>
                <w:szCs w:val="22"/>
                <w:color w:val="auto"/>
              </w:rPr>
            </w:pPr>
          </w:p>
        </w:tc>
        <w:tc>
          <w:tcPr>
            <w:tcW w:w="572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1620" w:type="dxa"/>
            <w:vAlign w:val="bottom"/>
            <w:gridSpan w:val="2"/>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34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Cash Flows</w:t>
              </w:r>
            </w:hyperlink>
          </w:p>
        </w:tc>
        <w:tc>
          <w:tcPr>
            <w:tcW w:w="1060" w:type="dxa"/>
            <w:vAlign w:val="bottom"/>
            <w:gridSpan w:val="3"/>
          </w:tcPr>
          <w:p>
            <w:pPr>
              <w:ind w:left="88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34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Changes in Equity</w:t>
              </w:r>
            </w:hyperlink>
          </w:p>
        </w:tc>
        <w:tc>
          <w:tcPr>
            <w:tcW w:w="1060" w:type="dxa"/>
            <w:vAlign w:val="bottom"/>
            <w:gridSpan w:val="3"/>
          </w:tcPr>
          <w:p>
            <w:pPr>
              <w:ind w:left="88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4180" w:type="dxa"/>
            <w:vAlign w:val="bottom"/>
            <w:gridSpan w:val="12"/>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Notes to Condensed Consolidated Financial Statements</w:t>
              </w:r>
            </w:hyperlink>
          </w:p>
        </w:tc>
        <w:tc>
          <w:tcPr>
            <w:tcW w:w="3160" w:type="dxa"/>
            <w:vAlign w:val="bottom"/>
            <w:gridSpan w:val="4"/>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2.</w:t>
            </w:r>
          </w:p>
        </w:tc>
        <w:tc>
          <w:tcPr>
            <w:tcW w:w="7340" w:type="dxa"/>
            <w:vAlign w:val="bottom"/>
            <w:gridSpan w:val="1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060" w:type="dxa"/>
            <w:vAlign w:val="bottom"/>
            <w:gridSpan w:val="3"/>
          </w:tcPr>
          <w:p>
            <w:pPr>
              <w:ind w:left="880"/>
              <w:spacing w:after="0"/>
              <w:rPr>
                <w:rFonts w:ascii="Arial" w:cs="Arial" w:eastAsia="Arial" w:hAnsi="Arial"/>
                <w:sz w:val="18"/>
                <w:szCs w:val="18"/>
                <w:color w:val="0000FF"/>
                <w:w w:val="79"/>
              </w:rPr>
            </w:pPr>
            <w:hyperlink w:anchor="page21">
              <w:r>
                <w:rPr>
                  <w:rFonts w:ascii="Arial" w:cs="Arial" w:eastAsia="Arial" w:hAnsi="Arial"/>
                  <w:sz w:val="18"/>
                  <w:szCs w:val="18"/>
                  <w:color w:val="0000FF"/>
                  <w:w w:val="79"/>
                </w:rPr>
                <w:t>22</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3.</w:t>
            </w:r>
          </w:p>
        </w:tc>
        <w:tc>
          <w:tcPr>
            <w:tcW w:w="4300" w:type="dxa"/>
            <w:vAlign w:val="bottom"/>
            <w:gridSpan w:val="13"/>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Quantitative and Qualitative Disclosures about Market Risk</w:t>
              </w:r>
            </w:hyperlink>
          </w:p>
        </w:tc>
        <w:tc>
          <w:tcPr>
            <w:tcW w:w="214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gridSpan w:val="7"/>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Controls and Procedures</w:t>
              </w:r>
            </w:hyperlink>
          </w:p>
        </w:tc>
        <w:tc>
          <w:tcPr>
            <w:tcW w:w="2540" w:type="dxa"/>
            <w:vAlign w:val="bottom"/>
            <w:gridSpan w:val="6"/>
          </w:tcPr>
          <w:p>
            <w:pPr>
              <w:spacing w:after="0"/>
              <w:rPr>
                <w:sz w:val="22"/>
                <w:szCs w:val="22"/>
                <w:color w:val="auto"/>
              </w:rPr>
            </w:pPr>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9380" w:type="dxa"/>
            <w:vAlign w:val="bottom"/>
            <w:gridSpan w:val="17"/>
          </w:tcPr>
          <w:p>
            <w:pPr>
              <w:spacing w:after="0"/>
              <w:rPr>
                <w:sz w:val="20"/>
                <w:szCs w:val="20"/>
                <w:color w:val="auto"/>
              </w:rPr>
            </w:pPr>
            <w:r>
              <w:rPr>
                <w:rFonts w:ascii="Arial" w:cs="Arial" w:eastAsia="Arial" w:hAnsi="Arial"/>
                <w:sz w:val="18"/>
                <w:szCs w:val="18"/>
                <w:b w:val="1"/>
                <w:bCs w:val="1"/>
                <w:color w:val="auto"/>
              </w:rPr>
              <w:t>PART II OTHER INFORMATION</w:t>
            </w: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1.</w:t>
            </w:r>
          </w:p>
        </w:tc>
        <w:tc>
          <w:tcPr>
            <w:tcW w:w="7340" w:type="dxa"/>
            <w:vAlign w:val="bottom"/>
            <w:gridSpan w:val="1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060" w:type="dxa"/>
            <w:vAlign w:val="bottom"/>
            <w:gridSpan w:val="3"/>
          </w:tcPr>
          <w:p>
            <w:pPr>
              <w:ind w:left="8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Risk Factors</w:t>
              </w:r>
            </w:hyperlink>
          </w:p>
        </w:tc>
        <w:tc>
          <w:tcPr>
            <w:tcW w:w="420" w:type="dxa"/>
            <w:vAlign w:val="bottom"/>
            <w:gridSpan w:val="2"/>
          </w:tcPr>
          <w:p>
            <w:pPr>
              <w:spacing w:after="0"/>
              <w:rPr>
                <w:sz w:val="22"/>
                <w:szCs w:val="22"/>
                <w:color w:val="auto"/>
              </w:rPr>
            </w:pPr>
          </w:p>
        </w:tc>
        <w:tc>
          <w:tcPr>
            <w:tcW w:w="6020" w:type="dxa"/>
            <w:vAlign w:val="bottom"/>
            <w:gridSpan w:val="10"/>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0" w:type="dxa"/>
            <w:vAlign w:val="bottom"/>
            <w:gridSpan w:val="9"/>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gridSpan w:val="13"/>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Unregistered Sales of Equity Securities and Use of Proceeds</w:t>
              </w:r>
            </w:hyperlink>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Exhibits</w:t>
              </w:r>
            </w:hyperlink>
          </w:p>
        </w:tc>
        <w:tc>
          <w:tcPr>
            <w:tcW w:w="3700" w:type="dxa"/>
            <w:vAlign w:val="bottom"/>
            <w:gridSpan w:val="12"/>
          </w:tcPr>
          <w:p>
            <w:pPr>
              <w:spacing w:after="0"/>
              <w:rPr>
                <w:sz w:val="22"/>
                <w:szCs w:val="22"/>
                <w:color w:val="auto"/>
              </w:rPr>
            </w:pPr>
          </w:p>
        </w:tc>
        <w:tc>
          <w:tcPr>
            <w:tcW w:w="3040" w:type="dxa"/>
            <w:vAlign w:val="bottom"/>
            <w:gridSpan w:val="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Signatures</w:t>
              </w:r>
            </w:hyperlink>
          </w:p>
        </w:tc>
        <w:tc>
          <w:tcPr>
            <w:tcW w:w="6580" w:type="dxa"/>
            <w:vAlign w:val="bottom"/>
            <w:gridSpan w:val="13"/>
          </w:tcPr>
          <w:p>
            <w:pPr>
              <w:spacing w:after="0"/>
              <w:rPr>
                <w:sz w:val="22"/>
                <w:szCs w:val="22"/>
                <w:color w:val="auto"/>
              </w:rPr>
            </w:pPr>
          </w:p>
        </w:tc>
        <w:tc>
          <w:tcPr>
            <w:tcW w:w="1060" w:type="dxa"/>
            <w:vAlign w:val="bottom"/>
            <w:gridSpan w:val="3"/>
          </w:tcPr>
          <w:p>
            <w:pPr>
              <w:ind w:left="88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40</w:t>
              </w:r>
            </w:hyperlink>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4100" w:type="dxa"/>
            <w:vAlign w:val="bottom"/>
            <w:gridSpan w:val="6"/>
          </w:tcPr>
          <w:p>
            <w:pPr>
              <w:jc w:val="center"/>
              <w:ind w:right="100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0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80" w:type="dxa"/>
            <w:vAlign w:val="bottom"/>
          </w:tcPr>
          <w:p>
            <w:pPr>
              <w:spacing w:after="0"/>
              <w:rPr>
                <w:sz w:val="24"/>
                <w:szCs w:val="24"/>
                <w:color w:val="auto"/>
              </w:rPr>
            </w:pPr>
          </w:p>
        </w:tc>
        <w:tc>
          <w:tcPr>
            <w:tcW w:w="266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9"/>
              </w:rPr>
              <w:t>Pentair plc and Subsidiaries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60" w:type="dxa"/>
            <w:vAlign w:val="bottom"/>
            <w:gridSpan w:val="9"/>
          </w:tcPr>
          <w:p>
            <w:pPr>
              <w:jc w:val="center"/>
              <w:ind w:left="1510"/>
              <w:spacing w:after="0"/>
              <w:rPr>
                <w:sz w:val="20"/>
                <w:szCs w:val="20"/>
                <w:color w:val="auto"/>
              </w:rPr>
            </w:pPr>
            <w:r>
              <w:rPr>
                <w:rFonts w:ascii="Arial" w:cs="Arial" w:eastAsia="Arial" w:hAnsi="Arial"/>
                <w:sz w:val="18"/>
                <w:szCs w:val="18"/>
                <w:b w:val="1"/>
                <w:bCs w:val="1"/>
                <w:color w:val="auto"/>
                <w:w w:val="89"/>
              </w:rPr>
              <w:t>Condensed Consolidated Statements of Operations and Comprehensive Income (Unaudited)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4"/>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10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1,785.2</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145.6</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167.3</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486.2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(Gain) loss on sale of businesses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expense (income)</w:t>
            </w: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Income from continuing operations before income taxes</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from continuing operations</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1"/>
        </w:trPr>
        <w:tc>
          <w:tcPr>
            <w:tcW w:w="40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114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143.6</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404.3</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Comprehensive income, net of tax</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Changes in cumulative translation adjustment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75"/>
        </w:trPr>
        <w:tc>
          <w:tcPr>
            <w:tcW w:w="522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Changes in market value of derivative financial instruments, net of</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rPr>
              <w:t>Diluted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Discontinued operations</w:t>
            </w: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Weighted average ordinary shares outstanding</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167.6</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167.7</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660" w:type="dxa"/>
            <w:vAlign w:val="bottom"/>
            <w:vMerge w:val="restart"/>
          </w:tcPr>
          <w:p>
            <w:pPr>
              <w:spacing w:after="0"/>
              <w:rPr>
                <w:sz w:val="20"/>
                <w:szCs w:val="20"/>
                <w:color w:val="auto"/>
              </w:rPr>
            </w:pPr>
            <w:r>
              <w:rPr>
                <w:rFonts w:ascii="Arial" w:cs="Arial" w:eastAsia="Arial" w:hAnsi="Arial"/>
                <w:sz w:val="18"/>
                <w:szCs w:val="18"/>
                <w:i w:val="1"/>
                <w:iCs w:val="1"/>
                <w:color w:val="auto"/>
              </w:rPr>
              <w:t>In millions, except per-share data</w:t>
            </w:r>
          </w:p>
        </w:tc>
        <w:tc>
          <w:tcPr>
            <w:tcW w:w="520" w:type="dxa"/>
            <w:vAlign w:val="bottom"/>
          </w:tcPr>
          <w:p>
            <w:pPr>
              <w:spacing w:after="0"/>
              <w:rPr>
                <w:sz w:val="17"/>
                <w:szCs w:val="17"/>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5340"/>
              <w:spacing w:after="0"/>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Accounts receivable, net of allowances of $9.8 and $8.4, respectively</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461.0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2,386.5</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2,392.2</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2,926.5</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2,920.9</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60" w:type="dxa"/>
            <w:vAlign w:val="bottom"/>
            <w:shd w:val="clear" w:color="auto" w:fill="CCEEFF"/>
          </w:tcPr>
          <w:p>
            <w:pPr>
              <w:ind w:left="4740"/>
              <w:spacing w:after="0"/>
              <w:rPr>
                <w:sz w:val="20"/>
                <w:szCs w:val="20"/>
                <w:color w:val="auto"/>
              </w:rPr>
            </w:pPr>
            <w:r>
              <w:rPr>
                <w:rFonts w:ascii="Arial" w:cs="Arial" w:eastAsia="Arial" w:hAnsi="Arial"/>
                <w:sz w:val="18"/>
                <w:szCs w:val="18"/>
                <w:b w:val="1"/>
                <w:bCs w:val="1"/>
                <w:color w:val="auto"/>
              </w:rPr>
              <w:t>Liabilities and Equity</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1,016.0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Long-term debt</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700.9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compensation and benefits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2,134.7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2,090.9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Ordinary shares $0.01 par value, 426.0 authorized, 165.5 and 166.1 issued at September 30, 2021 and</w:t>
            </w:r>
          </w:p>
        </w:tc>
        <w:tc>
          <w:tcPr>
            <w:tcW w:w="5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2020, respectively</w:t>
            </w:r>
          </w:p>
        </w:tc>
        <w:tc>
          <w:tcPr>
            <w:tcW w:w="5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1,614.2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1,680.7</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5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0" w:type="dxa"/>
            <w:vAlign w:val="bottom"/>
          </w:tcPr>
          <w:p>
            <w:pPr>
              <w:spacing w:after="0"/>
              <w:rPr>
                <w:sz w:val="1"/>
                <w:szCs w:val="1"/>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800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4"/>
                <w:szCs w:val="14"/>
                <w:color w:val="auto"/>
              </w:rPr>
            </w:pPr>
          </w:p>
        </w:tc>
        <w:tc>
          <w:tcPr>
            <w:tcW w:w="142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404.3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8000" w:type="dxa"/>
            <w:vAlign w:val="bottom"/>
          </w:tcPr>
          <w:p>
            <w:pPr>
              <w:spacing w:after="0" w:line="176" w:lineRule="exact"/>
              <w:rPr>
                <w:sz w:val="20"/>
                <w:szCs w:val="20"/>
                <w:color w:val="auto"/>
              </w:rPr>
            </w:pPr>
            <w:r>
              <w:rPr>
                <w:rFonts w:ascii="Arial" w:cs="Arial" w:eastAsia="Arial" w:hAnsi="Arial"/>
                <w:sz w:val="18"/>
                <w:szCs w:val="18"/>
                <w:b w:val="1"/>
                <w:bCs w:val="1"/>
                <w:color w:val="auto"/>
                <w:w w:val="93"/>
              </w:rPr>
              <w:t>Adjustments to reconcile net income from continuing operations to net cash provided by (used for)</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b w:val="1"/>
                <w:bCs w:val="1"/>
                <w:color w:val="auto"/>
              </w:rPr>
              <w:t>operating activities of continuing operations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of unconsolidated subsidiaries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businesses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 of effects of business acquisitions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non-current assets and liabilities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businesses,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(114.4)</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Net borrowings of commercial paper and revolving long-term debt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Shares issued to employees, net of shares withheld</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ordinary shares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upon the maturity of cross currency swaps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for financing activities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(341.8)</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2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4000" w:type="dxa"/>
            <w:vAlign w:val="bottom"/>
          </w:tcPr>
          <w:p>
            <w:pPr>
              <w:spacing w:after="0"/>
              <w:rPr>
                <w:sz w:val="11"/>
                <w:szCs w:val="11"/>
                <w:color w:val="auto"/>
              </w:rPr>
            </w:pPr>
          </w:p>
        </w:tc>
        <w:tc>
          <w:tcPr>
            <w:tcW w:w="1820" w:type="dxa"/>
            <w:vAlign w:val="bottom"/>
            <w:tcBorders>
              <w:bottom w:val="single" w:sz="8" w:color="auto"/>
            </w:tcBorders>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right"/>
              <w:ind w:right="110"/>
              <w:spacing w:after="0" w:line="176" w:lineRule="exact"/>
              <w:rPr>
                <w:sz w:val="20"/>
                <w:szCs w:val="20"/>
                <w:color w:val="auto"/>
              </w:rPr>
            </w:pPr>
            <w:r>
              <w:rPr>
                <w:rFonts w:ascii="Arial" w:cs="Arial" w:eastAsia="Arial" w:hAnsi="Arial"/>
                <w:sz w:val="18"/>
                <w:szCs w:val="18"/>
                <w:b w:val="1"/>
                <w:bCs w:val="1"/>
                <w:color w:val="auto"/>
                <w:w w:val="97"/>
              </w:rPr>
              <w:t>Additional</w:t>
            </w:r>
          </w:p>
        </w:tc>
        <w:tc>
          <w:tcPr>
            <w:tcW w:w="200" w:type="dxa"/>
            <w:vAlign w:val="bottom"/>
          </w:tcPr>
          <w:p>
            <w:pPr>
              <w:spacing w:after="0"/>
              <w:rPr>
                <w:sz w:val="11"/>
                <w:szCs w:val="11"/>
                <w:color w:val="auto"/>
              </w:rPr>
            </w:pPr>
          </w:p>
        </w:tc>
        <w:tc>
          <w:tcPr>
            <w:tcW w:w="1040" w:type="dxa"/>
            <w:vAlign w:val="bottom"/>
            <w:vMerge w:val="restart"/>
          </w:tcPr>
          <w:p>
            <w:pPr>
              <w:jc w:val="right"/>
              <w:ind w:right="190"/>
              <w:spacing w:after="0" w:line="176" w:lineRule="exact"/>
              <w:rPr>
                <w:sz w:val="20"/>
                <w:szCs w:val="20"/>
                <w:color w:val="auto"/>
              </w:rPr>
            </w:pPr>
            <w:r>
              <w:rPr>
                <w:rFonts w:ascii="Arial" w:cs="Arial" w:eastAsia="Arial" w:hAnsi="Arial"/>
                <w:sz w:val="18"/>
                <w:szCs w:val="18"/>
                <w:b w:val="1"/>
                <w:bCs w:val="1"/>
                <w:color w:val="auto"/>
                <w:w w:val="97"/>
              </w:rPr>
              <w:t>Retained</w:t>
            </w:r>
          </w:p>
        </w:tc>
        <w:tc>
          <w:tcPr>
            <w:tcW w:w="200" w:type="dxa"/>
            <w:vAlign w:val="bottom"/>
          </w:tcPr>
          <w:p>
            <w:pPr>
              <w:spacing w:after="0"/>
              <w:rPr>
                <w:sz w:val="11"/>
                <w:szCs w:val="11"/>
                <w:color w:val="auto"/>
              </w:rPr>
            </w:pPr>
          </w:p>
        </w:tc>
        <w:tc>
          <w:tcPr>
            <w:tcW w:w="1400" w:type="dxa"/>
            <w:vAlign w:val="bottom"/>
            <w:vMerge w:val="restart"/>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line="20" w:lineRule="exact"/>
              <w:rPr>
                <w:sz w:val="1"/>
                <w:szCs w:val="1"/>
                <w:color w:val="auto"/>
              </w:rPr>
            </w:pPr>
          </w:p>
        </w:tc>
      </w:tr>
      <w:tr>
        <w:trPr>
          <w:trHeight w:val="230"/>
        </w:trPr>
        <w:tc>
          <w:tcPr>
            <w:tcW w:w="400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paid-in capital</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earnings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2,106.3</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$0.20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 March 31,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2,193.8</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$0.20 per share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Share repurchases</w:t>
            </w: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June 30,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$0.20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payment</w:t>
            </w: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September 30, 2021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2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Ordinary shares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00" w:type="dxa"/>
            <w:vAlign w:val="bottom"/>
          </w:tcPr>
          <w:p>
            <w:pPr>
              <w:spacing w:after="0"/>
              <w:rPr>
                <w:sz w:val="12"/>
                <w:szCs w:val="12"/>
                <w:color w:val="auto"/>
              </w:rPr>
            </w:pPr>
          </w:p>
        </w:tc>
        <w:tc>
          <w:tcPr>
            <w:tcW w:w="182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110"/>
              <w:spacing w:after="0" w:line="149" w:lineRule="exact"/>
              <w:rPr>
                <w:sz w:val="20"/>
                <w:szCs w:val="20"/>
                <w:color w:val="auto"/>
              </w:rPr>
            </w:pPr>
            <w:r>
              <w:rPr>
                <w:rFonts w:ascii="Arial" w:cs="Arial" w:eastAsia="Arial" w:hAnsi="Arial"/>
                <w:sz w:val="17"/>
                <w:szCs w:val="17"/>
                <w:b w:val="1"/>
                <w:bCs w:val="1"/>
                <w:color w:val="auto"/>
              </w:rPr>
              <w:t>Additional</w:t>
            </w:r>
          </w:p>
        </w:tc>
        <w:tc>
          <w:tcPr>
            <w:tcW w:w="200" w:type="dxa"/>
            <w:vAlign w:val="bottom"/>
          </w:tcPr>
          <w:p>
            <w:pPr>
              <w:spacing w:after="0"/>
              <w:rPr>
                <w:sz w:val="12"/>
                <w:szCs w:val="12"/>
                <w:color w:val="auto"/>
              </w:rPr>
            </w:pPr>
          </w:p>
        </w:tc>
        <w:tc>
          <w:tcPr>
            <w:tcW w:w="1040" w:type="dxa"/>
            <w:vAlign w:val="bottom"/>
          </w:tcPr>
          <w:p>
            <w:pPr>
              <w:jc w:val="right"/>
              <w:ind w:right="190"/>
              <w:spacing w:after="0" w:line="149" w:lineRule="exact"/>
              <w:rPr>
                <w:sz w:val="20"/>
                <w:szCs w:val="20"/>
                <w:color w:val="auto"/>
              </w:rPr>
            </w:pPr>
            <w:r>
              <w:rPr>
                <w:rFonts w:ascii="Arial" w:cs="Arial" w:eastAsia="Arial" w:hAnsi="Arial"/>
                <w:sz w:val="17"/>
                <w:szCs w:val="17"/>
                <w:b w:val="1"/>
                <w:bCs w:val="1"/>
                <w:color w:val="auto"/>
              </w:rPr>
              <w:t>Retained</w:t>
            </w:r>
          </w:p>
        </w:tc>
        <w:tc>
          <w:tcPr>
            <w:tcW w:w="200" w:type="dxa"/>
            <w:vAlign w:val="bottom"/>
          </w:tcPr>
          <w:p>
            <w:pPr>
              <w:spacing w:after="0"/>
              <w:rPr>
                <w:sz w:val="12"/>
                <w:szCs w:val="12"/>
                <w:color w:val="auto"/>
              </w:rPr>
            </w:pPr>
          </w:p>
        </w:tc>
        <w:tc>
          <w:tcPr>
            <w:tcW w:w="1400" w:type="dxa"/>
            <w:vAlign w:val="bottom"/>
          </w:tcPr>
          <w:p>
            <w:pPr>
              <w:jc w:val="center"/>
              <w:ind w:right="110"/>
              <w:spacing w:after="0" w:line="149" w:lineRule="exact"/>
              <w:rPr>
                <w:sz w:val="20"/>
                <w:szCs w:val="20"/>
                <w:color w:val="auto"/>
              </w:rPr>
            </w:pPr>
            <w:r>
              <w:rPr>
                <w:rFonts w:ascii="Arial" w:cs="Arial" w:eastAsia="Arial" w:hAnsi="Arial"/>
                <w:sz w:val="17"/>
                <w:szCs w:val="17"/>
                <w:b w:val="1"/>
                <w:bCs w:val="1"/>
                <w:color w:val="auto"/>
                <w:w w:val="94"/>
              </w:rPr>
              <w:t>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paid-in capital</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earnings</w:t>
            </w: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comprehensive loss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1,953.9</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Dividends declared, $0.19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repurchases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 March 31,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$0.19 per share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76"/>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restricted shares, net of cancellations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 June 30,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1,949.7</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$0.19 per share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75"/>
        </w:trPr>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Exercise of options, net of shares tendered for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payment</w:t>
            </w: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surrendered by employees to pay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 September 30,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Responsibility for Interim Financial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2020.</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World Health Organization declared the novel coronavirus 2019 (“COVID-19”) a global pandemic. The COVID-19 pandemic has had and may continue to have an unfavorable impact on certain parts of our business. The broader implications of the COVID-19 pandemic on our business, financial condition and results of operations remain uncertain and will depend on certain developments, including the duration and severity of the COVID-19 pandemic, the impact of virus variants, the rate and effectiveness of vaccinations, the COVID-19 pandemic’s impact on our customers and suppliers and the range of governmental and community reactions to the pandemic. We may continue to experience reduced customer demand in certain parts of our business or constrained labor and/or supply that could materially and adversely impact our business, financial condition, results of operations, liquidity and cash flows in future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24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15 for revenue disaggregated by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14"/>
                <w:szCs w:val="14"/>
                <w:color w:val="auto"/>
              </w:rPr>
            </w:pPr>
          </w:p>
        </w:tc>
        <w:tc>
          <w:tcPr>
            <w:tcW w:w="132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4"/>
                <w:szCs w:val="14"/>
                <w:color w:val="auto"/>
              </w:rPr>
            </w:pPr>
          </w:p>
        </w:tc>
        <w:tc>
          <w:tcPr>
            <w:tcW w:w="138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40" w:type="dxa"/>
            <w:vAlign w:val="bottom"/>
          </w:tcPr>
          <w:p>
            <w:pPr>
              <w:spacing w:after="0"/>
              <w:rPr>
                <w:sz w:val="14"/>
                <w:szCs w:val="14"/>
                <w:color w:val="auto"/>
              </w:rPr>
            </w:pPr>
          </w:p>
        </w:tc>
        <w:tc>
          <w:tcPr>
            <w:tcW w:w="134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92.6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Consolidated net sales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969.2</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798.5</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2,776.2</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2,221.8</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80" w:hanging="154"/>
        <w:spacing w:after="0"/>
        <w:tabs>
          <w:tab w:leader="none" w:pos="180"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Developing includes China, Eastern Europe, Latin America, the Middle East and Southeast Asia.</w:t>
      </w:r>
    </w:p>
    <w:p>
      <w:pPr>
        <w:spacing w:after="0" w:line="23" w:lineRule="exact"/>
        <w:rPr>
          <w:rFonts w:ascii="Arial" w:cs="Arial" w:eastAsia="Arial" w:hAnsi="Arial"/>
          <w:sz w:val="18"/>
          <w:szCs w:val="18"/>
          <w:color w:val="auto"/>
          <w:vertAlign w:val="superscript"/>
        </w:rPr>
      </w:pPr>
    </w:p>
    <w:p>
      <w:pPr>
        <w:ind w:left="200" w:hanging="174"/>
        <w:spacing w:after="0" w:line="191" w:lineRule="auto"/>
        <w:tabs>
          <w:tab w:leader="none" w:pos="20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Other Developed includes Australia, Canada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14"/>
                <w:szCs w:val="14"/>
                <w:color w:val="auto"/>
              </w:rPr>
            </w:pPr>
          </w:p>
        </w:tc>
        <w:tc>
          <w:tcPr>
            <w:tcW w:w="132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4"/>
                <w:szCs w:val="14"/>
                <w:color w:val="auto"/>
              </w:rPr>
            </w:pPr>
          </w:p>
        </w:tc>
        <w:tc>
          <w:tcPr>
            <w:tcW w:w="138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40" w:type="dxa"/>
            <w:vAlign w:val="bottom"/>
          </w:tcPr>
          <w:p>
            <w:pPr>
              <w:spacing w:after="0"/>
              <w:rPr>
                <w:sz w:val="14"/>
                <w:szCs w:val="14"/>
                <w:color w:val="auto"/>
              </w:rPr>
            </w:pPr>
          </w:p>
        </w:tc>
        <w:tc>
          <w:tcPr>
            <w:tcW w:w="134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178.1</w:t>
            </w:r>
          </w:p>
        </w:tc>
        <w:tc>
          <w:tcPr>
            <w:tcW w:w="2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126.0</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488.9</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152.2</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 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2,221.8</w:t>
            </w:r>
          </w:p>
        </w:tc>
        <w:tc>
          <w:tcPr>
            <w:tcW w:w="0" w:type="dxa"/>
            <w:vAlign w:val="bottom"/>
          </w:tcPr>
          <w:p>
            <w:pPr>
              <w:spacing w:after="0"/>
              <w:rPr>
                <w:sz w:val="1"/>
                <w:szCs w:val="1"/>
                <w:color w:val="auto"/>
              </w:rPr>
            </w:pPr>
          </w:p>
        </w:tc>
      </w:tr>
      <w:tr>
        <w:trPr>
          <w:trHeight w:val="21"/>
        </w:trPr>
        <w:tc>
          <w:tcPr>
            <w:tcW w:w="5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 September 30, 2021, we had $72.0 million of remaining performance obligations on contracts with an original expected duration of one year or more.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the majority of our remaining performance obligations on these contracts within the next 12 to 18 months.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9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320" w:type="dxa"/>
            <w:vAlign w:val="bottom"/>
          </w:tcPr>
          <w:p>
            <w:pPr>
              <w:spacing w:after="0"/>
              <w:rPr>
                <w:sz w:val="17"/>
                <w:szCs w:val="17"/>
                <w:color w:val="auto"/>
              </w:rPr>
            </w:pPr>
          </w:p>
        </w:tc>
        <w:tc>
          <w:tcPr>
            <w:tcW w:w="14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 Change</w:t>
            </w:r>
          </w:p>
        </w:tc>
        <w:tc>
          <w:tcPr>
            <w:tcW w:w="14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 liabilities</w:t>
            </w:r>
          </w:p>
        </w:tc>
        <w:tc>
          <w:tcPr>
            <w:tcW w:w="1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contract assets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$5.7 million decrease in net contract assets from December 31, 2020 to September 30, 2021 was primarily the result of timing of milestone payments. Approximately 75% of our contract liabilities at December 31, 2020 were recognized in revenue in the first nine months of 2021. There were no impairment losses recognized on our contract assets for the three months ended September 30, 2021.</w:t>
      </w:r>
    </w:p>
    <w:p>
      <w:pPr>
        <w:spacing w:after="0" w:line="20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15, 2021, as part of both of our Consumer Solutions and Industrial &amp; Flow Technologies reporting segments, we entered into a definitive agreement to acquire Pleatco Holdings, LLC and related entities (“Pleatco”) for total consideration of approximately $255.0 million in cash, subject to customary adjustments. We completed the Pleatco acquisition on October 18, 2021.</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19, 2021, as part of our Consumer Solutions reporting segment, we completed the acquisition of Ken’s Beverage, Inc. for $82.8 million in cash, net of cash acquired. The excess of purchase price over tangible net assets acquired has been preliminarily allocated to goodwill in the amount of $29.0 million, all of which is expected to be deductible for income tax purposes. Identifiable intangible assets acquired consisted of $38.0 million of definite-lived customer relationships with an estimated useful life of 22 years.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In 2020, our Consumer Solutions reporting segment completed acquisitions with purchase prices totaling $58.0 million in cash, net of cash acquired.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pro forma impact of these acquisitions is not material.</w:t>
      </w:r>
    </w:p>
    <w:p>
      <w:pPr>
        <w:spacing w:after="0" w:line="24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nine months ended September 30, 2021 and 2020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2021, we issued our annual share-based compensation grants under the Pentair plc 2020 Share and Incentive Plan to eligible employees. The total number of awards issued was approximately 0.7 million, of which 0.3 million were restricted stock units (“RSUs”), 0.3 million were stock options and 0.1 million were performance share units (“PSUs”). The weighted-average grant date fair value of the RSUs, stock options and PSUs issued was $55.42, $12.88, and $52.57,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1"/>
        </w:trPr>
        <w:tc>
          <w:tcPr>
            <w:tcW w:w="6020" w:type="dxa"/>
            <w:vAlign w:val="bottom"/>
          </w:tcPr>
          <w:p>
            <w:pPr>
              <w:spacing w:after="0"/>
              <w:rPr>
                <w:sz w:val="15"/>
                <w:szCs w:val="15"/>
                <w:color w:val="auto"/>
              </w:rPr>
            </w:pPr>
          </w:p>
        </w:tc>
        <w:tc>
          <w:tcPr>
            <w:tcW w:w="5220" w:type="dxa"/>
            <w:vAlign w:val="bottom"/>
          </w:tcPr>
          <w:p>
            <w:pPr>
              <w:jc w:val="right"/>
              <w:ind w:right="590"/>
              <w:spacing w:after="0" w:line="182" w:lineRule="exact"/>
              <w:rPr>
                <w:sz w:val="20"/>
                <w:szCs w:val="20"/>
                <w:color w:val="auto"/>
              </w:rPr>
            </w:pPr>
            <w:r>
              <w:rPr>
                <w:rFonts w:ascii="Arial" w:cs="Arial" w:eastAsia="Arial" w:hAnsi="Arial"/>
                <w:sz w:val="18"/>
                <w:szCs w:val="18"/>
                <w:b w:val="1"/>
                <w:bCs w:val="1"/>
                <w:color w:val="auto"/>
              </w:rPr>
              <w:t>2021</w:t>
            </w:r>
          </w:p>
        </w:tc>
      </w:tr>
      <w:tr>
        <w:trPr>
          <w:trHeight w:val="230"/>
        </w:trPr>
        <w:tc>
          <w:tcPr>
            <w:tcW w:w="60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Annual Grant</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5220" w:type="dxa"/>
            <w:vAlign w:val="bottom"/>
          </w:tcPr>
          <w:p>
            <w:pPr>
              <w:jc w:val="right"/>
              <w:spacing w:after="0"/>
              <w:rPr>
                <w:sz w:val="20"/>
                <w:szCs w:val="20"/>
                <w:color w:val="auto"/>
              </w:rPr>
            </w:pPr>
            <w:r>
              <w:rPr>
                <w:rFonts w:ascii="Arial" w:cs="Arial" w:eastAsia="Arial" w:hAnsi="Arial"/>
                <w:sz w:val="18"/>
                <w:szCs w:val="18"/>
                <w:color w:val="auto"/>
              </w:rPr>
              <w:t>1.56 %</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522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United States (“U.S.”) Treasury Department yield curve in effect at the time of grant.</w:t>
      </w:r>
    </w:p>
    <w:p>
      <w:pPr>
        <w:spacing w:after="0" w:line="20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Transformation Program</w:t>
      </w:r>
    </w:p>
    <w:p>
      <w:pPr>
        <w:spacing w:after="0" w:line="1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During the second quarter of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and the year ended December 31, 2020, we initiated and continued execution of actions aimed at reducing our fixed cost structure and realigning our business associated with restructuring and the Transformation Program, including the reduction in headcount of approximately 50 and 175 employees,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 and transformation-related costs within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the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Comprehensive Income included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Transformation costs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costs </w:t>
            </w:r>
            <w:r>
              <w:rPr>
                <w:rFonts w:ascii="Arial" w:cs="Arial" w:eastAsia="Arial" w:hAnsi="Arial"/>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restructuring and transformation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Transformation costs primarily consist of professional services and project management and related costs.</w:t>
      </w:r>
    </w:p>
    <w:p>
      <w:pPr>
        <w:ind w:left="180" w:hanging="172"/>
        <w:spacing w:after="0" w:line="213"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Other costs primarily consist of asset impairment and various contract termination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transformation costs by reportable segment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7"/>
              </w:rPr>
              <w:t>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160" w:type="dxa"/>
            <w:vAlign w:val="bottom"/>
          </w:tcPr>
          <w:p>
            <w:pPr>
              <w:spacing w:after="0"/>
              <w:rPr>
                <w:sz w:val="19"/>
                <w:szCs w:val="19"/>
                <w:color w:val="auto"/>
              </w:rPr>
            </w:pPr>
          </w:p>
        </w:tc>
        <w:tc>
          <w:tcPr>
            <w:tcW w:w="1340" w:type="dxa"/>
            <w:vAlign w:val="bottom"/>
          </w:tcPr>
          <w:p>
            <w:pPr>
              <w:jc w:val="center"/>
              <w:ind w:left="830"/>
              <w:spacing w:after="0"/>
              <w:rPr>
                <w:sz w:val="20"/>
                <w:szCs w:val="20"/>
                <w:color w:val="auto"/>
              </w:rPr>
            </w:pPr>
            <w:r>
              <w:rPr>
                <w:rFonts w:ascii="Arial" w:cs="Arial" w:eastAsia="Arial" w:hAnsi="Arial"/>
                <w:sz w:val="18"/>
                <w:szCs w:val="18"/>
                <w:color w:val="auto"/>
                <w:w w:val="91"/>
              </w:rPr>
              <w:t>(0.2)</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87"/>
              </w:rPr>
              <w:t>4.1</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7"/>
              </w:rPr>
              <w:t>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8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nine months ended September 30, 2021:</w:t>
      </w:r>
    </w:p>
    <w:tbl>
      <w:tblPr>
        <w:tblLayout w:type="fixed"/>
        <w:tblInd w:w="0" w:type="dxa"/>
        <w:tblCellMar>
          <w:top w:w="0" w:type="dxa"/>
          <w:left w:w="0" w:type="dxa"/>
          <w:bottom w:w="0" w:type="dxa"/>
          <w:right w:w="0" w:type="dxa"/>
        </w:tblCellMar>
      </w:tblPr>
      <w:tr>
        <w:trPr>
          <w:trHeight w:val="181"/>
        </w:trPr>
        <w:tc>
          <w:tcPr>
            <w:tcW w:w="51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Costs incurred</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620" w:type="dxa"/>
            <w:vAlign w:val="bottom"/>
          </w:tcPr>
          <w:p>
            <w:pPr>
              <w:spacing w:after="0"/>
              <w:rPr>
                <w:sz w:val="20"/>
                <w:szCs w:val="20"/>
                <w:color w:val="auto"/>
              </w:rPr>
            </w:pPr>
            <w:r>
              <w:rPr>
                <w:rFonts w:ascii="Arial" w:cs="Arial" w:eastAsia="Arial" w:hAnsi="Arial"/>
                <w:sz w:val="18"/>
                <w:szCs w:val="18"/>
                <w:b w:val="1"/>
                <w:bCs w:val="1"/>
                <w:color w:val="auto"/>
              </w:rPr>
              <w:t>6.</w:t>
            </w:r>
          </w:p>
        </w:tc>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2"/>
                <w:szCs w:val="22"/>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 except per-share data</w:t>
            </w: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tcBorders>
              <w:bottom w:val="single" w:sz="8" w:color="auto"/>
            </w:tcBorders>
            <w:gridSpan w:val="2"/>
          </w:tcPr>
          <w:p>
            <w:pPr>
              <w:ind w:left="20"/>
              <w:spacing w:after="0" w:line="203" w:lineRule="exact"/>
              <w:rPr>
                <w:sz w:val="20"/>
                <w:szCs w:val="20"/>
                <w:color w:val="auto"/>
              </w:rPr>
            </w:pPr>
            <w:r>
              <w:rPr>
                <w:rFonts w:ascii="Arial" w:cs="Arial" w:eastAsia="Arial" w:hAnsi="Arial"/>
                <w:sz w:val="18"/>
                <w:szCs w:val="18"/>
                <w:b w:val="1"/>
                <w:bCs w:val="1"/>
                <w:color w:val="auto"/>
              </w:rPr>
              <w:t>Net income from continuing operations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143.7</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110.8</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407.4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ordinary shares outstanding</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ind w:left="20"/>
              <w:spacing w:after="0"/>
              <w:rPr>
                <w:sz w:val="20"/>
                <w:szCs w:val="20"/>
                <w:color w:val="auto"/>
              </w:rPr>
            </w:pPr>
            <w:r>
              <w:rPr>
                <w:rFonts w:ascii="Arial" w:cs="Arial" w:eastAsia="Arial" w:hAnsi="Arial"/>
                <w:sz w:val="18"/>
                <w:szCs w:val="18"/>
                <w:color w:val="auto"/>
              </w:rPr>
              <w:t>Basic</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165.7</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176"/>
        </w:trPr>
        <w:tc>
          <w:tcPr>
            <w:tcW w:w="51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Dilutive impact of stock options, restricted stock units and</w:t>
            </w: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performance share units</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4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167.7</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ordinary share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Basic</w:t>
            </w:r>
          </w:p>
        </w:tc>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bottom w:val="single" w:sz="8" w:color="auto"/>
            </w:tcBorders>
          </w:tcPr>
          <w:p>
            <w:pPr>
              <w:spacing w:after="0" w:line="20" w:lineRule="exact"/>
              <w:rPr>
                <w:sz w:val="1"/>
                <w:szCs w:val="1"/>
                <w:color w:val="auto"/>
              </w:rPr>
            </w:pPr>
          </w:p>
        </w:tc>
        <w:tc>
          <w:tcPr>
            <w:tcW w:w="4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0" w:type="dxa"/>
            <w:vAlign w:val="bottom"/>
          </w:tcPr>
          <w:p>
            <w:pPr>
              <w:ind w:left="20"/>
              <w:spacing w:after="0" w:line="203" w:lineRule="exact"/>
              <w:rPr>
                <w:sz w:val="20"/>
                <w:szCs w:val="20"/>
                <w:color w:val="auto"/>
              </w:rPr>
            </w:pPr>
            <w:r>
              <w:rPr>
                <w:rFonts w:ascii="Arial" w:cs="Arial" w:eastAsia="Arial" w:hAnsi="Arial"/>
                <w:sz w:val="18"/>
                <w:szCs w:val="18"/>
                <w:b w:val="1"/>
                <w:bCs w:val="1"/>
                <w:i w:val="1"/>
                <w:iCs w:val="1"/>
                <w:color w:val="auto"/>
                <w:w w:val="94"/>
              </w:rPr>
              <w:t>Diluted</w:t>
            </w:r>
          </w:p>
        </w:tc>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ordinary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140" w:type="dxa"/>
            <w:vAlign w:val="bottom"/>
            <w:gridSpan w:val="2"/>
          </w:tcPr>
          <w:p>
            <w:pPr>
              <w:ind w:left="20"/>
              <w:spacing w:after="0" w:line="150" w:lineRule="exact"/>
              <w:rPr>
                <w:sz w:val="20"/>
                <w:szCs w:val="20"/>
                <w:color w:val="auto"/>
              </w:rPr>
            </w:pPr>
            <w:r>
              <w:rPr>
                <w:rFonts w:ascii="Arial" w:cs="Arial" w:eastAsia="Arial" w:hAnsi="Arial"/>
                <w:sz w:val="17"/>
                <w:szCs w:val="17"/>
                <w:b w:val="1"/>
                <w:bCs w:val="1"/>
                <w:color w:val="auto"/>
              </w:rPr>
              <w:t>Anti-dilutive stock options excluded from the calculation of</w:t>
            </w:r>
          </w:p>
        </w:tc>
        <w:tc>
          <w:tcPr>
            <w:tcW w:w="16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160" w:type="dxa"/>
            <w:vAlign w:val="bottom"/>
          </w:tcPr>
          <w:p>
            <w:pPr>
              <w:spacing w:after="0"/>
              <w:rPr>
                <w:sz w:val="17"/>
                <w:szCs w:val="17"/>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vMerge w:val="continue"/>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7"/>
              </w:rPr>
              <w:t>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Bad debt expense (benefit) </w:t>
            </w:r>
            <w:r>
              <w:rPr>
                <w:rFonts w:ascii="Arial" w:cs="Arial" w:eastAsia="Arial" w:hAnsi="Arial"/>
                <w:sz w:val="23"/>
                <w:szCs w:val="23"/>
                <w:color w:val="auto"/>
                <w:vertAlign w:val="superscript"/>
              </w:rPr>
              <w:t>(1)</w:t>
            </w:r>
          </w:p>
        </w:tc>
        <w:tc>
          <w:tcPr>
            <w:tcW w:w="3160" w:type="dxa"/>
            <w:vAlign w:val="bottom"/>
          </w:tcPr>
          <w:p>
            <w:pPr>
              <w:spacing w:after="0"/>
              <w:rPr>
                <w:sz w:val="19"/>
                <w:szCs w:val="19"/>
                <w:color w:val="auto"/>
              </w:rPr>
            </w:pPr>
          </w:p>
        </w:tc>
        <w:tc>
          <w:tcPr>
            <w:tcW w:w="1380" w:type="dxa"/>
            <w:vAlign w:val="bottom"/>
          </w:tcPr>
          <w:p>
            <w:pPr>
              <w:jc w:val="center"/>
              <w:ind w:left="910"/>
              <w:spacing w:after="0"/>
              <w:rPr>
                <w:sz w:val="20"/>
                <w:szCs w:val="20"/>
                <w:color w:val="auto"/>
              </w:rPr>
            </w:pPr>
            <w:r>
              <w:rPr>
                <w:rFonts w:ascii="Arial" w:cs="Arial" w:eastAsia="Arial" w:hAnsi="Arial"/>
                <w:sz w:val="18"/>
                <w:szCs w:val="18"/>
                <w:color w:val="auto"/>
                <w:w w:val="87"/>
              </w:rPr>
              <w:t>1.1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3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7"/>
              </w:rPr>
              <w:t>0.6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Write-offs, net of recoveries</w:t>
            </w:r>
          </w:p>
        </w:tc>
        <w:tc>
          <w:tcPr>
            <w:tcW w:w="3160" w:type="dxa"/>
            <w:vAlign w:val="bottom"/>
          </w:tcPr>
          <w:p>
            <w:pPr>
              <w:spacing w:after="0"/>
              <w:rPr>
                <w:sz w:val="19"/>
                <w:szCs w:val="19"/>
                <w:color w:val="auto"/>
              </w:rPr>
            </w:pPr>
          </w:p>
        </w:tc>
        <w:tc>
          <w:tcPr>
            <w:tcW w:w="1380" w:type="dxa"/>
            <w:vAlign w:val="bottom"/>
          </w:tcPr>
          <w:p>
            <w:pPr>
              <w:jc w:val="center"/>
              <w:ind w:left="870"/>
              <w:spacing w:after="0"/>
              <w:rPr>
                <w:sz w:val="20"/>
                <w:szCs w:val="20"/>
                <w:color w:val="auto"/>
              </w:rPr>
            </w:pPr>
            <w:r>
              <w:rPr>
                <w:rFonts w:ascii="Arial" w:cs="Arial" w:eastAsia="Arial" w:hAnsi="Arial"/>
                <w:sz w:val="18"/>
                <w:szCs w:val="18"/>
                <w:color w:val="auto"/>
                <w:w w:val="91"/>
              </w:rPr>
              <w:t>(0.6)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3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87"/>
              </w:rPr>
              <w:t>0.3</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w:t>
            </w: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87"/>
              </w:rPr>
              <w:t>9.8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
        </w:trPr>
        <w:tc>
          <w:tcPr>
            <w:tcW w:w="518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80" w:right="2420" w:hanging="154"/>
        <w:spacing w:after="0" w:line="213" w:lineRule="auto"/>
        <w:tabs>
          <w:tab w:leader="none" w:pos="199"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The bad debt benefit for the year-ended December 31, 2020 includes the positive impact related to the adoption of ASU No. 2016-13 “Financial Instruments-Credit Losses.”</w:t>
      </w:r>
    </w:p>
    <w:p>
      <w:pPr>
        <w:ind w:left="200" w:hanging="174"/>
        <w:spacing w:after="0" w:line="228" w:lineRule="auto"/>
        <w:tabs>
          <w:tab w:leader="none" w:pos="20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2740" w:type="dxa"/>
            <w:vAlign w:val="bottom"/>
          </w:tcPr>
          <w:p>
            <w:pPr>
              <w:spacing w:after="0"/>
              <w:rPr>
                <w:sz w:val="16"/>
                <w:szCs w:val="16"/>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September 30,</w:t>
            </w:r>
          </w:p>
        </w:tc>
        <w:tc>
          <w:tcPr>
            <w:tcW w:w="26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vMerge w:val="continue"/>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2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Raw materials and supplies</w:t>
            </w:r>
          </w:p>
        </w:tc>
        <w:tc>
          <w:tcPr>
            <w:tcW w:w="2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265.4</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Work-in-process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234"/>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2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504.6</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Other current assets</w:t>
            </w:r>
          </w:p>
        </w:tc>
        <w:tc>
          <w:tcPr>
            <w:tcW w:w="2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in excess of billings</w:t>
            </w:r>
          </w:p>
        </w:tc>
        <w:tc>
          <w:tcPr>
            <w:tcW w:w="2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Prepaid expenses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50.8</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income taxes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current assets</w:t>
            </w:r>
          </w:p>
        </w:tc>
        <w:tc>
          <w:tcPr>
            <w:tcW w:w="2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5"/>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current assets</w:t>
            </w:r>
          </w:p>
        </w:tc>
        <w:tc>
          <w:tcPr>
            <w:tcW w:w="2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2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589.7</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Capitalized software</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82.8</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Total property, plant and equipment</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967.2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948.7</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2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670.4</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property, plant and equipment, net</w:t>
            </w:r>
          </w:p>
        </w:tc>
        <w:tc>
          <w:tcPr>
            <w:tcW w:w="2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2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Right-of-use lease assets</w:t>
            </w:r>
          </w:p>
        </w:tc>
        <w:tc>
          <w:tcPr>
            <w:tcW w:w="2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78.6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Deferred compensation plan assets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2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non-current assets</w:t>
            </w:r>
          </w:p>
        </w:tc>
        <w:tc>
          <w:tcPr>
            <w:tcW w:w="2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200.4</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current liabilities</w:t>
            </w:r>
          </w:p>
        </w:tc>
        <w:tc>
          <w:tcPr>
            <w:tcW w:w="2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Dividends payable</w:t>
            </w:r>
          </w:p>
        </w:tc>
        <w:tc>
          <w:tcPr>
            <w:tcW w:w="2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warranty</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rebates and incentives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209.6</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122.0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Billings in excess of cost</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Current lease liability</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Accrued restructuring</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current liabilities</w:t>
            </w:r>
          </w:p>
        </w:tc>
        <w:tc>
          <w:tcPr>
            <w:tcW w:w="2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527.2</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410.4</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liabilities</w:t>
            </w:r>
          </w:p>
        </w:tc>
        <w:tc>
          <w:tcPr>
            <w:tcW w:w="2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2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56.1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Self-insurance liabilities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45.1</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liabilities</w:t>
            </w:r>
          </w:p>
        </w:tc>
        <w:tc>
          <w:tcPr>
            <w:tcW w:w="27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Foreign currency contract liabilities</w:t>
            </w:r>
          </w:p>
        </w:tc>
        <w:tc>
          <w:tcPr>
            <w:tcW w:w="27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7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other non-current liabilities</w:t>
            </w:r>
          </w:p>
        </w:tc>
        <w:tc>
          <w:tcPr>
            <w:tcW w:w="2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4"/>
        </w:trPr>
        <w:tc>
          <w:tcPr>
            <w:tcW w:w="54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50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Purchase Accounting</w:t>
            </w:r>
          </w:p>
        </w:tc>
        <w:tc>
          <w:tcPr>
            <w:tcW w:w="220" w:type="dxa"/>
            <w:vAlign w:val="bottom"/>
          </w:tcPr>
          <w:p>
            <w:pPr>
              <w:spacing w:after="0"/>
              <w:rPr>
                <w:sz w:val="17"/>
                <w:szCs w:val="17"/>
                <w:color w:val="auto"/>
              </w:rPr>
            </w:pPr>
          </w:p>
        </w:tc>
        <w:tc>
          <w:tcPr>
            <w:tcW w:w="13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6"/>
              </w:rPr>
              <w:t>Acquisitions</w:t>
            </w:r>
          </w:p>
        </w:tc>
        <w:tc>
          <w:tcPr>
            <w:tcW w:w="200" w:type="dxa"/>
            <w:vAlign w:val="bottom"/>
          </w:tcPr>
          <w:p>
            <w:pPr>
              <w:spacing w:after="0"/>
              <w:rPr>
                <w:sz w:val="17"/>
                <w:szCs w:val="17"/>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Foreign currency</w:t>
            </w:r>
          </w:p>
        </w:tc>
        <w:tc>
          <w:tcPr>
            <w:tcW w:w="160" w:type="dxa"/>
            <w:vAlign w:val="bottom"/>
          </w:tcPr>
          <w:p>
            <w:pPr>
              <w:spacing w:after="0"/>
              <w:rPr>
                <w:sz w:val="17"/>
                <w:szCs w:val="17"/>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29"/>
        </w:trPr>
        <w:tc>
          <w:tcPr>
            <w:tcW w:w="264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Adjustments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translation/other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29"/>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5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48"/>
        </w:trPr>
        <w:tc>
          <w:tcPr>
            <w:tcW w:w="2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goodwill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Net</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4"/>
                <w:szCs w:val="14"/>
                <w:color w:val="auto"/>
              </w:rPr>
            </w:pPr>
          </w:p>
        </w:tc>
        <w:tc>
          <w:tcPr>
            <w:tcW w:w="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amortization</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465.3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(318.0)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(308.1)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Proprietary technology and patents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color w:val="auto"/>
              </w:rPr>
              <w:t>Total definite-life intangibles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511.9</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Indefinite-life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intangibles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intangible asset amortization expense was $6.0 million and $6.9 million for the three months ended September 30, 2021 and 2020, respectively, and $19.4 million and $21.5 million for the nine months ended September 30, 2021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2021 and the next five years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38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2026</w:t>
            </w: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72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Average interest rate as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60" w:type="dxa"/>
            <w:vAlign w:val="bottom"/>
          </w:tcPr>
          <w:p>
            <w:pPr>
              <w:spacing w:after="0"/>
              <w:rPr>
                <w:sz w:val="17"/>
                <w:szCs w:val="17"/>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vMerge w:val="continue"/>
          </w:tcPr>
          <w:p>
            <w:pPr>
              <w:spacing w:after="0"/>
              <w:rPr>
                <w:sz w:val="19"/>
                <w:szCs w:val="19"/>
                <w:color w:val="auto"/>
              </w:rPr>
            </w:pPr>
          </w:p>
        </w:tc>
        <w:tc>
          <w:tcPr>
            <w:tcW w:w="27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9"/>
              </w:rPr>
              <w:t>of September 30, 2021</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facilities</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1.080%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Term loans</w:t>
            </w:r>
          </w:p>
        </w:tc>
        <w:tc>
          <w:tcPr>
            <w:tcW w:w="2720" w:type="dxa"/>
            <w:vAlign w:val="bottom"/>
          </w:tcPr>
          <w:p>
            <w:pPr>
              <w:jc w:val="center"/>
              <w:ind w:left="310"/>
              <w:spacing w:after="0"/>
              <w:rPr>
                <w:sz w:val="20"/>
                <w:szCs w:val="20"/>
                <w:color w:val="auto"/>
              </w:rPr>
            </w:pPr>
            <w:r>
              <w:rPr>
                <w:rFonts w:ascii="Arial" w:cs="Arial" w:eastAsia="Arial" w:hAnsi="Arial"/>
                <w:sz w:val="18"/>
                <w:szCs w:val="18"/>
                <w:color w:val="auto"/>
                <w:w w:val="91"/>
              </w:rPr>
              <w:t>1.006%</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5.000%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tcPr>
          <w:p>
            <w:pPr>
              <w:jc w:val="center"/>
              <w:ind w:left="310"/>
              <w:spacing w:after="0"/>
              <w:rPr>
                <w:sz w:val="20"/>
                <w:szCs w:val="20"/>
                <w:color w:val="auto"/>
              </w:rPr>
            </w:pPr>
            <w:r>
              <w:rPr>
                <w:rFonts w:ascii="Arial" w:cs="Arial" w:eastAsia="Arial" w:hAnsi="Arial"/>
                <w:sz w:val="18"/>
                <w:szCs w:val="18"/>
                <w:color w:val="auto"/>
                <w:w w:val="91"/>
              </w:rPr>
              <w:t>3.150%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4.650%</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3"/>
                <w:szCs w:val="23"/>
                <w:color w:val="auto"/>
                <w:vertAlign w:val="superscript"/>
              </w:rPr>
              <w:t>(1)</w:t>
            </w:r>
          </w:p>
        </w:tc>
        <w:tc>
          <w:tcPr>
            <w:tcW w:w="2720" w:type="dxa"/>
            <w:vAlign w:val="bottom"/>
          </w:tcPr>
          <w:p>
            <w:pPr>
              <w:jc w:val="center"/>
              <w:ind w:left="310"/>
              <w:spacing w:after="0"/>
              <w:rPr>
                <w:sz w:val="20"/>
                <w:szCs w:val="20"/>
                <w:color w:val="auto"/>
              </w:rPr>
            </w:pPr>
            <w:r>
              <w:rPr>
                <w:rFonts w:ascii="Arial" w:cs="Arial" w:eastAsia="Arial" w:hAnsi="Arial"/>
                <w:sz w:val="18"/>
                <w:szCs w:val="18"/>
                <w:color w:val="auto"/>
                <w:w w:val="91"/>
              </w:rPr>
              <w:t>4.500%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and discounts</w:t>
            </w:r>
          </w:p>
        </w:tc>
        <w:tc>
          <w:tcPr>
            <w:tcW w:w="272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40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debt</w:t>
            </w:r>
          </w:p>
        </w:tc>
        <w:tc>
          <w:tcPr>
            <w:tcW w:w="2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700.9</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hanging="174"/>
        <w:spacing w:after="0"/>
        <w:tabs>
          <w:tab w:leader="none" w:pos="20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Facility provides for the extension of term loans in an aggregate amount of $200.0 million (the “Term Loans”). We have utilized the term loan extension since December 2019. The Term Loans are in addition to the revolving credit facility commitment. In addition, PFSA has the option to further increase the Senior Credit Facility in an aggregate amount of up to $300.0 million, through a combination of increases to the total commitment amount of the revolving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September 30, 2021 and December 31, 2020.</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and continued to use the revolving credit facility, along with cash generated from operations, to fund our general operations. As of September 30, 2021, total availability under the Senior Credit Facility was $900.0 million.</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$21.4 million, of which there were no outstanding borrowings at September 30, 2021. Borrowings under these credit facilities bear interest at variable rates.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$88.3 million of fixed rate senior notes maturing in the next twelve months. We classified this debt as long-term as of September 30, 2021 as we have the intent and ability to refinance such obligation on a long-term basis under the Senior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September 30, 2021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20" w:type="dxa"/>
            <w:vAlign w:val="bottom"/>
          </w:tcPr>
          <w:p>
            <w:pPr>
              <w:spacing w:after="0"/>
              <w:rPr>
                <w:sz w:val="19"/>
                <w:szCs w:val="19"/>
                <w:color w:val="auto"/>
              </w:rPr>
            </w:pPr>
          </w:p>
        </w:tc>
        <w:tc>
          <w:tcPr>
            <w:tcW w:w="1000" w:type="dxa"/>
            <w:vAlign w:val="bottom"/>
          </w:tcPr>
          <w:p>
            <w:pPr>
              <w:jc w:val="center"/>
              <w:ind w:left="510"/>
              <w:spacing w:after="0"/>
              <w:rPr>
                <w:sz w:val="20"/>
                <w:szCs w:val="20"/>
                <w:color w:val="auto"/>
              </w:rPr>
            </w:pPr>
            <w:r>
              <w:rPr>
                <w:rFonts w:ascii="Arial" w:cs="Arial" w:eastAsia="Arial" w:hAnsi="Arial"/>
                <w:sz w:val="18"/>
                <w:szCs w:val="18"/>
                <w:b w:val="1"/>
                <w:bCs w:val="1"/>
                <w:color w:val="auto"/>
                <w:w w:val="99"/>
              </w:rPr>
              <w:t>Q4</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4"/>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Thereafter</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debt obligation maturities</w:t>
            </w:r>
          </w:p>
        </w:tc>
        <w:tc>
          <w:tcPr>
            <w:tcW w:w="10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r>
    </w:tbl>
    <w:p>
      <w:pPr>
        <w:spacing w:after="0" w:line="63" w:lineRule="exact"/>
        <w:rPr>
          <w:sz w:val="20"/>
          <w:szCs w:val="20"/>
          <w:color w:val="auto"/>
        </w:rPr>
      </w:pPr>
    </w:p>
    <w:p>
      <w:pPr>
        <w:ind w:right="7640" w:firstLine="8"/>
        <w:spacing w:after="0" w:line="276" w:lineRule="auto"/>
        <w:tabs>
          <w:tab w:leader="none" w:pos="633"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jc w:val="both"/>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2021 and December 31, 2020, we had outstanding foreign currency derivative contracts with gross notional U.S. dollar equivalent amounts of $10.6 million and $12.4 million, respectively. The impact of these contracts on the Condensed Consolidated Statements of Operations and Comprehensive Income was not material for any period presented.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At September 30, 2021 and December 31, 2020, we had outstanding cross currency swap agreements with a combined notional amount of $817.8 million and $855.1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$8.3 million and $32.8 million at September 30, 2021 and December 31, 2020, respectively,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1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January 2021, one of our cross currency swap agreements which was accounted for as a cash flow hedge matured, resulting in a net cash payment of $14.7 million. The net cash payment is included within financing activities on the Condensed Consolidated Statements of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9"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580" w:hanging="741"/>
        <w:spacing w:after="0" w:line="289" w:lineRule="auto"/>
        <w:tabs>
          <w:tab w:leader="none" w:pos="13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16"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hanging="331"/>
        <w:spacing w:after="0" w:line="277" w:lineRule="auto"/>
        <w:tabs>
          <w:tab w:leader="none" w:pos="4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116" w:lineRule="exact"/>
        <w:rPr>
          <w:rFonts w:ascii="Arial" w:cs="Arial" w:eastAsia="Arial" w:hAnsi="Arial"/>
          <w:sz w:val="18"/>
          <w:szCs w:val="18"/>
          <w:i w:val="1"/>
          <w:iCs w:val="1"/>
          <w:color w:val="auto"/>
        </w:rPr>
      </w:pPr>
    </w:p>
    <w:p>
      <w:pPr>
        <w:ind w:left="500" w:hanging="330"/>
        <w:spacing w:after="0" w:line="277" w:lineRule="auto"/>
        <w:tabs>
          <w:tab w:leader="none" w:pos="495"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jc w:val="both"/>
        <w:ind w:left="500" w:right="20" w:hanging="330"/>
        <w:spacing w:after="0" w:line="263" w:lineRule="auto"/>
        <w:tabs>
          <w:tab w:leader="none" w:pos="495"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w:t>
      </w:r>
      <w:r>
        <w:rPr>
          <w:rFonts w:ascii="Arial" w:cs="Arial" w:eastAsia="Arial" w:hAnsi="Arial"/>
          <w:sz w:val="18"/>
          <w:szCs w:val="18"/>
          <w:i w:val="1"/>
          <w:iCs w:val="1"/>
          <w:color w:val="auto"/>
        </w:rPr>
        <w:t xml:space="preserve"> </w:t>
      </w:r>
      <w:r>
        <w:rPr>
          <w:rFonts w:ascii="Arial" w:cs="Arial" w:eastAsia="Arial" w:hAnsi="Arial"/>
          <w:sz w:val="18"/>
          <w:szCs w:val="18"/>
          <w:color w:val="auto"/>
        </w:rPr>
        <w:t>value, yield curves, as well as other relevant economic measures, which are inputs that are classified as Level 2 in the valuation hierarchy defined by the accounting guidance; and</w:t>
      </w:r>
    </w:p>
    <w:p>
      <w:pPr>
        <w:spacing w:after="0" w:line="129" w:lineRule="exact"/>
        <w:rPr>
          <w:rFonts w:ascii="Arial" w:cs="Arial" w:eastAsia="Arial" w:hAnsi="Arial"/>
          <w:sz w:val="18"/>
          <w:szCs w:val="18"/>
          <w:color w:val="auto"/>
        </w:rPr>
      </w:pPr>
    </w:p>
    <w:p>
      <w:pPr>
        <w:jc w:val="both"/>
        <w:ind w:left="460" w:hanging="331"/>
        <w:spacing w:after="0" w:line="301" w:lineRule="auto"/>
        <w:tabs>
          <w:tab w:leader="none" w:pos="45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4"/>
          </w:tcPr>
          <w:p>
            <w:pPr>
              <w:ind w:left="5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7"/>
                <w:szCs w:val="17"/>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4"/>
                <w:szCs w:val="14"/>
                <w:color w:val="auto"/>
              </w:rPr>
            </w:pPr>
          </w:p>
        </w:tc>
        <w:tc>
          <w:tcPr>
            <w:tcW w:w="10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3"/>
              </w:rPr>
              <w:t>Recorded</w:t>
            </w:r>
          </w:p>
        </w:tc>
        <w:tc>
          <w:tcPr>
            <w:tcW w:w="320" w:type="dxa"/>
            <w:vAlign w:val="bottom"/>
          </w:tcPr>
          <w:p>
            <w:pPr>
              <w:spacing w:after="0"/>
              <w:rPr>
                <w:sz w:val="14"/>
                <w:szCs w:val="14"/>
                <w:color w:val="auto"/>
              </w:rPr>
            </w:pPr>
          </w:p>
        </w:tc>
        <w:tc>
          <w:tcPr>
            <w:tcW w:w="960" w:type="dxa"/>
            <w:vAlign w:val="bottom"/>
          </w:tcPr>
          <w:p>
            <w:pPr>
              <w:jc w:val="center"/>
              <w:ind w:right="210"/>
              <w:spacing w:after="0" w:line="169"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3"/>
              </w:rPr>
              <w:t>Recorded</w:t>
            </w:r>
          </w:p>
        </w:tc>
        <w:tc>
          <w:tcPr>
            <w:tcW w:w="320" w:type="dxa"/>
            <w:vAlign w:val="bottom"/>
          </w:tcPr>
          <w:p>
            <w:pPr>
              <w:spacing w:after="0"/>
              <w:rPr>
                <w:sz w:val="14"/>
                <w:szCs w:val="14"/>
                <w:color w:val="auto"/>
              </w:rPr>
            </w:pPr>
          </w:p>
        </w:tc>
        <w:tc>
          <w:tcPr>
            <w:tcW w:w="96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3"/>
              </w:rPr>
              <w:t>September 30, 2021</w:t>
            </w: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68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0"/>
              </w:rPr>
              <w:t>December 31, 2020</w:t>
            </w: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Level 3</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contract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350"/>
              <w:spacing w:after="0"/>
              <w:rPr>
                <w:sz w:val="20"/>
                <w:szCs w:val="20"/>
                <w:color w:val="auto"/>
              </w:rPr>
            </w:pPr>
            <w:r>
              <w:rPr>
                <w:rFonts w:ascii="Arial" w:cs="Arial" w:eastAsia="Arial" w:hAnsi="Arial"/>
                <w:sz w:val="18"/>
                <w:szCs w:val="18"/>
                <w:color w:val="auto"/>
                <w:w w:val="93"/>
              </w:rPr>
              <w:t>(69.6)</w:t>
            </w:r>
          </w:p>
        </w:tc>
      </w:tr>
      <w:tr>
        <w:trPr>
          <w:trHeight w:val="230"/>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85"/>
              </w:rPr>
              <w:t>22.6</w:t>
            </w:r>
          </w:p>
        </w:tc>
      </w:tr>
      <w:tr>
        <w:trPr>
          <w:trHeight w:val="22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3"/>
              </w:rPr>
              <w:t>(47.0)</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income tax rate for the nine months ended September 30, 2021 was 14.2%, compared to 19.9% for the nine months ended September 30, 2020. We continue to actively pursue initiatives to reduce our effective tax rate. The tax rate in any quarter can be affected positively or negatively by adjustments that are required to be reported in the specific quarter of resolution.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liability for uncertain tax positions was $46.7 million and $46.3 million at September 30, 2021 and December 31, 2020, respectively. 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on the Condensed Consolidated Statements of Operations and Comprehensive Income, which is consistent with our past practices.</w:t>
      </w:r>
    </w:p>
    <w:p>
      <w:pPr>
        <w:spacing w:after="0" w:line="139"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Components of net periodic benefit expense for our pension plans for the three and nine months ended September 30, 2021 and 2020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ind w:lef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7"/>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7"/>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7"/>
              </w:rPr>
              <w:t>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87"/>
              </w:rPr>
              <w:t>0.5</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87"/>
              </w:rPr>
              <w:t>1.5</w:t>
            </w:r>
          </w:p>
        </w:tc>
        <w:tc>
          <w:tcPr>
            <w:tcW w:w="160" w:type="dxa"/>
            <w:vAlign w:val="bottom"/>
          </w:tcPr>
          <w:p>
            <w:pPr>
              <w:spacing w:after="0"/>
              <w:rPr>
                <w:sz w:val="19"/>
                <w:szCs w:val="19"/>
                <w:color w:val="auto"/>
              </w:rPr>
            </w:pPr>
          </w:p>
        </w:tc>
        <w:tc>
          <w:tcPr>
            <w:tcW w:w="1340" w:type="dxa"/>
            <w:vAlign w:val="bottom"/>
          </w:tcPr>
          <w:p>
            <w:pPr>
              <w:jc w:val="center"/>
              <w:ind w:left="870"/>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1"/>
              </w:rPr>
              <w:t>(0.1)</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30"/>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7"/>
              </w:rPr>
              <w:t>(0.3)</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7"/>
              </w:rPr>
              <w:t>1.1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7"/>
              </w:rPr>
              <w:t>1.3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7"/>
              </w:rPr>
              <w:t>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7"/>
              </w:rPr>
              <w:t>3.9</w:t>
            </w:r>
          </w:p>
        </w:tc>
        <w:tc>
          <w:tcPr>
            <w:tcW w:w="0" w:type="dxa"/>
            <w:vAlign w:val="bottom"/>
          </w:tcPr>
          <w:p>
            <w:pPr>
              <w:spacing w:after="0"/>
              <w:rPr>
                <w:sz w:val="1"/>
                <w:szCs w:val="1"/>
                <w:color w:val="auto"/>
              </w:rPr>
            </w:pP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of net periodic benefit expense for our other post-retirement plans for the three and nine months ended September 30, 2021 and 2020 were not material.</w:t>
      </w:r>
    </w:p>
    <w:p>
      <w:pPr>
        <w:spacing w:after="0" w:line="193" w:lineRule="exact"/>
        <w:rPr>
          <w:sz w:val="20"/>
          <w:szCs w:val="20"/>
          <w:color w:val="auto"/>
        </w:rPr>
      </w:pPr>
    </w:p>
    <w:p>
      <w:pPr>
        <w:ind w:right="8960" w:firstLine="8"/>
        <w:spacing w:after="0" w:line="261" w:lineRule="auto"/>
        <w:tabs>
          <w:tab w:leader="none" w:pos="643"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jc w:val="both"/>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expired on May 31, 2021. In December 2020, the Board of Directors authorized the repurchase of our ordinary shares up to a maximum dollar limit of $750.0 million (the “2020 Authorization”). The 2020 Authorization expires on December 31, 2025. The 2020 Authorization supplemented the 2018 Authorization.</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we repurchased 1.4 million of our ordinary shares for $100.0 million, of which 0.8 million shares, or $50.0 million, and 0.6 million shares, or $50.0 million, were repurchased pursuant to the 2018 Authorization and the 2020 Authorization, respectively. As of September 30, 2021, we had $700.0 million available for share repurchases under the 2020 Authorization.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September 21, 2021, the Board of Directors declared a quarterly cash dividend of $0.20, payable on November 5, 2021 to shareholders of record at the close of business on October 22, 2021.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$33.1 million at September 30, 2021, compared to $33.2 million at December 31, 2020.</w:t>
      </w:r>
    </w:p>
    <w:p>
      <w:pPr>
        <w:spacing w:after="0" w:line="14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Consumer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613.6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1,711.9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1,260.8</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&amp; Flow Technologies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Segment income (loss)</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Industrial &amp; Flow Technologies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consolidated segment income to consolidated income from continuing operations before income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8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Deal-related costs and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transformation and other costs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Intangible amortization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sale of businesses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COVID-19 related costs and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accrual adjustments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40" w:firstLine="8"/>
        <w:spacing w:after="0" w:line="261" w:lineRule="auto"/>
        <w:tabs>
          <w:tab w:leader="none" w:pos="64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proceedings</w:t>
      </w:r>
    </w:p>
    <w:p>
      <w:pPr>
        <w:jc w:val="both"/>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in a number of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September 30, 2021 and December 31, 2020, our recorded reserves for environmental matters were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our disposition of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Generally, the maximum obligations under such indemnifications are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changes in the carrying amount of service and product warranties of continuing operations for the nine months ended September 30, 2021 were as follows:</w:t>
      </w:r>
    </w:p>
    <w:tbl>
      <w:tblPr>
        <w:tblLayout w:type="fixed"/>
        <w:tblInd w:w="0" w:type="dxa"/>
        <w:tblCellMar>
          <w:top w:w="0" w:type="dxa"/>
          <w:left w:w="0" w:type="dxa"/>
          <w:bottom w:w="0" w:type="dxa"/>
          <w:right w:w="0" w:type="dxa"/>
        </w:tblCellMar>
      </w:tblPr>
      <w:tr>
        <w:trPr>
          <w:trHeight w:val="181"/>
        </w:trPr>
        <w:tc>
          <w:tcPr>
            <w:tcW w:w="6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560" w:type="dxa"/>
            <w:vAlign w:val="bottom"/>
          </w:tcPr>
          <w:p>
            <w:pPr>
              <w:spacing w:after="0"/>
              <w:rPr>
                <w:sz w:val="15"/>
                <w:szCs w:val="15"/>
                <w:color w:val="auto"/>
              </w:rPr>
            </w:pPr>
          </w:p>
        </w:tc>
        <w:tc>
          <w:tcPr>
            <w:tcW w:w="142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auto"/>
            </w:tcBorders>
            <w:vMerge w:val="continue"/>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Service and product warranty provision</w:t>
            </w:r>
          </w:p>
        </w:tc>
        <w:tc>
          <w:tcPr>
            <w:tcW w:w="3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35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the outstanding value of bonds, letters of credit and bank guarantees totaled $98.5 million and $99.1 million,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5"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jc w:val="both"/>
        <w:spacing w:after="0" w:line="283"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impact of the COVID-19 pandemic on our business; the duration and severity of the COVID-19 pandemic, the impact of virus variants and the rate and effectiveness of vaccinations; actions that may be taken by us, other businesses and governments to address or otherwise mitigate the impact of the COVID-19 pandemic, including those that may impact our ability to operate our facilities, meet production demands, and deliver products to our customers; the impacts of the COVID-19 pandemic on the global economy, our workforce, customers and suppliers, and customer demand; overall global economic and business conditions impacting our business, including the strength of housing and related markets; supply, demand, logistics, competition and pricing pressures related to and in the markets we serve; volatility in currency exchange rates; failure of markets to accept new product introductions and enhancements; the ability to successfully identify, finance, complete and integrate acquisitions, including the Pleatco acquisition; the ability to achieve the benefits of our restructuring plans, cost reduction initiatives and transformation program; risks associated with operating foreign businesses; the impact of raw material costs, labor costs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goals. Additional information concerning these and other factors is contained in our filings with the U.S. Securities and Exchange Commission (the “SEC”), including this Form 10-Q and our Form 10-K for the year ended December 31, 2020. All forward-looking statements speak only as of the date of this report. Pentair assumes no obligation, and disclaims any obligation, to update the information contained in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reduce water consumption, and recover and reuse it. Whether it’s improving, moving or helping people enjoy water, we help manage the world’s most precious resource. We are comprised of two reporting segments: Consumer Solutions and Industrial &amp; Flow Technologies. For the first nine months of 2021, the Consumer Solutions and Industrial &amp; Flow Technologies segments represented approximately 62% and 38% of total revenues, respectively. We classify our operations into business segments based primarily on types of products offered and markets served:</w:t>
      </w:r>
    </w:p>
    <w:p>
      <w:pPr>
        <w:spacing w:after="0" w:line="126" w:lineRule="exact"/>
        <w:rPr>
          <w:sz w:val="20"/>
          <w:szCs w:val="20"/>
          <w:color w:val="auto"/>
        </w:rPr>
      </w:pPr>
    </w:p>
    <w:p>
      <w:pPr>
        <w:jc w:val="both"/>
        <w:ind w:left="660" w:hanging="328"/>
        <w:spacing w:after="0" w:line="271"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Consumer Solutions </w:t>
      </w:r>
      <w:r>
        <w:rPr>
          <w:rFonts w:ascii="Arial" w:cs="Arial" w:eastAsia="Arial" w:hAnsi="Arial"/>
          <w:sz w:val="17"/>
          <w:szCs w:val="17"/>
          <w:color w:val="auto"/>
        </w:rPr>
        <w:t>— This segment designs, manufactures and sells energy-efficient residential and commercial pool equipment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The primary focus of this segment is business-to-consumer.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660" w:hanging="328"/>
        <w:spacing w:after="0" w:line="272"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Industrial &amp; Flow Technologies </w:t>
      </w:r>
      <w:r>
        <w:rPr>
          <w:rFonts w:ascii="Arial" w:cs="Arial" w:eastAsia="Arial" w:hAnsi="Arial"/>
          <w:sz w:val="17"/>
          <w:szCs w:val="17"/>
          <w:color w:val="auto"/>
        </w:rPr>
        <w:t>— This segment manufactures and sells a variety of fluid treatment and pump products and systems,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 The primary focus of this segment is business-to-business.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15, 2021, as part of both of our Consumer Solutions and Industrial &amp; Flow Technologies reporting segments, we entered into a definitive agreement to acquire Pleatco Holdings, LLC and related entities (“Pleatco”), a manufacturer of water filtration and clean air technologies for pool, spa and industrial air customers, for total consideration of approximately $255.0 million in cash, subject to customary adjustments. We completed the Pleatco acquisition on October 18, 2021.</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19, 2021, as part of our Consumer Solutions reporting segment, we completed the acquisition of Ken’s Beverage, Inc. (“KBI”) for $82.8 million in cash, net of cash acquired. KBI provides beverage equipment and services to commercial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March 2020, the World Health Organization declared the COVID-19 outbreak a pandemic. The COVID-19 pandemic continues to persist throughout the United States (“U.S.”) and the world, with the continued potential for significant impact. The COVID-19 pandemic has resulted in governments around the world implementing stringent measures to help control the spread of the virus, including quarantines, “shelter-in-place” and “stay-at-home” orders, travel restrictions, business curtailments, limits on gatherings, vaccine and mask requirements, and other measures. In addition, governments and central banks in several parts of the world have enacted fiscal and monetary stimulus measures to counteract the economic impacts of the COVID-19 pandemic.</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businesses generally have been and continue to be considered essential under applicable government-mandated orders which has allowed us to maintain business continuity at substantially all of our manufacturing facilities throughout the COVID-19 pandemic. While our facilities have remained operational during the first nine months of 2021, we continue to experience various degrees of manufacturing cost pressures and inefficiencies as a result of supply chain issues and, in certain businesses, increased demand. Although we regularly monitor the financial health and operations of companies in our supply chain, and use alternative suppliers when necessary and available, financial hardship or government restrictions on our suppliers or sub-suppliers caused by the COVID-19 pandemic could cause a disruption in our ability to obtain raw materials or components required to manufacture our products and adversely affect our operations. Further, as the COVID-19 pandemic conditions have improved and economic activity has increased, we have experienced supply chain challenges, including increased lead times, as well as inflation of raw materials, logistics and labor costs due to availability constraints and high demand. We expect the inflationary trends to continue throughout the remainder of 2021 and may continue thereafter.</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Consumer Solutions segment delivered significant growth in the first nine months of 2021 led by continued strength in our pool and residential water treatment businesses. The high level of demand in these businesses continued as consumers invested in their homes and backyards. Demand in our commercial water treatment business improved in 2021 as the restaurant and hospitality industries reopened.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Industrial &amp; Flow Technologies segment had strong growth in the first nine months of 2021 mainly driven by increased volume within our residential and irrigation flow businesses due to high demand in the residential vertical. Our commercial flow business experienced increased sales in the first nine months of 2021 due to strong demand in our water supply and water disposal product lines. Demand in our infrastructure business stabilized in the first half of 2021 and sales increased in the third quarter. In our industrial filtration business, demand is mostly driven by customer capital spending, which saw recovery begin in the second quarter and growth in the third quarter of 2021 in food and beverage while the industrial long-cycle project business had decreased sales volumes in comparison with the prior year.</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our commitment to protect the health and safety of our employees, customers, and suppliers by continuing our enhanced safety protocols for those on-site at our manufacturing facilities and for those who provide manufacturing-support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activities. In addition, employees who do not need to be physically present at our facilities and sites to perform their job responsibilities generally continue to work from home and essential business travel remains the main travel activity.</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extent of the COVID-19 pandemic’s effect on our operational and financial performance in the future will depend on future developments, including the duration, geographic location and intensity of the pandemic, the impact of virus variants, the rate and effectiveness of vaccinations, our continued ability to manufacture and distribute our products, as well as any future actions that may be taken by governmental authorities or by us relating to the pandemic. For more information regarding factors and events that may impact our business, results of operations and financial condition as a result of the COVID-19 pandemic, see “Risk Factors - Risks Related to the COVID-19 Pandemic” included in Item 1A. “Risk Factors” in our 2020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Transformation Program</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second quarter of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are targeting at least 300 basis points of margin expansion by 2025 through the following Transformation Program pillars:</w:t>
      </w:r>
    </w:p>
    <w:p>
      <w:pPr>
        <w:spacing w:after="0" w:line="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reducing business and product complexity;</w:t>
      </w:r>
    </w:p>
    <w:p>
      <w:pPr>
        <w:ind w:left="660" w:right="20" w:hanging="328"/>
        <w:spacing w:after="0" w:line="24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developing a future state digital enterprise by eliminating non-value add activities, streamlining processes and using automation to increase productivity;</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modernizing general and administrative expenses;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delivering decision making speed through improved processes and analytics.</w:t>
      </w:r>
    </w:p>
    <w:p>
      <w:pPr>
        <w:spacing w:after="0" w:line="224"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auto"/>
        </w:rPr>
        <w:t>During the first nine months of 2021, we incurred transformation costs that primarily represented professional services and project management related charges. Throughout the remainder of 2021 and beyond we expect to continue to incur transformation costs that include professional services, project management and related design and execution charges, as well as costs related to both labor and non-labor restructuring and IT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trends and uncertainties affected our financial performance in the first nine months of 2021 and/or may impact our results in the future:</w:t>
      </w:r>
    </w:p>
    <w:p>
      <w:pPr>
        <w:spacing w:after="0" w:line="168" w:lineRule="exact"/>
        <w:rPr>
          <w:sz w:val="20"/>
          <w:szCs w:val="20"/>
          <w:color w:val="auto"/>
        </w:rPr>
      </w:pPr>
    </w:p>
    <w:p>
      <w:pPr>
        <w:jc w:val="both"/>
        <w:ind w:left="660" w:hanging="328"/>
        <w:spacing w:after="0" w:line="271"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There are many uncertainties regarding the COVID-19 pandemic, including the anticipated duration and severity of the pandemic, the spread of increasing number of virus variants, the extent of worldwide social, political and economic disruption it may continue to cause and the distribution of vaccines to address the COVID-19 virus. The broader implications of the COVID-19 pandemic on our business, financial condition, results of operations and cash flows cannot be determined at this time, and ultimately will be affected by a number of evolving factors including the length of time that the pandemic continues and the impact of vaccines on it, the impact of virus variants, the rate and effectiveness of vaccinations, the pandemic’s effect on the demand for our products and services, our supply chain, and our manufacturing capacity, as well as the impact of governmental regulations imposed in response to the pandemic. See further discussion above under “</w:t>
      </w:r>
      <w:r>
        <w:rPr>
          <w:rFonts w:ascii="Arial" w:cs="Arial" w:eastAsia="Arial" w:hAnsi="Arial"/>
          <w:sz w:val="17"/>
          <w:szCs w:val="17"/>
          <w:i w:val="1"/>
          <w:iCs w:val="1"/>
          <w:color w:val="auto"/>
        </w:rPr>
        <w:t>COVID-19 Pandemic Update”</w:t>
      </w:r>
      <w:r>
        <w:rPr>
          <w:rFonts w:ascii="Arial" w:cs="Arial" w:eastAsia="Arial" w:hAnsi="Arial"/>
          <w:sz w:val="17"/>
          <w:szCs w:val="17"/>
          <w:color w:val="auto"/>
        </w:rPr>
        <w:t xml:space="preserve"> for key trends and uncertainties with regard to the COVID-19 pandemic.</w:t>
      </w:r>
    </w:p>
    <w:p>
      <w:pPr>
        <w:spacing w:after="0" w:line="124"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2020 and the first nine months of 2021, we executed certain business restructuring initiatives unrelated to the COVID-19 pandemic aimed at reducing our fixed cost structure and realigning our business. We expect these actions to continue throughout the remainder of 2021 and to drive margin growth.</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2021, we created a transformation office and launched and committed resources to the Transformation Program designed to accelerate growth and drive margin expansion by driving operational excellence, reducing complexity and streamlining our processes. We expect to implement Transformation Program initiatives and incur transformation costs throughout the remainder of 2021 and beyond.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left="660" w:hanging="328"/>
        <w:spacing w:after="0" w:line="279"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the first nine months of 2021, we experienced supply chain challenges, including increased lead times for raw materials due to availability constraints and high demand. While we have elevated our engagement with our suppliers and used secondary suppliers and new methods of procurement where available to mitigate the supply chain pressures, we expect supply chain challenges to continue for the remainder of 2021, and which may continue thereafter and could negatively impact our results of operations.</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first nine months of 2021, we experienced inflationary increases of raw materials such as metals, resins and electronics, as well as increases in logistics and labor costs. While we have taken pricing actions and we strive for productivity improvements that could help offset these inflationary cost increases, we expect inflationary cost increases to continue for the remainder of 2021, and which may continue thereafter and could negatively impact our results of operations.</w:t>
      </w:r>
    </w:p>
    <w:p>
      <w:pPr>
        <w:spacing w:after="0" w:line="132"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 2021, our operating objectives remain to focus on delivering our core while continuing to build out our future. We expect to execute these objectives by:</w:t>
      </w:r>
    </w:p>
    <w:p>
      <w:pPr>
        <w:spacing w:after="0" w:line="19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Delivering revenue growth in our core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Delivering income and cash by managing price/cost inflation, prioritization of growth investments and addressing the cost structures as necessary;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focus on capital allocation through:</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Commitment to maintain our investment grade rating;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Return cash to shareholders through dividends and buybacks;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Supplement our business with strategically-aligned mergers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Focused growth initiatives that accelerate our investments in digital, technology and services expansion;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color w:val="auto"/>
        </w:rPr>
        <w:t>Identification, building and implementation of Transformation Program initiatives that will drive operational excellence, reduce complexity and improve our organizational structure; and</w:t>
      </w:r>
    </w:p>
    <w:p>
      <w:pPr>
        <w:spacing w:after="0" w:line="116"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three months ended September 30, 2021 and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4"/>
                <w:szCs w:val="14"/>
                <w:color w:val="auto"/>
              </w:rPr>
            </w:pPr>
          </w:p>
        </w:tc>
        <w:tc>
          <w:tcPr>
            <w:tcW w:w="1220" w:type="dxa"/>
            <w:vAlign w:val="bottom"/>
          </w:tcPr>
          <w:p>
            <w:pPr>
              <w:jc w:val="right"/>
              <w:ind w:right="690"/>
              <w:spacing w:after="0" w:line="169"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634.4</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521.1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113.3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334.8</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277.4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34.5 %</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34.7 %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(0.2) pts</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145.6</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15.6</w:t>
            </w: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15.0 %</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16.3 %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(1.3) pts</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2.3 %</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(0.1) pts</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167.3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17.3 %</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16.0 %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1.3</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(Gain) loss on sale of businesses</w:t>
            </w:r>
          </w:p>
        </w:tc>
        <w:tc>
          <w:tcPr>
            <w:tcW w:w="18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1100" w:type="dxa"/>
            <w:vAlign w:val="bottom"/>
          </w:tcPr>
          <w:p>
            <w:pPr>
              <w:jc w:val="right"/>
              <w:spacing w:after="0"/>
              <w:rPr>
                <w:sz w:val="20"/>
                <w:szCs w:val="20"/>
                <w:color w:val="auto"/>
              </w:rPr>
            </w:pPr>
            <w:r>
              <w:rPr>
                <w:rFonts w:ascii="Arial" w:cs="Arial" w:eastAsia="Arial" w:hAnsi="Arial"/>
                <w:sz w:val="18"/>
                <w:szCs w:val="18"/>
                <w:color w:val="auto"/>
              </w:rPr>
              <w:t>(51.9)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165.8</w:t>
            </w:r>
          </w:p>
        </w:tc>
        <w:tc>
          <w:tcPr>
            <w:tcW w:w="1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125.2</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40.6</w:t>
            </w: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13.3 %</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11.5 %</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1.8</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nine months ended September 30, 2021 and September 30, 2020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14"/>
                <w:szCs w:val="14"/>
                <w:color w:val="auto"/>
              </w:rPr>
            </w:pPr>
          </w:p>
        </w:tc>
        <w:tc>
          <w:tcPr>
            <w:tcW w:w="1220" w:type="dxa"/>
            <w:vAlign w:val="bottom"/>
          </w:tcPr>
          <w:p>
            <w:pPr>
              <w:jc w:val="right"/>
              <w:ind w:right="710"/>
              <w:spacing w:after="0" w:line="169"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2,776.2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554.4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1,785.2</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1,447.7</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337.5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991.0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774.1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35.7 %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34.8 %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0.9</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440.4</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378.6</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61.8</w:t>
            </w: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15.9 %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17.0 %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(1.1) pts</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1100" w:type="dxa"/>
            <w:vAlign w:val="bottom"/>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(0.2) pts</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486.2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339.9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146.3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17.5 %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15.3 %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w w:val="91"/>
              </w:rPr>
              <w:t>pts</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(Gain) loss on sale of businesses</w:t>
            </w:r>
          </w:p>
        </w:tc>
        <w:tc>
          <w:tcPr>
            <w:tcW w:w="16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Net interest expense</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10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475.1</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321.4</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153.7</w:t>
            </w:r>
          </w:p>
        </w:tc>
        <w:tc>
          <w:tcPr>
            <w:tcW w:w="110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14.2 %</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i w:val="1"/>
                <w:iCs w:val="1"/>
                <w:color w:val="auto"/>
              </w:rPr>
              <w:t>19.9 %</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(5.7) pts</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consolidated net sales change from the prior period were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5100" w:type="dxa"/>
            <w:vAlign w:val="bottom"/>
          </w:tcPr>
          <w:p>
            <w:pPr>
              <w:jc w:val="right"/>
              <w:ind w:right="570"/>
              <w:spacing w:after="0"/>
              <w:rPr>
                <w:sz w:val="20"/>
                <w:szCs w:val="20"/>
                <w:color w:val="auto"/>
              </w:rPr>
            </w:pPr>
            <w:r>
              <w:rPr>
                <w:rFonts w:ascii="Arial" w:cs="Arial" w:eastAsia="Arial" w:hAnsi="Arial"/>
                <w:sz w:val="18"/>
                <w:szCs w:val="18"/>
                <w:b w:val="1"/>
                <w:bCs w:val="1"/>
                <w:color w:val="auto"/>
              </w:rPr>
              <w:t>Three months ended September 30, 2021</w:t>
            </w:r>
          </w:p>
        </w:tc>
        <w:tc>
          <w:tcPr>
            <w:tcW w:w="3760" w:type="dxa"/>
            <w:vAlign w:val="bottom"/>
          </w:tcPr>
          <w:p>
            <w:pPr>
              <w:jc w:val="right"/>
              <w:ind w:right="390"/>
              <w:spacing w:after="0"/>
              <w:rPr>
                <w:sz w:val="20"/>
                <w:szCs w:val="20"/>
                <w:color w:val="auto"/>
              </w:rPr>
            </w:pPr>
            <w:r>
              <w:rPr>
                <w:rFonts w:ascii="Arial" w:cs="Arial" w:eastAsia="Arial" w:hAnsi="Arial"/>
                <w:sz w:val="18"/>
                <w:szCs w:val="18"/>
                <w:b w:val="1"/>
                <w:bCs w:val="1"/>
                <w:color w:val="auto"/>
                <w:w w:val="95"/>
              </w:rPr>
              <w:t>Nine months ended September 30, 2021</w:t>
            </w:r>
          </w:p>
        </w:tc>
      </w:tr>
      <w:tr>
        <w:trPr>
          <w:trHeight w:val="234"/>
        </w:trPr>
        <w:tc>
          <w:tcPr>
            <w:tcW w:w="238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over the prior year period</w:t>
            </w:r>
          </w:p>
        </w:tc>
        <w:tc>
          <w:tcPr>
            <w:tcW w:w="37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1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11.8 %</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r>
      <w:tr>
        <w:trPr>
          <w:trHeight w:val="229"/>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6.6</w:t>
            </w:r>
          </w:p>
        </w:tc>
        <w:tc>
          <w:tcPr>
            <w:tcW w:w="3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w:t>
            </w:r>
          </w:p>
        </w:tc>
      </w:tr>
      <w:tr>
        <w:trPr>
          <w:trHeight w:val="223"/>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5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18.4</w:t>
            </w:r>
          </w:p>
        </w:tc>
        <w:tc>
          <w:tcPr>
            <w:tcW w:w="3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21.4</w:t>
            </w: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510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376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30"/>
        </w:trPr>
        <w:tc>
          <w:tcPr>
            <w:tcW w:w="2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51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0.7</w:t>
            </w:r>
          </w:p>
        </w:tc>
        <w:tc>
          <w:tcPr>
            <w:tcW w:w="3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r>
      <w:tr>
        <w:trPr>
          <w:trHeight w:val="22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5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21.4 %</w:t>
            </w: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25.0 %</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21.4 and 25.0 percent increases in net sales in the third quarter and first nine months, respectively, of 2021 from 2020 were primarily driven by:</w:t>
      </w:r>
    </w:p>
    <w:p>
      <w:pPr>
        <w:spacing w:after="0" w:line="183" w:lineRule="exact"/>
        <w:rPr>
          <w:sz w:val="20"/>
          <w:szCs w:val="20"/>
          <w:color w:val="auto"/>
        </w:rPr>
      </w:pPr>
    </w:p>
    <w:p>
      <w:pPr>
        <w:ind w:left="500" w:hanging="330"/>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volume increase in our Consumer Solutions segment mainly driven by continued robust demand in our pool and residential water treatment businesses;</w:t>
      </w:r>
    </w:p>
    <w:p>
      <w:pPr>
        <w:spacing w:after="0" w:line="116" w:lineRule="exact"/>
        <w:rPr>
          <w:rFonts w:ascii="Arial" w:cs="Arial" w:eastAsia="Arial" w:hAnsi="Arial"/>
          <w:sz w:val="18"/>
          <w:szCs w:val="18"/>
          <w:color w:val="auto"/>
        </w:rPr>
      </w:pPr>
    </w:p>
    <w:p>
      <w:pPr>
        <w:jc w:val="both"/>
        <w:ind w:left="500" w:hanging="330"/>
        <w:spacing w:after="0" w:line="263"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volume increase in our Industrial &amp; Flow Technologies segment primarily driven by strong demand across all product lines in the residential and irrigation flow businesses as well as increased demand in sustainable gas solutions and recovery in short cycle orders in our food and beverage business;</w:t>
      </w:r>
    </w:p>
    <w:p>
      <w:pPr>
        <w:spacing w:after="0" w:line="129" w:lineRule="exact"/>
        <w:rPr>
          <w:rFonts w:ascii="Arial" w:cs="Arial" w:eastAsia="Arial" w:hAnsi="Arial"/>
          <w:sz w:val="18"/>
          <w:szCs w:val="18"/>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a rise in inflationary costs;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favorable foreign currency effects compared to the third quarter and first nine months of the prior year.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0.2 percentage point decrease in gross profit as a percentage of net sales in the third quarter of 2021 from 2020 was primarily driven by:</w:t>
      </w:r>
    </w:p>
    <w:p>
      <w:pPr>
        <w:spacing w:after="0" w:line="157" w:lineRule="exact"/>
        <w:rPr>
          <w:sz w:val="20"/>
          <w:szCs w:val="20"/>
          <w:color w:val="auto"/>
        </w:rPr>
      </w:pPr>
    </w:p>
    <w:p>
      <w:pPr>
        <w:ind w:left="480" w:hanging="310"/>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inflationary cost increases due to tight supply of raw materials such as metals, resins and electronics;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logistics and labor costs due to increased demand as well as factory labor wage increases.</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volume expansion in both our Consumer Solutions and Industrial &amp; Flow Technologies segments;</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productivity in both the Consumer Solutions and Industrial &amp; Flow Technologies segments.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0.9 percentage point increase in gross profit as a percentage of net sales in the first nine months of 2021 from 2020 was primarily driven by:</w:t>
      </w:r>
    </w:p>
    <w:p>
      <w:pPr>
        <w:spacing w:after="0" w:line="183" w:lineRule="exact"/>
        <w:rPr>
          <w:sz w:val="20"/>
          <w:szCs w:val="20"/>
          <w:color w:val="auto"/>
        </w:rPr>
      </w:pPr>
    </w:p>
    <w:p>
      <w:pPr>
        <w:ind w:left="480" w:hanging="310"/>
        <w:spacing w:after="0"/>
        <w:tabs>
          <w:tab w:leader="none" w:pos="48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color w:val="auto"/>
        </w:rPr>
        <w:t>volume expansion in both our Consumer Solutions and Industrial &amp; Flow Technologies segments;</w:t>
      </w:r>
    </w:p>
    <w:p>
      <w:pPr>
        <w:spacing w:after="0" w:line="171" w:lineRule="exact"/>
        <w:rPr>
          <w:rFonts w:ascii="Arial" w:cs="Arial" w:eastAsia="Arial" w:hAnsi="Arial"/>
          <w:sz w:val="18"/>
          <w:szCs w:val="18"/>
          <w:b w:val="1"/>
          <w:bCs w:val="1"/>
          <w:i w:val="1"/>
          <w:iCs w:val="1"/>
          <w:color w:val="auto"/>
        </w:rPr>
      </w:pPr>
    </w:p>
    <w:p>
      <w:pPr>
        <w:ind w:left="480" w:hanging="310"/>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productivity in both the Consumer Solutions and Industrial &amp; Flow Technologies segments.</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inflationary cost increases due to tight supply of raw materials such as metals, resins, and electronics; and</w:t>
      </w:r>
    </w:p>
    <w:p>
      <w:pPr>
        <w:spacing w:after="0" w:line="171" w:lineRule="exact"/>
        <w:rPr>
          <w:rFonts w:ascii="Arial" w:cs="Arial" w:eastAsia="Arial" w:hAnsi="Arial"/>
          <w:sz w:val="18"/>
          <w:szCs w:val="18"/>
          <w:i w:val="1"/>
          <w:iCs w:val="1"/>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logistics and labor costs due to increased demand as well as factory labor wage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The 1.3 and 1.1 percentage point decreases in SG&amp;A as a percentage of net sales in the third quarter and first nine months, </w:t>
      </w:r>
      <w:r>
        <w:rPr>
          <w:rFonts w:ascii="Arial" w:cs="Arial" w:eastAsia="Arial" w:hAnsi="Arial"/>
          <w:sz w:val="18"/>
          <w:szCs w:val="18"/>
          <w:color w:val="auto"/>
        </w:rPr>
        <w:t>respectively,</w:t>
      </w:r>
      <w:r>
        <w:rPr>
          <w:rFonts w:ascii="Arial" w:cs="Arial" w:eastAsia="Arial" w:hAnsi="Arial"/>
          <w:sz w:val="18"/>
          <w:szCs w:val="18"/>
          <w:i w:val="1"/>
          <w:iCs w:val="1"/>
          <w:color w:val="auto"/>
        </w:rPr>
        <w:t xml:space="preserve"> of 2021 from 2020 were primarily driven by:</w:t>
      </w:r>
    </w:p>
    <w:p>
      <w:pPr>
        <w:spacing w:after="0" w:line="131" w:lineRule="exact"/>
        <w:rPr>
          <w:sz w:val="20"/>
          <w:szCs w:val="20"/>
          <w:color w:val="auto"/>
        </w:rPr>
      </w:pPr>
    </w:p>
    <w:p>
      <w:pPr>
        <w:ind w:left="500" w:right="20" w:hanging="330"/>
        <w:spacing w:after="0" w:line="277"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reduction in travel and entertainment, trade show and advertising expenses for the first nine months of 2021 compared to the prior year due to the COVID-19 pandemic restrictions not beginning until March of 2020;</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legal accrual reductions of $2.4 million in the first quarter of 2021;</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amortization on definite-lived intangible assets;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leverage on certain fixed costs due to the significant increase in sales year over year.</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higher employee incentive compensation due to increased sales in our Consumer Solutions and Industrial &amp; Flow Technologies segments; and</w:t>
      </w:r>
    </w:p>
    <w:p>
      <w:pPr>
        <w:spacing w:after="0" w:line="182" w:lineRule="exact"/>
        <w:rPr>
          <w:rFonts w:ascii="Arial" w:cs="Arial" w:eastAsia="Arial" w:hAnsi="Arial"/>
          <w:sz w:val="17"/>
          <w:szCs w:val="17"/>
          <w:color w:val="auto"/>
        </w:rPr>
      </w:pPr>
    </w:p>
    <w:p>
      <w:pPr>
        <w:ind w:left="500" w:hanging="330"/>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restructuring and transformation costs of $4.0 million and $11.2 million in the third quarter and first nine months, respectively, of 2021, compared to $1.8 million and $5.6 million in the third quarter and first nine months, respectively, of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The 51.9 and 42.5 percent decreases in net interest expense in the third quarter and first nine months, respectively, of 2021 from 2020 were primarily driven by:</w:t>
      </w:r>
    </w:p>
    <w:p>
      <w:pPr>
        <w:spacing w:after="0" w:line="131" w:lineRule="exact"/>
        <w:rPr>
          <w:sz w:val="20"/>
          <w:szCs w:val="20"/>
          <w:color w:val="auto"/>
        </w:rPr>
      </w:pPr>
    </w:p>
    <w:p>
      <w:pPr>
        <w:ind w:left="500" w:hanging="330"/>
        <w:spacing w:after="0" w:line="27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strong cash flows in 2021 used to repay senior fixed notes that matured as well as reduce variable debt leading to overall lower debt levels compared to the same periods of the prior year; and</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interest rates on outstanding variable debt.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1.8 percentage point increase in the effective tax rate in the third quarter of 2021 from 2020 was primarily driven b</w:t>
      </w:r>
      <w:r>
        <w:rPr>
          <w:rFonts w:ascii="Arial" w:cs="Arial" w:eastAsia="Arial" w:hAnsi="Arial"/>
          <w:sz w:val="18"/>
          <w:szCs w:val="18"/>
          <w:color w:val="auto"/>
        </w:rPr>
        <w:t>y:</w:t>
      </w:r>
    </w:p>
    <w:p>
      <w:pPr>
        <w:spacing w:after="0" w:line="157" w:lineRule="exact"/>
        <w:rPr>
          <w:sz w:val="20"/>
          <w:szCs w:val="20"/>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discrete items specific to the third quarter of 2021 compared to 2020;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unfavorable mix of global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5.7 percentage point decrease in the effective tax rate in the first nine months of 2021 from 2020 was primarily driven b</w:t>
      </w:r>
      <w:r>
        <w:rPr>
          <w:rFonts w:ascii="Arial" w:cs="Arial" w:eastAsia="Arial" w:hAnsi="Arial"/>
          <w:sz w:val="18"/>
          <w:szCs w:val="18"/>
          <w:color w:val="auto"/>
        </w:rPr>
        <w:t>y:</w:t>
      </w:r>
    </w:p>
    <w:p>
      <w:pPr>
        <w:spacing w:after="0" w:line="171" w:lineRule="exact"/>
        <w:rPr>
          <w:sz w:val="20"/>
          <w:szCs w:val="20"/>
          <w:color w:val="auto"/>
        </w:rPr>
      </w:pPr>
    </w:p>
    <w:p>
      <w:pPr>
        <w:ind w:left="660" w:right="1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unfavorable impact of discrete items, including items related to the Coronavirus Aid, Relief, and Economic Security Act, and items related to final regulations as part of the Tax Cuts and Jobs Act of 2017 that place limitations on the deductibility of certain interest expense for U.S. tax purposes that occurred during the first nine months of 2020 that did not occur in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decrease was partially offset by:</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unfavorable mix of global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summary that follows provides a discussion of the results of operations of our two reportable segments (Consumer Solutions and Industrial &amp; Flow Technologies). Each of these segments is comprised of various product offerings that serve multiple end users.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Consumer Solutions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Nine months ended</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14"/>
                <w:szCs w:val="14"/>
                <w:color w:val="auto"/>
              </w:rPr>
            </w:pPr>
          </w:p>
        </w:tc>
        <w:tc>
          <w:tcPr>
            <w:tcW w:w="128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14"/>
                <w:szCs w:val="14"/>
                <w:color w:val="auto"/>
              </w:rPr>
            </w:pPr>
          </w:p>
        </w:tc>
        <w:tc>
          <w:tcPr>
            <w:tcW w:w="140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 / Point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14"/>
                <w:szCs w:val="14"/>
                <w:color w:val="auto"/>
              </w:rPr>
            </w:pPr>
          </w:p>
        </w:tc>
        <w:tc>
          <w:tcPr>
            <w:tcW w:w="136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 / Point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470.8</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1,260.8</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144.2</w:t>
            </w:r>
          </w:p>
        </w:tc>
        <w:tc>
          <w:tcPr>
            <w:tcW w:w="2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113.8</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418.6</w:t>
            </w:r>
          </w:p>
        </w:tc>
        <w:tc>
          <w:tcPr>
            <w:tcW w:w="2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295.3</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2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740" w:type="dxa"/>
            <w:vAlign w:val="bottom"/>
            <w:shd w:val="clear" w:color="auto" w:fill="CCEEFF"/>
          </w:tcPr>
          <w:p>
            <w:pPr>
              <w:jc w:val="right"/>
              <w:ind w:right="110"/>
              <w:spacing w:after="0"/>
              <w:rPr>
                <w:sz w:val="20"/>
                <w:szCs w:val="20"/>
                <w:color w:val="auto"/>
              </w:rPr>
            </w:pPr>
            <w:r>
              <w:rPr>
                <w:rFonts w:ascii="Arial" w:cs="Arial" w:eastAsia="Arial" w:hAnsi="Arial"/>
                <w:sz w:val="18"/>
                <w:szCs w:val="18"/>
                <w:i w:val="1"/>
                <w:iCs w:val="1"/>
                <w:color w:val="auto"/>
              </w:rPr>
              <w:t>23.5 %</w:t>
            </w:r>
          </w:p>
        </w:tc>
        <w:tc>
          <w:tcPr>
            <w:tcW w:w="1700" w:type="dxa"/>
            <w:vAlign w:val="bottom"/>
            <w:shd w:val="clear" w:color="auto" w:fill="CCEEFF"/>
          </w:tcPr>
          <w:p>
            <w:pPr>
              <w:jc w:val="right"/>
              <w:ind w:right="250"/>
              <w:spacing w:after="0"/>
              <w:rPr>
                <w:sz w:val="20"/>
                <w:szCs w:val="20"/>
                <w:color w:val="auto"/>
              </w:rPr>
            </w:pPr>
            <w:r>
              <w:rPr>
                <w:rFonts w:ascii="Arial" w:cs="Arial" w:eastAsia="Arial" w:hAnsi="Arial"/>
                <w:sz w:val="18"/>
                <w:szCs w:val="18"/>
                <w:i w:val="1"/>
                <w:iCs w:val="1"/>
                <w:color w:val="auto"/>
              </w:rPr>
              <w:t>24.2 %</w:t>
            </w:r>
          </w:p>
        </w:tc>
        <w:tc>
          <w:tcPr>
            <w:tcW w:w="1780" w:type="dxa"/>
            <w:vAlign w:val="bottom"/>
            <w:shd w:val="clear" w:color="auto" w:fill="CCEEFF"/>
          </w:tcPr>
          <w:p>
            <w:pPr>
              <w:jc w:val="right"/>
              <w:ind w:right="730"/>
              <w:spacing w:after="0"/>
              <w:rPr>
                <w:sz w:val="20"/>
                <w:szCs w:val="20"/>
                <w:color w:val="auto"/>
              </w:rPr>
            </w:pPr>
            <w:r>
              <w:rPr>
                <w:rFonts w:ascii="Arial" w:cs="Arial" w:eastAsia="Arial" w:hAnsi="Arial"/>
                <w:sz w:val="18"/>
                <w:szCs w:val="18"/>
                <w:i w:val="1"/>
                <w:iCs w:val="1"/>
                <w:color w:val="auto"/>
              </w:rPr>
              <w:t>(0.7) pts</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i w:val="1"/>
                <w:iCs w:val="1"/>
                <w:color w:val="auto"/>
              </w:rPr>
              <w:t>24.5 %</w:t>
            </w: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i w:val="1"/>
                <w:iCs w:val="1"/>
                <w:color w:val="auto"/>
              </w:rPr>
              <w:t>23.4 %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 pts</w:t>
            </w:r>
          </w:p>
        </w:tc>
      </w:tr>
      <w:tr>
        <w:trPr>
          <w:trHeight w:val="364"/>
        </w:trPr>
        <w:tc>
          <w:tcPr>
            <w:tcW w:w="232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7540" w:type="dxa"/>
            <w:vAlign w:val="bottom"/>
            <w:gridSpan w:val="4"/>
          </w:tcPr>
          <w:p>
            <w:pPr>
              <w:spacing w:after="0"/>
              <w:rPr>
                <w:sz w:val="20"/>
                <w:szCs w:val="20"/>
                <w:color w:val="auto"/>
              </w:rPr>
            </w:pPr>
            <w:r>
              <w:rPr>
                <w:rFonts w:ascii="Arial" w:cs="Arial" w:eastAsia="Arial" w:hAnsi="Arial"/>
                <w:sz w:val="18"/>
                <w:szCs w:val="18"/>
                <w:color w:val="auto"/>
                <w:w w:val="92"/>
              </w:rPr>
              <w:t>The components of the change in Consumer Solutions net sales from the prior period were as follows:</w:t>
            </w:r>
          </w:p>
        </w:tc>
        <w:tc>
          <w:tcPr>
            <w:tcW w:w="1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4"/>
        </w:trPr>
        <w:tc>
          <w:tcPr>
            <w:tcW w:w="2320" w:type="dxa"/>
            <w:vAlign w:val="bottom"/>
          </w:tcPr>
          <w:p>
            <w:pPr>
              <w:spacing w:after="0"/>
              <w:rPr>
                <w:sz w:val="24"/>
                <w:szCs w:val="24"/>
                <w:color w:val="auto"/>
              </w:rPr>
            </w:pPr>
          </w:p>
        </w:tc>
        <w:tc>
          <w:tcPr>
            <w:tcW w:w="52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 September 30, 2021</w:t>
            </w:r>
          </w:p>
        </w:tc>
        <w:tc>
          <w:tcPr>
            <w:tcW w:w="370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9"/>
              </w:rPr>
              <w:t>Nine months ended September 30, 2021</w:t>
            </w:r>
          </w:p>
        </w:tc>
      </w:tr>
      <w:tr>
        <w:trPr>
          <w:trHeight w:val="234"/>
        </w:trPr>
        <w:tc>
          <w:tcPr>
            <w:tcW w:w="2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
          </w:tcPr>
          <w:p>
            <w:pPr>
              <w:jc w:val="right"/>
              <w:ind w:right="1190"/>
              <w:spacing w:after="0"/>
              <w:rPr>
                <w:sz w:val="20"/>
                <w:szCs w:val="20"/>
                <w:color w:val="auto"/>
              </w:rPr>
            </w:pPr>
            <w:r>
              <w:rPr>
                <w:rFonts w:ascii="Arial" w:cs="Arial" w:eastAsia="Arial" w:hAnsi="Arial"/>
                <w:sz w:val="18"/>
                <w:szCs w:val="18"/>
                <w:b w:val="1"/>
                <w:bCs w:val="1"/>
                <w:color w:val="auto"/>
                <w:w w:val="99"/>
              </w:rPr>
              <w:t>over the prior year period</w:t>
            </w:r>
          </w:p>
        </w:tc>
        <w:tc>
          <w:tcPr>
            <w:tcW w:w="2920" w:type="dxa"/>
            <w:vAlign w:val="bottom"/>
            <w:tcBorders>
              <w:bottom w:val="single" w:sz="8" w:color="auto"/>
            </w:tcBorders>
            <w:gridSpan w:val="2"/>
          </w:tcPr>
          <w:p>
            <w:pPr>
              <w:jc w:val="center"/>
              <w:ind w:left="390"/>
              <w:spacing w:after="0"/>
              <w:rPr>
                <w:sz w:val="20"/>
                <w:szCs w:val="20"/>
                <w:color w:val="auto"/>
              </w:rPr>
            </w:pPr>
            <w:r>
              <w:rPr>
                <w:rFonts w:ascii="Arial" w:cs="Arial" w:eastAsia="Arial" w:hAnsi="Arial"/>
                <w:sz w:val="18"/>
                <w:szCs w:val="18"/>
                <w:b w:val="1"/>
                <w:bCs w:val="1"/>
                <w:color w:val="auto"/>
                <w:w w:val="91"/>
              </w:rPr>
              <w:t>over the prior year period</w:t>
            </w:r>
          </w:p>
        </w:tc>
        <w:tc>
          <w:tcPr>
            <w:tcW w:w="780" w:type="dxa"/>
            <w:vAlign w:val="bottom"/>
            <w:tcBorders>
              <w:bottom w:val="single" w:sz="8" w:color="auto"/>
            </w:tcBorders>
          </w:tcPr>
          <w:p>
            <w:pPr>
              <w:spacing w:after="0"/>
              <w:rPr>
                <w:sz w:val="20"/>
                <w:szCs w:val="20"/>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7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18.0 %</w:t>
            </w:r>
          </w:p>
        </w:tc>
        <w:tc>
          <w:tcPr>
            <w:tcW w:w="13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r>
      <w:tr>
        <w:trPr>
          <w:trHeight w:val="230"/>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17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8.1</w:t>
            </w:r>
          </w:p>
        </w:tc>
        <w:tc>
          <w:tcPr>
            <w:tcW w:w="1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w:t>
            </w:r>
          </w:p>
        </w:tc>
      </w:tr>
      <w:tr>
        <w:trPr>
          <w:trHeight w:val="223"/>
        </w:trPr>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17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26.1</w:t>
            </w:r>
          </w:p>
        </w:tc>
        <w:tc>
          <w:tcPr>
            <w:tcW w:w="13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80" w:type="dxa"/>
            <w:vAlign w:val="bottom"/>
          </w:tcPr>
          <w:p>
            <w:pPr>
              <w:jc w:val="right"/>
              <w:ind w:right="430"/>
              <w:spacing w:after="0"/>
              <w:rPr>
                <w:sz w:val="20"/>
                <w:szCs w:val="20"/>
                <w:color w:val="auto"/>
              </w:rPr>
            </w:pPr>
            <w:r>
              <w:rPr>
                <w:rFonts w:ascii="Arial" w:cs="Arial" w:eastAsia="Arial" w:hAnsi="Arial"/>
                <w:sz w:val="18"/>
                <w:szCs w:val="18"/>
                <w:color w:val="auto"/>
              </w:rPr>
              <w:t>4.0</w:t>
            </w:r>
          </w:p>
        </w:tc>
        <w:tc>
          <w:tcPr>
            <w:tcW w:w="1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3.0</w:t>
            </w:r>
          </w:p>
        </w:tc>
      </w:tr>
      <w:tr>
        <w:trPr>
          <w:trHeight w:val="23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17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0.2</w:t>
            </w:r>
          </w:p>
        </w:tc>
        <w:tc>
          <w:tcPr>
            <w:tcW w:w="1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r>
      <w:tr>
        <w:trPr>
          <w:trHeight w:val="223"/>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30.3 %</w:t>
            </w:r>
          </w:p>
        </w:tc>
        <w:tc>
          <w:tcPr>
            <w:tcW w:w="13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35.8 %</w:t>
            </w: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30.3 and 35.8 percent increases in net sales for Consumer Solutions in the third quarter and first nine months, respectively, of 2021 from 2020 were primarily driven by:</w:t>
      </w:r>
    </w:p>
    <w:p>
      <w:pPr>
        <w:spacing w:after="0" w:line="116" w:lineRule="exact"/>
        <w:rPr>
          <w:sz w:val="20"/>
          <w:szCs w:val="20"/>
          <w:color w:val="auto"/>
        </w:rPr>
      </w:pPr>
    </w:p>
    <w:p>
      <w:pPr>
        <w:ind w:left="500" w:hanging="330"/>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sales volume in our pool business due to consumers increasing their pool use while continuing to invest in their homes and backyards as a result of the COVID-19 pandemic;</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increased sales volume in our water treatment business as residential demand remained strong in the third quarter and first nine months of 2021;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hanging="330"/>
        <w:spacing w:after="0" w:line="277"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sales volume in our commercial water treatment business in the third quarter and first nine months of 2021 due to improved demand in the restaurant and hospitality industries;</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sales due to acquisitions that occurred in the first nine months of 2021 and last quarter of 2020;</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favorable foreign currency effects compared to the third quarter and first nine months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Consumer Solutions segment income as a percentage of net sales from the prior period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19"/>
                <w:szCs w:val="19"/>
                <w:color w:val="auto"/>
              </w:rPr>
            </w:pPr>
          </w:p>
        </w:tc>
        <w:tc>
          <w:tcPr>
            <w:tcW w:w="4180" w:type="dxa"/>
            <w:vAlign w:val="bottom"/>
          </w:tcPr>
          <w:p>
            <w:pPr>
              <w:jc w:val="center"/>
              <w:ind w:left="610"/>
              <w:spacing w:after="0"/>
              <w:rPr>
                <w:sz w:val="20"/>
                <w:szCs w:val="20"/>
                <w:color w:val="auto"/>
              </w:rPr>
            </w:pPr>
            <w:r>
              <w:rPr>
                <w:rFonts w:ascii="Arial" w:cs="Arial" w:eastAsia="Arial" w:hAnsi="Arial"/>
                <w:sz w:val="18"/>
                <w:szCs w:val="18"/>
                <w:b w:val="1"/>
                <w:bCs w:val="1"/>
                <w:color w:val="auto"/>
                <w:w w:val="89"/>
              </w:rPr>
              <w:t>Three months ended September 30, 2021</w:t>
            </w:r>
          </w:p>
        </w:tc>
        <w:tc>
          <w:tcPr>
            <w:tcW w:w="50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8"/>
              </w:rPr>
              <w:t>Nine months ended September 30, 2021</w:t>
            </w:r>
          </w:p>
        </w:tc>
        <w:tc>
          <w:tcPr>
            <w:tcW w:w="280" w:type="dxa"/>
            <w:vAlign w:val="bottom"/>
          </w:tcPr>
          <w:p>
            <w:pPr>
              <w:spacing w:after="0"/>
              <w:rPr>
                <w:sz w:val="19"/>
                <w:szCs w:val="19"/>
                <w:color w:val="auto"/>
              </w:rPr>
            </w:pPr>
          </w:p>
        </w:tc>
      </w:tr>
      <w:tr>
        <w:trPr>
          <w:trHeight w:val="234"/>
        </w:trPr>
        <w:tc>
          <w:tcPr>
            <w:tcW w:w="27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91"/>
              </w:rPr>
              <w:t>over the prior year period</w:t>
            </w:r>
          </w:p>
        </w:tc>
        <w:tc>
          <w:tcPr>
            <w:tcW w:w="5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Growth/Price/Acquisition</w:t>
            </w:r>
          </w:p>
        </w:tc>
        <w:tc>
          <w:tcPr>
            <w:tcW w:w="4180" w:type="dxa"/>
            <w:vAlign w:val="bottom"/>
            <w:shd w:val="clear" w:color="auto" w:fill="CCEEFF"/>
          </w:tcPr>
          <w:p>
            <w:pPr>
              <w:jc w:val="center"/>
              <w:ind w:left="3670"/>
              <w:spacing w:after="0"/>
              <w:rPr>
                <w:sz w:val="20"/>
                <w:szCs w:val="20"/>
                <w:color w:val="auto"/>
              </w:rPr>
            </w:pPr>
            <w:r>
              <w:rPr>
                <w:rFonts w:ascii="Arial" w:cs="Arial" w:eastAsia="Arial" w:hAnsi="Arial"/>
                <w:sz w:val="18"/>
                <w:szCs w:val="18"/>
                <w:color w:val="auto"/>
                <w:w w:val="87"/>
              </w:rPr>
              <w:t>5.9</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pts</w:t>
            </w:r>
          </w:p>
        </w:tc>
        <w:tc>
          <w:tcPr>
            <w:tcW w:w="3500" w:type="dxa"/>
            <w:vAlign w:val="bottom"/>
            <w:shd w:val="clear" w:color="auto" w:fill="CCEEFF"/>
          </w:tcPr>
          <w:p>
            <w:pPr>
              <w:jc w:val="center"/>
              <w:ind w:left="3010"/>
              <w:spacing w:after="0"/>
              <w:rPr>
                <w:sz w:val="20"/>
                <w:szCs w:val="20"/>
                <w:color w:val="auto"/>
              </w:rPr>
            </w:pPr>
            <w:r>
              <w:rPr>
                <w:rFonts w:ascii="Arial" w:cs="Arial" w:eastAsia="Arial" w:hAnsi="Arial"/>
                <w:sz w:val="18"/>
                <w:szCs w:val="18"/>
                <w:color w:val="auto"/>
                <w:w w:val="95"/>
              </w:rPr>
              <w:t>4.0</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Currency</w:t>
            </w:r>
          </w:p>
        </w:tc>
        <w:tc>
          <w:tcPr>
            <w:tcW w:w="4180" w:type="dxa"/>
            <w:vAlign w:val="bottom"/>
          </w:tcPr>
          <w:p>
            <w:pPr>
              <w:jc w:val="center"/>
              <w:ind w:left="3630"/>
              <w:spacing w:after="0"/>
              <w:rPr>
                <w:sz w:val="20"/>
                <w:szCs w:val="20"/>
                <w:color w:val="auto"/>
              </w:rPr>
            </w:pPr>
            <w:r>
              <w:rPr>
                <w:rFonts w:ascii="Arial" w:cs="Arial" w:eastAsia="Arial" w:hAnsi="Arial"/>
                <w:sz w:val="18"/>
                <w:szCs w:val="18"/>
                <w:color w:val="auto"/>
                <w:w w:val="91"/>
              </w:rPr>
              <w:t>(0.1)</w:t>
            </w:r>
          </w:p>
        </w:tc>
        <w:tc>
          <w:tcPr>
            <w:tcW w:w="500" w:type="dxa"/>
            <w:vAlign w:val="bottom"/>
          </w:tcPr>
          <w:p>
            <w:pPr>
              <w:spacing w:after="0"/>
              <w:rPr>
                <w:sz w:val="19"/>
                <w:szCs w:val="19"/>
                <w:color w:val="auto"/>
              </w:rPr>
            </w:pPr>
          </w:p>
        </w:tc>
        <w:tc>
          <w:tcPr>
            <w:tcW w:w="3500" w:type="dxa"/>
            <w:vAlign w:val="bottom"/>
          </w:tcPr>
          <w:p>
            <w:pPr>
              <w:jc w:val="center"/>
              <w:ind w:left="2990"/>
              <w:spacing w:after="0"/>
              <w:rPr>
                <w:sz w:val="20"/>
                <w:szCs w:val="20"/>
                <w:color w:val="auto"/>
              </w:rPr>
            </w:pPr>
            <w:r>
              <w:rPr>
                <w:rFonts w:ascii="Arial" w:cs="Arial" w:eastAsia="Arial" w:hAnsi="Arial"/>
                <w:sz w:val="18"/>
                <w:szCs w:val="18"/>
                <w:color w:val="auto"/>
                <w:w w:val="91"/>
              </w:rPr>
              <w:t>(0.1)</w:t>
            </w:r>
          </w:p>
        </w:tc>
        <w:tc>
          <w:tcPr>
            <w:tcW w:w="280" w:type="dxa"/>
            <w:vAlign w:val="bottom"/>
          </w:tcPr>
          <w:p>
            <w:pPr>
              <w:spacing w:after="0"/>
              <w:rPr>
                <w:sz w:val="19"/>
                <w:szCs w:val="19"/>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4180" w:type="dxa"/>
            <w:vAlign w:val="bottom"/>
            <w:shd w:val="clear" w:color="auto" w:fill="CCEEFF"/>
          </w:tcPr>
          <w:p>
            <w:pPr>
              <w:jc w:val="center"/>
              <w:ind w:left="3630"/>
              <w:spacing w:after="0"/>
              <w:rPr>
                <w:sz w:val="20"/>
                <w:szCs w:val="20"/>
                <w:color w:val="auto"/>
              </w:rPr>
            </w:pPr>
            <w:r>
              <w:rPr>
                <w:rFonts w:ascii="Arial" w:cs="Arial" w:eastAsia="Arial" w:hAnsi="Arial"/>
                <w:sz w:val="18"/>
                <w:szCs w:val="18"/>
                <w:color w:val="auto"/>
                <w:w w:val="91"/>
              </w:rPr>
              <w:t>(9.2)</w:t>
            </w:r>
          </w:p>
        </w:tc>
        <w:tc>
          <w:tcPr>
            <w:tcW w:w="500" w:type="dxa"/>
            <w:vAlign w:val="bottom"/>
            <w:shd w:val="clear" w:color="auto" w:fill="CCEEFF"/>
          </w:tcPr>
          <w:p>
            <w:pPr>
              <w:spacing w:after="0"/>
              <w:rPr>
                <w:sz w:val="19"/>
                <w:szCs w:val="19"/>
                <w:color w:val="auto"/>
              </w:rPr>
            </w:pPr>
          </w:p>
        </w:tc>
        <w:tc>
          <w:tcPr>
            <w:tcW w:w="3500" w:type="dxa"/>
            <w:vAlign w:val="bottom"/>
            <w:shd w:val="clear" w:color="auto" w:fill="CCEEFF"/>
          </w:tcPr>
          <w:p>
            <w:pPr>
              <w:jc w:val="center"/>
              <w:ind w:left="2990"/>
              <w:spacing w:after="0"/>
              <w:rPr>
                <w:sz w:val="20"/>
                <w:szCs w:val="20"/>
                <w:color w:val="auto"/>
              </w:rPr>
            </w:pPr>
            <w:r>
              <w:rPr>
                <w:rFonts w:ascii="Arial" w:cs="Arial" w:eastAsia="Arial" w:hAnsi="Arial"/>
                <w:sz w:val="18"/>
                <w:szCs w:val="18"/>
                <w:color w:val="auto"/>
                <w:w w:val="91"/>
              </w:rPr>
              <w:t>(5.7)</w:t>
            </w:r>
          </w:p>
        </w:tc>
        <w:tc>
          <w:tcPr>
            <w:tcW w:w="280" w:type="dxa"/>
            <w:vAlign w:val="bottom"/>
            <w:shd w:val="clear" w:color="auto" w:fill="CCEEFF"/>
          </w:tcPr>
          <w:p>
            <w:pPr>
              <w:spacing w:after="0"/>
              <w:rPr>
                <w:sz w:val="19"/>
                <w:szCs w:val="19"/>
                <w:color w:val="auto"/>
              </w:rPr>
            </w:pPr>
          </w:p>
        </w:tc>
      </w:tr>
      <w:tr>
        <w:trPr>
          <w:trHeight w:val="230"/>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Productivity</w:t>
            </w:r>
          </w:p>
        </w:tc>
        <w:tc>
          <w:tcPr>
            <w:tcW w:w="4180" w:type="dxa"/>
            <w:vAlign w:val="bottom"/>
            <w:tcBorders>
              <w:bottom w:val="single" w:sz="8" w:color="auto"/>
            </w:tcBorders>
          </w:tcPr>
          <w:p>
            <w:pPr>
              <w:jc w:val="center"/>
              <w:ind w:left="3670"/>
              <w:spacing w:after="0"/>
              <w:rPr>
                <w:sz w:val="20"/>
                <w:szCs w:val="20"/>
                <w:color w:val="auto"/>
              </w:rPr>
            </w:pPr>
            <w:r>
              <w:rPr>
                <w:rFonts w:ascii="Arial" w:cs="Arial" w:eastAsia="Arial" w:hAnsi="Arial"/>
                <w:sz w:val="18"/>
                <w:szCs w:val="18"/>
                <w:color w:val="auto"/>
                <w:w w:val="87"/>
              </w:rPr>
              <w:t>2.7</w:t>
            </w:r>
          </w:p>
        </w:tc>
        <w:tc>
          <w:tcPr>
            <w:tcW w:w="5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jc w:val="center"/>
              <w:ind w:left="3010"/>
              <w:spacing w:after="0"/>
              <w:rPr>
                <w:sz w:val="20"/>
                <w:szCs w:val="20"/>
                <w:color w:val="auto"/>
              </w:rPr>
            </w:pPr>
            <w:r>
              <w:rPr>
                <w:rFonts w:ascii="Arial" w:cs="Arial" w:eastAsia="Arial" w:hAnsi="Arial"/>
                <w:sz w:val="18"/>
                <w:szCs w:val="18"/>
                <w:color w:val="auto"/>
                <w:w w:val="95"/>
              </w:rPr>
              <w:t>2.9</w:t>
            </w:r>
          </w:p>
        </w:tc>
        <w:tc>
          <w:tcPr>
            <w:tcW w:w="280" w:type="dxa"/>
            <w:vAlign w:val="bottom"/>
            <w:tcBorders>
              <w:bottom w:val="single" w:sz="8" w:color="auto"/>
            </w:tcBorders>
          </w:tcPr>
          <w:p>
            <w:pPr>
              <w:spacing w:after="0"/>
              <w:rPr>
                <w:sz w:val="19"/>
                <w:szCs w:val="19"/>
                <w:color w:val="auto"/>
              </w:rPr>
            </w:pPr>
          </w:p>
        </w:tc>
      </w:tr>
      <w:tr>
        <w:trPr>
          <w:trHeight w:val="248"/>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180" w:type="dxa"/>
            <w:vAlign w:val="bottom"/>
            <w:tcBorders>
              <w:bottom w:val="single" w:sz="8" w:color="auto"/>
            </w:tcBorders>
            <w:shd w:val="clear" w:color="auto" w:fill="CCEEFF"/>
          </w:tcPr>
          <w:p>
            <w:pPr>
              <w:jc w:val="center"/>
              <w:ind w:left="3630"/>
              <w:spacing w:after="0"/>
              <w:rPr>
                <w:sz w:val="20"/>
                <w:szCs w:val="20"/>
                <w:color w:val="auto"/>
              </w:rPr>
            </w:pPr>
            <w:r>
              <w:rPr>
                <w:rFonts w:ascii="Arial" w:cs="Arial" w:eastAsia="Arial" w:hAnsi="Arial"/>
                <w:sz w:val="18"/>
                <w:szCs w:val="18"/>
                <w:color w:val="auto"/>
                <w:w w:val="91"/>
              </w:rPr>
              <w:t>(0.7)</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pts</w:t>
            </w:r>
          </w:p>
        </w:tc>
        <w:tc>
          <w:tcPr>
            <w:tcW w:w="3500" w:type="dxa"/>
            <w:vAlign w:val="bottom"/>
            <w:tcBorders>
              <w:bottom w:val="single" w:sz="8" w:color="auto"/>
            </w:tcBorders>
            <w:shd w:val="clear" w:color="auto" w:fill="CCEEFF"/>
          </w:tcPr>
          <w:p>
            <w:pPr>
              <w:jc w:val="center"/>
              <w:ind w:left="3010"/>
              <w:spacing w:after="0"/>
              <w:rPr>
                <w:sz w:val="20"/>
                <w:szCs w:val="20"/>
                <w:color w:val="auto"/>
              </w:rPr>
            </w:pPr>
            <w:r>
              <w:rPr>
                <w:rFonts w:ascii="Arial" w:cs="Arial" w:eastAsia="Arial" w:hAnsi="Arial"/>
                <w:sz w:val="18"/>
                <w:szCs w:val="18"/>
                <w:color w:val="auto"/>
                <w:w w:val="95"/>
              </w:rPr>
              <w:t>1.1</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pts</w:t>
            </w:r>
          </w:p>
        </w:tc>
      </w:tr>
      <w:tr>
        <w:trPr>
          <w:trHeight w:val="20"/>
        </w:trPr>
        <w:tc>
          <w:tcPr>
            <w:tcW w:w="2780" w:type="dxa"/>
            <w:vAlign w:val="bottom"/>
            <w:tcBorders>
              <w:top w:val="single" w:sz="8" w:color="CCEEFF"/>
              <w:bottom w:val="single" w:sz="8" w:color="auto"/>
            </w:tcBorders>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0.7 percentage point decrease in segment income for Consumer Solutions as a percentage of net sales in the third quarter of 2021 from 2020 was primarily driven by:</w:t>
      </w:r>
    </w:p>
    <w:p>
      <w:pPr>
        <w:spacing w:after="0" w:line="116" w:lineRule="exact"/>
        <w:rPr>
          <w:sz w:val="20"/>
          <w:szCs w:val="20"/>
          <w:color w:val="auto"/>
        </w:rPr>
      </w:pPr>
    </w:p>
    <w:p>
      <w:pPr>
        <w:ind w:left="500" w:hanging="330"/>
        <w:spacing w:after="0" w:line="277" w:lineRule="auto"/>
        <w:tabs>
          <w:tab w:leader="none" w:pos="495" w:val="left"/>
        </w:tabs>
        <w:numPr>
          <w:ilvl w:val="0"/>
          <w:numId w:val="42"/>
        </w:numPr>
        <w:rPr>
          <w:rFonts w:ascii="Arial" w:cs="Arial" w:eastAsia="Arial" w:hAnsi="Arial"/>
          <w:sz w:val="18"/>
          <w:szCs w:val="18"/>
          <w:i w:val="1"/>
          <w:iCs w:val="1"/>
          <w:color w:val="auto"/>
        </w:rPr>
      </w:pPr>
      <w:r>
        <w:rPr>
          <w:rFonts w:ascii="Arial" w:cs="Arial" w:eastAsia="Arial" w:hAnsi="Arial"/>
          <w:sz w:val="18"/>
          <w:szCs w:val="18"/>
          <w:color w:val="auto"/>
        </w:rPr>
        <w:t>inflationary cost increases due to high demand and tight supply of raw materials such as metals, resins and electronics along with increased logistics and labor costs; and</w:t>
      </w:r>
    </w:p>
    <w:p>
      <w:pPr>
        <w:spacing w:after="0" w:line="116" w:lineRule="exact"/>
        <w:rPr>
          <w:rFonts w:ascii="Arial" w:cs="Arial" w:eastAsia="Arial" w:hAnsi="Arial"/>
          <w:sz w:val="18"/>
          <w:szCs w:val="18"/>
          <w:i w:val="1"/>
          <w:iCs w:val="1"/>
          <w:color w:val="auto"/>
        </w:rPr>
      </w:pPr>
    </w:p>
    <w:p>
      <w:pPr>
        <w:ind w:left="480" w:hanging="310"/>
        <w:spacing w:after="0"/>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higher sales rebates and employee incentive compensation expense in line with increased sales in our pool and water treatment businesses.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decrease was partially offset by:</w:t>
      </w:r>
    </w:p>
    <w:p>
      <w:pPr>
        <w:spacing w:after="0" w:line="171" w:lineRule="exact"/>
        <w:rPr>
          <w:sz w:val="20"/>
          <w:szCs w:val="20"/>
          <w:color w:val="auto"/>
        </w:rPr>
      </w:pPr>
    </w:p>
    <w:p>
      <w:pPr>
        <w:ind w:left="480" w:hanging="310"/>
        <w:spacing w:after="0"/>
        <w:tabs>
          <w:tab w:leader="none" w:pos="480" w:val="left"/>
        </w:tabs>
        <w:numPr>
          <w:ilvl w:val="0"/>
          <w:numId w:val="43"/>
        </w:numPr>
        <w:rPr>
          <w:rFonts w:ascii="Arial" w:cs="Arial" w:eastAsia="Arial" w:hAnsi="Arial"/>
          <w:sz w:val="18"/>
          <w:szCs w:val="18"/>
          <w:i w:val="1"/>
          <w:iCs w:val="1"/>
          <w:color w:val="auto"/>
        </w:rPr>
      </w:pPr>
      <w:r>
        <w:rPr>
          <w:rFonts w:ascii="Arial" w:cs="Arial" w:eastAsia="Arial" w:hAnsi="Arial"/>
          <w:sz w:val="18"/>
          <w:szCs w:val="18"/>
          <w:color w:val="auto"/>
        </w:rPr>
        <w:t>selective increases in selling prices to mitigate the impacts of inflation;</w:t>
      </w:r>
    </w:p>
    <w:p>
      <w:pPr>
        <w:spacing w:after="0" w:line="171" w:lineRule="exact"/>
        <w:rPr>
          <w:rFonts w:ascii="Arial" w:cs="Arial" w:eastAsia="Arial" w:hAnsi="Arial"/>
          <w:sz w:val="18"/>
          <w:szCs w:val="18"/>
          <w:i w:val="1"/>
          <w:iCs w:val="1"/>
          <w:color w:val="auto"/>
        </w:rPr>
      </w:pPr>
    </w:p>
    <w:p>
      <w:pPr>
        <w:ind w:left="480" w:hanging="310"/>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sales volume across all of our businesses resulting in cost leverage and favorable income drop through;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1.1 percentage point increase in segment income for Consumer Solutions as a percentage of net sales in the first nine months of 2021 from 2020 was primarily driven by:</w:t>
      </w:r>
    </w:p>
    <w:p>
      <w:pPr>
        <w:spacing w:after="0" w:line="116" w:lineRule="exact"/>
        <w:rPr>
          <w:sz w:val="20"/>
          <w:szCs w:val="20"/>
          <w:color w:val="auto"/>
        </w:rPr>
      </w:pPr>
    </w:p>
    <w:p>
      <w:pPr>
        <w:ind w:left="480" w:hanging="310"/>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sales volume in all of our businesses resulting in cost leverage and favorable income drop through;</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the impacts of inflation;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increase was partially offset by:</w:t>
      </w:r>
    </w:p>
    <w:p>
      <w:pPr>
        <w:spacing w:after="0" w:line="171" w:lineRule="exact"/>
        <w:rPr>
          <w:sz w:val="20"/>
          <w:szCs w:val="20"/>
          <w:color w:val="auto"/>
        </w:rPr>
      </w:pPr>
    </w:p>
    <w:p>
      <w:pPr>
        <w:ind w:left="500" w:right="20" w:hanging="330"/>
        <w:spacing w:after="0" w:line="277"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inflationary cost increases due to high demand and tight supply of raw materials such as metals, resins, and electronics along with increased logistics and labor costs; and</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higher sales rebates and employee incentive compensation expense in line with increased sales in our pool and water treatment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&amp; Flow Technologies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Industrial &amp; Flow Technologies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Nine months ended</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30,</w:t>
            </w:r>
          </w:p>
        </w:tc>
        <w:tc>
          <w:tcPr>
            <w:tcW w:w="1400" w:type="dxa"/>
            <w:vAlign w:val="bottom"/>
            <w:gridSpan w:val="2"/>
          </w:tcPr>
          <w:p>
            <w:pPr>
              <w:ind w:left="340"/>
              <w:spacing w:after="0" w:line="169" w:lineRule="exact"/>
              <w:rPr>
                <w:sz w:val="20"/>
                <w:szCs w:val="20"/>
                <w:color w:val="auto"/>
              </w:rPr>
            </w:pPr>
            <w:r>
              <w:rPr>
                <w:rFonts w:ascii="Arial" w:cs="Arial" w:eastAsia="Arial" w:hAnsi="Arial"/>
                <w:sz w:val="18"/>
                <w:szCs w:val="18"/>
                <w:b w:val="1"/>
                <w:bCs w:val="1"/>
                <w:color w:val="auto"/>
              </w:rPr>
              <w:t>% / Point</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4"/>
                <w:szCs w:val="14"/>
                <w:color w:val="auto"/>
              </w:rPr>
            </w:pPr>
          </w:p>
        </w:tc>
        <w:tc>
          <w:tcPr>
            <w:tcW w:w="14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4"/>
              </w:rPr>
              <w:t>September 30,</w:t>
            </w:r>
          </w:p>
        </w:tc>
        <w:tc>
          <w:tcPr>
            <w:tcW w:w="10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 / Point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3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327.4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960.1</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52.4</w:t>
            </w: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42.7</w:t>
            </w: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159.5</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131.5</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14.8 %</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13.0 %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15.0 %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13.7 %</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4"/>
              </w:rPr>
              <w:t>pts</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Industrial &amp; Flow Technologies net sales from the prior period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60" w:type="dxa"/>
            <w:vAlign w:val="bottom"/>
          </w:tcPr>
          <w:p>
            <w:pPr>
              <w:spacing w:after="0"/>
              <w:rPr>
                <w:sz w:val="19"/>
                <w:szCs w:val="19"/>
                <w:color w:val="auto"/>
              </w:rPr>
            </w:pPr>
          </w:p>
        </w:tc>
        <w:tc>
          <w:tcPr>
            <w:tcW w:w="5120" w:type="dxa"/>
            <w:vAlign w:val="bottom"/>
          </w:tcPr>
          <w:p>
            <w:pPr>
              <w:ind w:left="1320"/>
              <w:spacing w:after="0"/>
              <w:rPr>
                <w:sz w:val="20"/>
                <w:szCs w:val="20"/>
                <w:color w:val="auto"/>
              </w:rPr>
            </w:pPr>
            <w:r>
              <w:rPr>
                <w:rFonts w:ascii="Arial" w:cs="Arial" w:eastAsia="Arial" w:hAnsi="Arial"/>
                <w:sz w:val="18"/>
                <w:szCs w:val="18"/>
                <w:b w:val="1"/>
                <w:bCs w:val="1"/>
                <w:color w:val="auto"/>
              </w:rPr>
              <w:t>Three months ended September 30, 2021</w:t>
            </w:r>
          </w:p>
        </w:tc>
        <w:tc>
          <w:tcPr>
            <w:tcW w:w="3760" w:type="dxa"/>
            <w:vAlign w:val="bottom"/>
          </w:tcPr>
          <w:p>
            <w:pPr>
              <w:jc w:val="right"/>
              <w:ind w:right="390"/>
              <w:spacing w:after="0"/>
              <w:rPr>
                <w:sz w:val="20"/>
                <w:szCs w:val="20"/>
                <w:color w:val="auto"/>
              </w:rPr>
            </w:pPr>
            <w:r>
              <w:rPr>
                <w:rFonts w:ascii="Arial" w:cs="Arial" w:eastAsia="Arial" w:hAnsi="Arial"/>
                <w:sz w:val="18"/>
                <w:szCs w:val="18"/>
                <w:b w:val="1"/>
                <w:bCs w:val="1"/>
                <w:color w:val="auto"/>
                <w:w w:val="95"/>
              </w:rPr>
              <w:t>Nine months ended September 30, 2021</w:t>
            </w:r>
          </w:p>
        </w:tc>
      </w:tr>
      <w:tr>
        <w:trPr>
          <w:trHeight w:val="234"/>
        </w:trPr>
        <w:tc>
          <w:tcPr>
            <w:tcW w:w="236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over the prior year period</w:t>
            </w:r>
          </w:p>
        </w:tc>
        <w:tc>
          <w:tcPr>
            <w:tcW w:w="37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over the prior year period</w:t>
            </w:r>
          </w:p>
        </w:tc>
      </w:tr>
      <w:tr>
        <w:trPr>
          <w:trHeight w:val="223"/>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5120" w:type="dxa"/>
            <w:vAlign w:val="bottom"/>
            <w:shd w:val="clear" w:color="auto" w:fill="CCEEFF"/>
          </w:tcPr>
          <w:p>
            <w:pPr>
              <w:ind w:left="4440"/>
              <w:spacing w:after="0"/>
              <w:rPr>
                <w:sz w:val="20"/>
                <w:szCs w:val="20"/>
                <w:color w:val="auto"/>
              </w:rPr>
            </w:pPr>
            <w:r>
              <w:rPr>
                <w:rFonts w:ascii="Arial" w:cs="Arial" w:eastAsia="Arial" w:hAnsi="Arial"/>
                <w:sz w:val="18"/>
                <w:szCs w:val="18"/>
                <w:color w:val="auto"/>
              </w:rPr>
              <w:t>3.3 %</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Price</w:t>
            </w:r>
          </w:p>
        </w:tc>
        <w:tc>
          <w:tcPr>
            <w:tcW w:w="5120" w:type="dxa"/>
            <w:vAlign w:val="bottom"/>
            <w:tcBorders>
              <w:bottom w:val="single" w:sz="8" w:color="auto"/>
            </w:tcBorders>
          </w:tcPr>
          <w:p>
            <w:pPr>
              <w:ind w:left="4440"/>
              <w:spacing w:after="0"/>
              <w:rPr>
                <w:sz w:val="20"/>
                <w:szCs w:val="20"/>
                <w:color w:val="auto"/>
              </w:rPr>
            </w:pPr>
            <w:r>
              <w:rPr>
                <w:rFonts w:ascii="Arial" w:cs="Arial" w:eastAsia="Arial" w:hAnsi="Arial"/>
                <w:sz w:val="18"/>
                <w:szCs w:val="18"/>
                <w:color w:val="auto"/>
              </w:rPr>
              <w:t>4.3</w:t>
            </w:r>
          </w:p>
        </w:tc>
        <w:tc>
          <w:tcPr>
            <w:tcW w:w="3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r>
      <w:tr>
        <w:trPr>
          <w:trHeight w:val="223"/>
        </w:trPr>
        <w:tc>
          <w:tcPr>
            <w:tcW w:w="2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Core growth</w:t>
            </w:r>
          </w:p>
        </w:tc>
        <w:tc>
          <w:tcPr>
            <w:tcW w:w="5120" w:type="dxa"/>
            <w:vAlign w:val="bottom"/>
            <w:shd w:val="clear" w:color="auto" w:fill="CCEEFF"/>
          </w:tcPr>
          <w:p>
            <w:pPr>
              <w:ind w:left="4440"/>
              <w:spacing w:after="0"/>
              <w:rPr>
                <w:sz w:val="20"/>
                <w:szCs w:val="20"/>
                <w:color w:val="auto"/>
              </w:rPr>
            </w:pPr>
            <w:r>
              <w:rPr>
                <w:rFonts w:ascii="Arial" w:cs="Arial" w:eastAsia="Arial" w:hAnsi="Arial"/>
                <w:sz w:val="18"/>
                <w:szCs w:val="18"/>
                <w:color w:val="auto"/>
              </w:rPr>
              <w:t>7.6</w:t>
            </w:r>
          </w:p>
        </w:tc>
        <w:tc>
          <w:tcPr>
            <w:tcW w:w="3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r>
      <w:tr>
        <w:trPr>
          <w:trHeight w:val="230"/>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w:t>
            </w:r>
          </w:p>
        </w:tc>
        <w:tc>
          <w:tcPr>
            <w:tcW w:w="5120" w:type="dxa"/>
            <w:vAlign w:val="bottom"/>
            <w:tcBorders>
              <w:bottom w:val="single" w:sz="8" w:color="auto"/>
            </w:tcBorders>
          </w:tcPr>
          <w:p>
            <w:pPr>
              <w:ind w:left="4440"/>
              <w:spacing w:after="0"/>
              <w:rPr>
                <w:sz w:val="20"/>
                <w:szCs w:val="20"/>
                <w:color w:val="auto"/>
              </w:rPr>
            </w:pPr>
            <w:r>
              <w:rPr>
                <w:rFonts w:ascii="Arial" w:cs="Arial" w:eastAsia="Arial" w:hAnsi="Arial"/>
                <w:sz w:val="18"/>
                <w:szCs w:val="18"/>
                <w:color w:val="auto"/>
              </w:rPr>
              <w:t>0.9</w:t>
            </w:r>
          </w:p>
        </w:tc>
        <w:tc>
          <w:tcPr>
            <w:tcW w:w="3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r>
      <w:tr>
        <w:trPr>
          <w:trHeight w:val="248"/>
        </w:trPr>
        <w:tc>
          <w:tcPr>
            <w:tcW w:w="2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120" w:type="dxa"/>
            <w:vAlign w:val="bottom"/>
            <w:tcBorders>
              <w:bottom w:val="single" w:sz="8" w:color="auto"/>
            </w:tcBorders>
            <w:shd w:val="clear" w:color="auto" w:fill="CCEEFF"/>
          </w:tcPr>
          <w:p>
            <w:pPr>
              <w:ind w:left="4440"/>
              <w:spacing w:after="0"/>
              <w:rPr>
                <w:sz w:val="20"/>
                <w:szCs w:val="20"/>
                <w:color w:val="auto"/>
              </w:rPr>
            </w:pPr>
            <w:r>
              <w:rPr>
                <w:rFonts w:ascii="Arial" w:cs="Arial" w:eastAsia="Arial" w:hAnsi="Arial"/>
                <w:sz w:val="18"/>
                <w:szCs w:val="18"/>
                <w:color w:val="auto"/>
              </w:rPr>
              <w:t>8.5 %</w:t>
            </w:r>
          </w:p>
        </w:tc>
        <w:tc>
          <w:tcPr>
            <w:tcW w:w="3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0"/>
        </w:trPr>
        <w:tc>
          <w:tcPr>
            <w:tcW w:w="2360" w:type="dxa"/>
            <w:vAlign w:val="bottom"/>
            <w:tcBorders>
              <w:top w:val="single" w:sz="8" w:color="CCEEFF"/>
              <w:bottom w:val="single" w:sz="8" w:color="auto"/>
            </w:tcBorders>
          </w:tcPr>
          <w:p>
            <w:pPr>
              <w:spacing w:after="0" w:line="20" w:lineRule="exact"/>
              <w:rPr>
                <w:sz w:val="1"/>
                <w:szCs w:val="1"/>
                <w:color w:val="auto"/>
              </w:rPr>
            </w:pPr>
          </w:p>
        </w:tc>
        <w:tc>
          <w:tcPr>
            <w:tcW w:w="5120" w:type="dxa"/>
            <w:vAlign w:val="bottom"/>
            <w:tcBorders>
              <w:top w:val="single" w:sz="8" w:color="CCEEFF"/>
              <w:bottom w:val="single" w:sz="8" w:color="auto"/>
            </w:tcBorders>
          </w:tcPr>
          <w:p>
            <w:pPr>
              <w:spacing w:after="0" w:line="20" w:lineRule="exact"/>
              <w:rPr>
                <w:sz w:val="1"/>
                <w:szCs w:val="1"/>
                <w:color w:val="auto"/>
              </w:rPr>
            </w:pPr>
          </w:p>
        </w:tc>
        <w:tc>
          <w:tcPr>
            <w:tcW w:w="37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8.5 and 10.7 percent increases in net sales for Industrial &amp; Flow Technologies in the third quarter and first nine months, respectively, of 2021 from 2020 were primarily driven by:</w:t>
      </w:r>
    </w:p>
    <w:p>
      <w:pPr>
        <w:spacing w:after="0" w:line="116" w:lineRule="exact"/>
        <w:rPr>
          <w:sz w:val="20"/>
          <w:szCs w:val="20"/>
          <w:color w:val="auto"/>
        </w:rPr>
      </w:pPr>
    </w:p>
    <w:p>
      <w:pPr>
        <w:ind w:left="500" w:right="20" w:hanging="330"/>
        <w:spacing w:after="0" w:line="277" w:lineRule="auto"/>
        <w:tabs>
          <w:tab w:leader="none" w:pos="4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sales volume in our residential and irrigation flow businesses in the third quarter and first nine months of 2021 due to strong demand across all product lines in these businesses;</w:t>
      </w:r>
    </w:p>
    <w:p>
      <w:pPr>
        <w:spacing w:after="0" w:line="116"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sales volume in our food and beverage business in the third quarter and first nine months of 2021 due to demand in sustainable gas solutions and recovery in short cycle orders;</w:t>
      </w:r>
    </w:p>
    <w:p>
      <w:pPr>
        <w:spacing w:after="0" w:line="116" w:lineRule="exact"/>
        <w:rPr>
          <w:rFonts w:ascii="Arial" w:cs="Arial" w:eastAsia="Arial" w:hAnsi="Arial"/>
          <w:sz w:val="18"/>
          <w:szCs w:val="18"/>
          <w:color w:val="auto"/>
        </w:rPr>
      </w:pPr>
    </w:p>
    <w:p>
      <w:pPr>
        <w:ind w:left="480" w:hanging="310"/>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favorable foreign currency effects in the third quarter and first nine months compared to the same periods of the prior year.</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480" w:hanging="310"/>
        <w:spacing w:after="0"/>
        <w:tabs>
          <w:tab w:leader="none" w:pos="480" w:val="left"/>
        </w:tabs>
        <w:numPr>
          <w:ilvl w:val="0"/>
          <w:numId w:val="47"/>
        </w:numPr>
        <w:rPr>
          <w:rFonts w:ascii="Arial" w:cs="Arial" w:eastAsia="Arial" w:hAnsi="Arial"/>
          <w:sz w:val="18"/>
          <w:szCs w:val="18"/>
          <w:i w:val="1"/>
          <w:iCs w:val="1"/>
          <w:color w:val="auto"/>
        </w:rPr>
      </w:pPr>
      <w:r>
        <w:rPr>
          <w:rFonts w:ascii="Arial" w:cs="Arial" w:eastAsia="Arial" w:hAnsi="Arial"/>
          <w:sz w:val="18"/>
          <w:szCs w:val="18"/>
          <w:color w:val="auto"/>
        </w:rPr>
        <w:t>decreased sales volume in our industrial filtration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 in Industrial &amp; Flow Technologies segment income as a percentage of net sales from the prior period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19"/>
                <w:szCs w:val="19"/>
                <w:color w:val="auto"/>
              </w:rPr>
            </w:pPr>
          </w:p>
        </w:tc>
        <w:tc>
          <w:tcPr>
            <w:tcW w:w="4200" w:type="dxa"/>
            <w:vAlign w:val="bottom"/>
          </w:tcPr>
          <w:p>
            <w:pPr>
              <w:jc w:val="right"/>
              <w:ind w:right="90"/>
              <w:spacing w:after="0"/>
              <w:rPr>
                <w:sz w:val="20"/>
                <w:szCs w:val="20"/>
                <w:color w:val="auto"/>
              </w:rPr>
            </w:pPr>
            <w:r>
              <w:rPr>
                <w:rFonts w:ascii="Arial" w:cs="Arial" w:eastAsia="Arial" w:hAnsi="Arial"/>
                <w:sz w:val="18"/>
                <w:szCs w:val="18"/>
                <w:b w:val="1"/>
                <w:bCs w:val="1"/>
                <w:color w:val="auto"/>
              </w:rPr>
              <w:t>Three months ended September 30, 2021</w:t>
            </w:r>
          </w:p>
        </w:tc>
        <w:tc>
          <w:tcPr>
            <w:tcW w:w="48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8"/>
              </w:rPr>
              <w:t>Nine months ended September 30, 2021</w:t>
            </w:r>
          </w:p>
        </w:tc>
        <w:tc>
          <w:tcPr>
            <w:tcW w:w="260" w:type="dxa"/>
            <w:vAlign w:val="bottom"/>
          </w:tcPr>
          <w:p>
            <w:pPr>
              <w:spacing w:after="0"/>
              <w:rPr>
                <w:sz w:val="19"/>
                <w:szCs w:val="19"/>
                <w:color w:val="auto"/>
              </w:rPr>
            </w:pPr>
          </w:p>
        </w:tc>
      </w:tr>
      <w:tr>
        <w:trPr>
          <w:trHeight w:val="234"/>
        </w:trPr>
        <w:tc>
          <w:tcPr>
            <w:tcW w:w="27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over the prior year period</w:t>
            </w:r>
          </w:p>
        </w:tc>
        <w:tc>
          <w:tcPr>
            <w:tcW w:w="4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260" w:type="dxa"/>
            <w:vAlign w:val="bottom"/>
            <w:tcBorders>
              <w:bottom w:val="single" w:sz="8" w:color="auto"/>
            </w:tcBorders>
          </w:tcPr>
          <w:p>
            <w:pPr>
              <w:spacing w:after="0"/>
              <w:rPr>
                <w:sz w:val="20"/>
                <w:szCs w:val="20"/>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Growth/Price/Acquisition</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3520" w:type="dxa"/>
            <w:vAlign w:val="bottom"/>
            <w:shd w:val="clear" w:color="auto" w:fill="CCEEFF"/>
          </w:tcPr>
          <w:p>
            <w:pPr>
              <w:jc w:val="center"/>
              <w:ind w:left="3070"/>
              <w:spacing w:after="0"/>
              <w:rPr>
                <w:sz w:val="20"/>
                <w:szCs w:val="20"/>
                <w:color w:val="auto"/>
              </w:rPr>
            </w:pPr>
            <w:r>
              <w:rPr>
                <w:rFonts w:ascii="Arial" w:cs="Arial" w:eastAsia="Arial" w:hAnsi="Arial"/>
                <w:sz w:val="18"/>
                <w:szCs w:val="18"/>
                <w:color w:val="auto"/>
                <w:w w:val="95"/>
              </w:rPr>
              <w:t>2.6</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Currency</w:t>
            </w:r>
          </w:p>
        </w:tc>
        <w:tc>
          <w:tcPr>
            <w:tcW w:w="4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3520" w:type="dxa"/>
            <w:vAlign w:val="bottom"/>
          </w:tcPr>
          <w:p>
            <w:pPr>
              <w:jc w:val="center"/>
              <w:ind w:left="3070"/>
              <w:spacing w:after="0"/>
              <w:rPr>
                <w:sz w:val="20"/>
                <w:szCs w:val="20"/>
                <w:color w:val="auto"/>
              </w:rPr>
            </w:pPr>
            <w:r>
              <w:rPr>
                <w:rFonts w:ascii="Arial" w:cs="Arial" w:eastAsia="Arial" w:hAnsi="Arial"/>
                <w:sz w:val="18"/>
                <w:szCs w:val="18"/>
                <w:color w:val="auto"/>
                <w:w w:val="95"/>
              </w:rPr>
              <w:t>0.1</w:t>
            </w:r>
          </w:p>
        </w:tc>
        <w:tc>
          <w:tcPr>
            <w:tcW w:w="260" w:type="dxa"/>
            <w:vAlign w:val="bottom"/>
          </w:tcPr>
          <w:p>
            <w:pPr>
              <w:spacing w:after="0"/>
              <w:rPr>
                <w:sz w:val="19"/>
                <w:szCs w:val="19"/>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Inflation</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9"/>
                <w:szCs w:val="19"/>
                <w:color w:val="auto"/>
              </w:rPr>
            </w:pPr>
          </w:p>
        </w:tc>
        <w:tc>
          <w:tcPr>
            <w:tcW w:w="3520" w:type="dxa"/>
            <w:vAlign w:val="bottom"/>
            <w:shd w:val="clear" w:color="auto" w:fill="CCEEFF"/>
          </w:tcPr>
          <w:p>
            <w:pPr>
              <w:jc w:val="center"/>
              <w:ind w:left="3050"/>
              <w:spacing w:after="0"/>
              <w:rPr>
                <w:sz w:val="20"/>
                <w:szCs w:val="20"/>
                <w:color w:val="auto"/>
              </w:rPr>
            </w:pPr>
            <w:r>
              <w:rPr>
                <w:rFonts w:ascii="Arial" w:cs="Arial" w:eastAsia="Arial" w:hAnsi="Arial"/>
                <w:sz w:val="18"/>
                <w:szCs w:val="18"/>
                <w:color w:val="auto"/>
                <w:w w:val="91"/>
              </w:rPr>
              <w:t>(3.4)</w:t>
            </w:r>
          </w:p>
        </w:tc>
        <w:tc>
          <w:tcPr>
            <w:tcW w:w="260" w:type="dxa"/>
            <w:vAlign w:val="bottom"/>
            <w:shd w:val="clear" w:color="auto" w:fill="CCEEFF"/>
          </w:tcPr>
          <w:p>
            <w:pPr>
              <w:spacing w:after="0"/>
              <w:rPr>
                <w:sz w:val="19"/>
                <w:szCs w:val="19"/>
                <w:color w:val="auto"/>
              </w:rPr>
            </w:pPr>
          </w:p>
        </w:tc>
      </w:tr>
      <w:tr>
        <w:trPr>
          <w:trHeight w:val="230"/>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Productivity</w:t>
            </w:r>
          </w:p>
        </w:tc>
        <w:tc>
          <w:tcPr>
            <w:tcW w:w="4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left="3070"/>
              <w:spacing w:after="0"/>
              <w:rPr>
                <w:sz w:val="20"/>
                <w:szCs w:val="20"/>
                <w:color w:val="auto"/>
              </w:rPr>
            </w:pPr>
            <w:r>
              <w:rPr>
                <w:rFonts w:ascii="Arial" w:cs="Arial" w:eastAsia="Arial" w:hAnsi="Arial"/>
                <w:sz w:val="18"/>
                <w:szCs w:val="18"/>
                <w:color w:val="auto"/>
                <w:w w:val="95"/>
              </w:rPr>
              <w:t>2.0</w:t>
            </w:r>
          </w:p>
        </w:tc>
        <w:tc>
          <w:tcPr>
            <w:tcW w:w="260" w:type="dxa"/>
            <w:vAlign w:val="bottom"/>
            <w:tcBorders>
              <w:bottom w:val="single" w:sz="8" w:color="auto"/>
            </w:tcBorders>
          </w:tcPr>
          <w:p>
            <w:pPr>
              <w:spacing w:after="0"/>
              <w:rPr>
                <w:sz w:val="19"/>
                <w:szCs w:val="19"/>
                <w:color w:val="auto"/>
              </w:rPr>
            </w:pPr>
          </w:p>
        </w:tc>
      </w:tr>
      <w:tr>
        <w:trPr>
          <w:trHeight w:val="248"/>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3520" w:type="dxa"/>
            <w:vAlign w:val="bottom"/>
            <w:tcBorders>
              <w:bottom w:val="single" w:sz="8" w:color="auto"/>
            </w:tcBorders>
            <w:shd w:val="clear" w:color="auto" w:fill="CCEEFF"/>
          </w:tcPr>
          <w:p>
            <w:pPr>
              <w:jc w:val="center"/>
              <w:ind w:left="3070"/>
              <w:spacing w:after="0"/>
              <w:rPr>
                <w:sz w:val="20"/>
                <w:szCs w:val="20"/>
                <w:color w:val="auto"/>
              </w:rPr>
            </w:pPr>
            <w:r>
              <w:rPr>
                <w:rFonts w:ascii="Arial" w:cs="Arial" w:eastAsia="Arial" w:hAnsi="Arial"/>
                <w:sz w:val="18"/>
                <w:szCs w:val="18"/>
                <w:color w:val="auto"/>
                <w:w w:val="95"/>
              </w:rPr>
              <w:t>1.3</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pts</w:t>
            </w:r>
          </w:p>
        </w:tc>
      </w:tr>
      <w:tr>
        <w:trPr>
          <w:trHeight w:val="20"/>
        </w:trPr>
        <w:tc>
          <w:tcPr>
            <w:tcW w:w="278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1.8 and 1.3 percentage point increases in segment income for Industrial &amp; Flow Technologies as a percentage of net sales in the third quarter and first nine months, respectively, of 2021 from 2020 were primarily driven by:</w:t>
      </w:r>
    </w:p>
    <w:p>
      <w:pPr>
        <w:spacing w:after="0" w:line="116" w:lineRule="exact"/>
        <w:rPr>
          <w:sz w:val="20"/>
          <w:szCs w:val="20"/>
          <w:color w:val="auto"/>
        </w:rPr>
      </w:pPr>
    </w:p>
    <w:p>
      <w:pPr>
        <w:ind w:left="500" w:right="20" w:hanging="330"/>
        <w:spacing w:after="0" w:line="277" w:lineRule="auto"/>
        <w:tabs>
          <w:tab w:leader="none" w:pos="4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sales volumes in our residential and irrigation flow and food and beverage businesses which resulted in increased leverage on fixed operating expenses and improved income drop through;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 w:hanging="310"/>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480" w:hanging="310"/>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productivity due to cost actions driving manufacturing efficiencies.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right="20" w:hanging="330"/>
        <w:spacing w:after="0" w:line="277"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inflationary cost increases due to high demand and tight supply of metals and resins along with increased logistics due to supply chain constraints and labor costs due to workforce shortages; and</w:t>
      </w:r>
    </w:p>
    <w:p>
      <w:pPr>
        <w:spacing w:after="0" w:line="129" w:lineRule="exact"/>
        <w:rPr>
          <w:rFonts w:ascii="Arial" w:cs="Arial" w:eastAsia="Arial" w:hAnsi="Arial"/>
          <w:sz w:val="18"/>
          <w:szCs w:val="18"/>
          <w:color w:val="auto"/>
        </w:rPr>
      </w:pPr>
    </w:p>
    <w:p>
      <w:pPr>
        <w:ind w:left="480" w:hanging="310"/>
        <w:spacing w:after="0"/>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operating expenses as a result of our continued focus on strategic growth.</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BACKLOG OF ORDERS BY SEGMENT</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December 31,</w:t>
            </w:r>
          </w:p>
        </w:tc>
        <w:tc>
          <w:tcPr>
            <w:tcW w:w="260" w:type="dxa"/>
            <w:vAlign w:val="bottom"/>
          </w:tcPr>
          <w:p>
            <w:pPr>
              <w:spacing w:after="0"/>
              <w:rPr>
                <w:sz w:val="24"/>
                <w:szCs w:val="24"/>
                <w:color w:val="auto"/>
              </w:rPr>
            </w:pPr>
          </w:p>
        </w:tc>
        <w:tc>
          <w:tcPr>
            <w:tcW w:w="14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 Change</w:t>
            </w:r>
          </w:p>
        </w:tc>
        <w:tc>
          <w:tcPr>
            <w:tcW w:w="14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Solutions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759.7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165.5 %</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Industrial &amp; Flow Technologies</w:t>
            </w:r>
          </w:p>
        </w:tc>
        <w:tc>
          <w:tcPr>
            <w:tcW w:w="1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121.2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880.9</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2021 net sales.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our backlog from December 31, 2020 to September 30, 2021 was driven by a significant increase in orders due to higher than anticipated demand in our pool business and certain of our residential and commercial businesses, coupled with continuing supply chain disruptions and labor availability challenges.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experience seasonal cash flows primarily due to seasonal demand in a number of markets. Consistent with historical trends, we experienced seasonal cash usage in the first quarter of 2021 and drew on our revolving credit facility to fund our operations. This cash usage reversed in the second quarter as the seasonality of our businesses peaked and generated significant cash to fund our operations.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End-user demand for pool and certain pumping equipment has followed warm weather trends and historically has been at seasonal highs from April to August. The magnitude of the sales spike has historically been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 Although the impact of the COVID-19 pandemic on our future results is uncertain, we believe we are well-positioned to manage our business and have the ability and sufficient capacity to meet these cash requirements by using available cash, internally generated funds and borrowing under our committed and uncommitted credit facilities. We are committed to maintaining investment grade credit ratings and a solid liquidity position.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the Pleatco acquisition on October 18, 2021 for total consideration of approximately $255.0 million in cash, subject to customary adjustments. We funded the purchase price with cash on hand and borrowings under our revolving credit facility.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i w:val="1"/>
                <w:iCs w:val="1"/>
                <w:color w:val="auto"/>
              </w:rPr>
              <w:t>Summary of Cash Flows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7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4"/>
                <w:szCs w:val="14"/>
                <w:color w:val="auto"/>
              </w:rPr>
            </w:pPr>
          </w:p>
        </w:tc>
        <w:tc>
          <w:tcPr>
            <w:tcW w:w="144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4"/>
                <w:szCs w:val="14"/>
                <w:color w:val="auto"/>
              </w:rPr>
            </w:pPr>
          </w:p>
        </w:tc>
        <w:tc>
          <w:tcPr>
            <w:tcW w:w="146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for):</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160"/>
              <w:spacing w:after="0"/>
              <w:rPr>
                <w:sz w:val="20"/>
                <w:szCs w:val="20"/>
                <w:color w:val="auto"/>
              </w:rPr>
            </w:pPr>
            <w:r>
              <w:rPr>
                <w:rFonts w:ascii="Arial" w:cs="Arial" w:eastAsia="Arial" w:hAnsi="Arial"/>
                <w:sz w:val="18"/>
                <w:szCs w:val="18"/>
                <w:color w:val="auto"/>
              </w:rPr>
              <w:t>Operating activities of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ind w:left="830"/>
              <w:spacing w:after="0"/>
              <w:rPr>
                <w:sz w:val="20"/>
                <w:szCs w:val="20"/>
                <w:color w:val="auto"/>
              </w:rPr>
            </w:pPr>
            <w:r>
              <w:rPr>
                <w:rFonts w:ascii="Arial" w:cs="Arial" w:eastAsia="Arial" w:hAnsi="Arial"/>
                <w:sz w:val="18"/>
                <w:szCs w:val="18"/>
                <w:color w:val="auto"/>
                <w:w w:val="88"/>
              </w:rPr>
              <w:t>540.4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91"/>
              </w:rPr>
              <w:t>(114.4)</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794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0"/>
                <w:szCs w:val="20"/>
                <w:color w:val="auto"/>
              </w:rPr>
            </w:pPr>
          </w:p>
        </w:tc>
        <w:tc>
          <w:tcPr>
            <w:tcW w:w="1440" w:type="dxa"/>
            <w:vAlign w:val="bottom"/>
          </w:tcPr>
          <w:p>
            <w:pPr>
              <w:jc w:val="center"/>
              <w:ind w:left="790"/>
              <w:spacing w:after="0"/>
              <w:rPr>
                <w:sz w:val="20"/>
                <w:szCs w:val="20"/>
                <w:color w:val="auto"/>
              </w:rPr>
            </w:pPr>
            <w:r>
              <w:rPr>
                <w:rFonts w:ascii="Arial" w:cs="Arial" w:eastAsia="Arial" w:hAnsi="Arial"/>
                <w:sz w:val="18"/>
                <w:szCs w:val="18"/>
                <w:color w:val="auto"/>
                <w:w w:val="91"/>
              </w:rPr>
              <w:t>(341.8)</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$540.4 million in net cash provided by operating activities of continuing operations in the first nine months of 2021 primarily reflects $465.1 million of net income from continuing operations, net of non-cash depreciation and amortization. Additionally, the Company had a cash inflow of $64.3 million as a result of changes in net working capital, primarily the result of increased sales and demand leading to higher accrued rebates and incentives, accounts payables, accounts receivable and inventory balances.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$500.8 million in net cash provided by operating activities of continuing operations in the first nine months of 2020 primarily reflects $313.2 million of net income from continuing operations, net of non-cash depreciation and amortization. Additionally, the Company had a cash inflow of $165.6 million as a result of changes in net working capital, primarily the result of collections on accounts receivables from our early buy programs in the pool business that became due in the second quarter.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Net cash used for investing activities in the first nine months of 2021 primarily reflects net cash paid of $82.8 million for the Ken’s Beverage,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acquisition, net of cash acquired, and capital expenditures of $38.6 million.</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for investing activities in the first nine months of 2020 primarily reflects capital expenditures of $44.4 million and cash paid for acquisitions in our Consumer Solutions reporting segment of $28.5 million, net of cash acquired.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for financing activities in the first nine months of 2021 primarily relates to the repayment of the 5.000% Senior Notes due in 2021 of $103.8 million, net repayments of revolving long-term debt of $36.1 million, $100.0 million of share repurchases, dividend payments of $99.9 million and payments upon the maturity of cross currency swaps of $14.7 million.</w:t>
      </w:r>
    </w:p>
    <w:p>
      <w:pPr>
        <w:spacing w:after="0" w:line="2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cash used for financing activities in the first nine months of 2020 primarily relates to net repayments of commercial paper and revolving long-term debt of $151.3 million, the repayment of the 3.625% Senior Notes due in 2020 of $74.0 million, $115.2 million of share repurchases and dividend payments of $95.4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greater than 100 percent conversion of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82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14"/>
                <w:szCs w:val="14"/>
                <w:color w:val="auto"/>
              </w:rPr>
            </w:pPr>
          </w:p>
        </w:tc>
        <w:tc>
          <w:tcPr>
            <w:tcW w:w="132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4"/>
                <w:szCs w:val="14"/>
                <w:color w:val="auto"/>
              </w:rPr>
            </w:pPr>
          </w:p>
        </w:tc>
        <w:tc>
          <w:tcPr>
            <w:tcW w:w="132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Capital expenditures of continuing operations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 from continuing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Free cash flow</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
        </w:trPr>
        <w:tc>
          <w:tcPr>
            <w:tcW w:w="8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Capital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Pentair, Pentair Finance S.à r.l (“PFSA“) and Pentair, Inc. are parties to a credit agreement (the “Senior Credit Facility”), with Pentair as guarantor and PFSA and Pentair, Inc. as borrowers, providing for a $900.0 million senior unsecured revolving credit facility.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Credit Facility provides for the extension of term loans in an aggregate amount of $200.0 million (the “Term Loans”). We have utilized the term loan extension since December 2019. The Term Loans are in addition to the revolving credit facility commitment. In addition, PFSA has the option to further increase the Senior Credit Facility in an aggregate amount of up to $300.0 million, through a combination of increases to the total commitment amount of the revolving credit facility and/or one or more tranches of term loans in addition to the Term Loans, subject to customary conditions, including the commitment of the participating lenders.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no commercial paper outstanding as of September 30, 2021 and December 31, 2020.</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the commercial paper market began to experience high levels of volatility due to uncertainty related to the COVID-19 pandemic. The volatility impacted both market access to and pricing of commercial paper. As a cost mitigation action, we withdrew our credit ratings to access the commercial paper market and continued to use the revolving credit facility, along with cash generated from operations, to fund our general operations. As of September 30, 2021, total availability under the Senior Credit Facility was $900.0 million.</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September 30, 2021, we were in compliance with all financial covenants in our debt agreements, and there was no material uncertainty about our ongoing ability to meet these covenants.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$21.4 million, of which there were no outstanding borrowings at September 30, 2021. Borrowings under these credit facilities bear interest at variable rates.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$88.3 million fixed rate senior notes maturing in the next twelve months. We classified this debt as long-term as of September 30, 2021 as we have the intent and ability to refinance such obligation on a long-term basis under the Senior Credit Facility.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we had $60.2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expired on May 31, 2021. In December 2020, the Board of Directors authorized the repurchase of our ordinary shares up to a maximum dollar limit of $750.0 million (the “2020 Authorization”). The 2020 Authorization expires on December 31, 2025. The 2020 Authorization supplemented the 2018 Authorization.</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we repurchased 1.4 million of our ordinary shares for $100.0 million, of which 0.8 million shares, or $50.0 million, and 0.6 million shares, or $50.0 million, were repurchased pursuant to the 2018 Authorization and 2020 Authorization, respectively. As of September 30, 2021, we had $700.0 million available for share repurchases under the 2020 Authorization.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September 21, 2021, the Board of Directors declared a quarterly cash dividend of $0.20, payable on November 5, 2021 to shareholders of record at the close of business on October 22, 2021.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$33.1 million at September 30, 2021, compared to $33.2 million at December 31, 2020.</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dividends in the first nine months of 2021 of $99.9 million, or $0.60 per ordinary share compared with $95.4 million, or $0.57 per ordinary share, in the prior year period.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$8.8 billion as of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guarantor information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summarized financial information as of September 30, 2021 and December 31, 2020 for the Parent Company Guarantor and Subsidiary Issuer on a combined basis after elimination of (i) intercompany transactions and balances among the guarantors and issuer and (ii) equity in earnings from and investments in any subsidiary that is a non-Guarantor or issuer.</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280" w:type="dxa"/>
            <w:vAlign w:val="bottom"/>
          </w:tcPr>
          <w:p>
            <w:pPr>
              <w:spacing w:after="0"/>
              <w:rPr>
                <w:sz w:val="17"/>
                <w:szCs w:val="17"/>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auto"/>
            </w:tcBorders>
            <w:vMerge w:val="continue"/>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(2)</w:t>
            </w:r>
          </w:p>
        </w:tc>
        <w:tc>
          <w:tcPr>
            <w:tcW w:w="3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965.5</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1,040.9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(3)</w:t>
            </w:r>
          </w:p>
        </w:tc>
        <w:tc>
          <w:tcPr>
            <w:tcW w:w="3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23"/>
                <w:szCs w:val="23"/>
                <w:color w:val="auto"/>
                <w:vertAlign w:val="superscript"/>
              </w:rPr>
              <w:t>(4)</w:t>
            </w:r>
          </w:p>
        </w:tc>
        <w:tc>
          <w:tcPr>
            <w:tcW w:w="3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1,007.1</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bl>
    <w:p>
      <w:pPr>
        <w:ind w:left="200" w:hanging="174"/>
        <w:spacing w:after="0" w:line="216" w:lineRule="auto"/>
        <w:tabs>
          <w:tab w:leader="none" w:pos="20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$7.1 million and $2.8 million as of September 30, 2021 and December 31, 2020,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Includes assets due from non-guarantor subsidiaries of $949.5 million and $1,028.5 million as of September 30, 2021 and December 31, 2020,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$662.7 million and $556.6 million as of September 30, 2021 and December 31, 2020, respectively.</w:t>
      </w:r>
    </w:p>
    <w:p>
      <w:pPr>
        <w:spacing w:after="0" w:line="20" w:lineRule="exact"/>
        <w:rPr>
          <w:rFonts w:ascii="Arial" w:cs="Arial" w:eastAsia="Arial" w:hAnsi="Arial"/>
          <w:sz w:val="21"/>
          <w:szCs w:val="21"/>
          <w:color w:val="auto"/>
          <w:vertAlign w:val="superscript"/>
        </w:rPr>
      </w:pPr>
    </w:p>
    <w:p>
      <w:pPr>
        <w:ind w:left="200" w:hanging="174"/>
        <w:spacing w:after="0" w:line="181" w:lineRule="auto"/>
        <w:tabs>
          <w:tab w:leader="none" w:pos="200" w:val="left"/>
        </w:tabs>
        <w:numPr>
          <w:ilvl w:val="0"/>
          <w:numId w:val="51"/>
        </w:numPr>
        <w:rPr>
          <w:rFonts w:ascii="Arial" w:cs="Arial" w:eastAsia="Arial" w:hAnsi="Arial"/>
          <w:sz w:val="21"/>
          <w:szCs w:val="21"/>
          <w:color w:val="auto"/>
          <w:vertAlign w:val="superscript"/>
        </w:rPr>
      </w:pPr>
      <w:r>
        <w:rPr>
          <w:rFonts w:ascii="Arial" w:cs="Arial" w:eastAsia="Arial" w:hAnsi="Arial"/>
          <w:sz w:val="14"/>
          <w:szCs w:val="14"/>
          <w:color w:val="auto"/>
        </w:rPr>
        <w:t>Includes liabilities due to non-guarantor subsidiaries of $283.6 million and $495.2 million as of September 30, 2021 and December 31, 2020, respectively.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2020 Annual Report on Form 10-K, we identified the critical accounting policies that affect our more significant estimates and assumptions used in preparing our consolidated financial statements. There have been no material changes to our critical accounting policies and estimates from those disclosed in our 2020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September 30, 2021. For additional information refer to Item 7A of our 2020 Annual Report on Form 10-K.</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jc w:val="both"/>
        <w:ind w:left="4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2021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September 30, 2021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0" w:lineRule="exact"/>
        <w:rPr>
          <w:rFonts w:ascii="Arial" w:cs="Arial" w:eastAsia="Arial" w:hAnsi="Arial"/>
          <w:sz w:val="18"/>
          <w:szCs w:val="18"/>
          <w:b w:val="1"/>
          <w:bCs w:val="1"/>
          <w:color w:val="auto"/>
        </w:rPr>
      </w:pPr>
    </w:p>
    <w:p>
      <w:pPr>
        <w:ind w:left="400" w:hanging="392"/>
        <w:spacing w:after="0"/>
        <w:tabs>
          <w:tab w:leader="none" w:pos="4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September 30, 2021 that has materially affected, or is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jc w:val="both"/>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We have been, and in the future may be, made parties to a number of actions filed or have been, and in the future may be, given notice of potential claims relating to the conduct of our business, including those relating to commercial, contractual or regulatory disputes with suppliers, customers, authorities or parties to acquisitions and divestitures; intellectual property matters; environmental, asbestos, safety and health matters; product liability claims; claims relating to the use or installation of our products; consumer and consumer protection matters; and employment and labor matters. Refer to “Legal Proceedings” and “Environmental Matters” within </w:t>
      </w:r>
      <w:hyperlink w:anchor="page19">
        <w:r>
          <w:rPr>
            <w:rFonts w:ascii="Arial" w:cs="Arial" w:eastAsia="Arial" w:hAnsi="Arial"/>
            <w:sz w:val="17"/>
            <w:szCs w:val="17"/>
            <w:u w:val="single" w:color="auto"/>
            <w:color w:val="0000FF"/>
          </w:rPr>
          <w:t>Note 16 “Commitments and Contingencies”</w:t>
        </w:r>
      </w:hyperlink>
      <w:r>
        <w:rPr>
          <w:rFonts w:ascii="Arial" w:cs="Arial" w:eastAsia="Arial" w:hAnsi="Arial"/>
          <w:sz w:val="17"/>
          <w:szCs w:val="17"/>
          <w:color w:val="auto"/>
        </w:rPr>
        <w:t>, of the condensed consolidated financial statements included within ITEM 1 of Part I of this Form 10-Q for information regarding legal and regulatory proceedings we are involved in.</w:t>
      </w:r>
    </w:p>
    <w:p>
      <w:pPr>
        <w:spacing w:after="0" w:line="3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Item 1A. of our 2020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third quarter of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8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340" w:type="dxa"/>
            <w:vAlign w:val="bottom"/>
          </w:tcPr>
          <w:p>
            <w:pPr>
              <w:spacing w:after="0"/>
              <w:rPr>
                <w:sz w:val="19"/>
                <w:szCs w:val="19"/>
                <w:color w:val="auto"/>
              </w:rPr>
            </w:pPr>
          </w:p>
        </w:tc>
        <w:tc>
          <w:tcPr>
            <w:tcW w:w="18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(b)</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0" w:type="dxa"/>
            <w:vAlign w:val="bottom"/>
          </w:tcPr>
          <w:p>
            <w:pPr>
              <w:spacing w:after="0"/>
              <w:rPr>
                <w:sz w:val="19"/>
                <w:szCs w:val="19"/>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1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Total number of shares</w:t>
            </w:r>
          </w:p>
        </w:tc>
        <w:tc>
          <w:tcPr>
            <w:tcW w:w="22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2"/>
              </w:rPr>
              <w:t>Dollar value of shares that</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88"/>
              </w:rPr>
              <w:t>Average price</w:t>
            </w:r>
          </w:p>
        </w:tc>
        <w:tc>
          <w:tcPr>
            <w:tcW w:w="2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20" w:type="dxa"/>
            <w:vAlign w:val="bottom"/>
          </w:tcPr>
          <w:p>
            <w:pPr>
              <w:spacing w:after="0"/>
              <w:rPr>
                <w:sz w:val="15"/>
                <w:szCs w:val="15"/>
                <w:color w:val="auto"/>
              </w:rPr>
            </w:pPr>
          </w:p>
        </w:tc>
        <w:tc>
          <w:tcPr>
            <w:tcW w:w="1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may yet be purchased</w:t>
            </w:r>
          </w:p>
        </w:tc>
        <w:tc>
          <w:tcPr>
            <w:tcW w:w="0" w:type="dxa"/>
            <w:vAlign w:val="bottom"/>
          </w:tcPr>
          <w:p>
            <w:pPr>
              <w:spacing w:after="0"/>
              <w:rPr>
                <w:sz w:val="1"/>
                <w:szCs w:val="1"/>
                <w:color w:val="auto"/>
              </w:rPr>
            </w:pPr>
          </w:p>
        </w:tc>
      </w:tr>
      <w:tr>
        <w:trPr>
          <w:trHeight w:val="176"/>
        </w:trPr>
        <w:tc>
          <w:tcPr>
            <w:tcW w:w="2480" w:type="dxa"/>
            <w:vAlign w:val="bottom"/>
            <w:vMerge w:val="restart"/>
          </w:tcPr>
          <w:p>
            <w:pPr>
              <w:ind w:left="1000"/>
              <w:spacing w:after="0"/>
              <w:rPr>
                <w:sz w:val="20"/>
                <w:szCs w:val="20"/>
                <w:color w:val="auto"/>
              </w:rPr>
            </w:pPr>
            <w:r>
              <w:rPr>
                <w:rFonts w:ascii="Arial" w:cs="Arial" w:eastAsia="Arial" w:hAnsi="Arial"/>
                <w:sz w:val="18"/>
                <w:szCs w:val="18"/>
                <w:b w:val="1"/>
                <w:bCs w:val="1"/>
                <w:color w:val="auto"/>
              </w:rPr>
              <w:t>Period</w:t>
            </w:r>
          </w:p>
        </w:tc>
        <w:tc>
          <w:tcPr>
            <w:tcW w:w="2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4"/>
              </w:rPr>
              <w:t>of shares</w:t>
            </w:r>
          </w:p>
        </w:tc>
        <w:tc>
          <w:tcPr>
            <w:tcW w:w="3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publicly announced plans</w:t>
            </w:r>
          </w:p>
        </w:tc>
        <w:tc>
          <w:tcPr>
            <w:tcW w:w="220" w:type="dxa"/>
            <w:vAlign w:val="bottom"/>
          </w:tcPr>
          <w:p>
            <w:pPr>
              <w:spacing w:after="0"/>
              <w:rPr>
                <w:sz w:val="15"/>
                <w:szCs w:val="15"/>
                <w:color w:val="auto"/>
              </w:rPr>
            </w:pPr>
          </w:p>
        </w:tc>
        <w:tc>
          <w:tcPr>
            <w:tcW w:w="19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under the plans or</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auto"/>
            </w:tcBorders>
            <w:vMerge w:val="continue"/>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paid per share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programs</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 July 31</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27,319</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73.19</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748,000,033</w:t>
            </w:r>
          </w:p>
        </w:tc>
        <w:tc>
          <w:tcPr>
            <w:tcW w:w="0" w:type="dxa"/>
            <w:vAlign w:val="bottom"/>
          </w:tcPr>
          <w:p>
            <w:pPr>
              <w:spacing w:after="0"/>
              <w:rPr>
                <w:sz w:val="1"/>
                <w:szCs w:val="1"/>
                <w:color w:val="auto"/>
              </w:rPr>
            </w:pP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August 1 - August 28</w:t>
            </w:r>
          </w:p>
        </w:tc>
        <w:tc>
          <w:tcPr>
            <w:tcW w:w="2160" w:type="dxa"/>
            <w:vAlign w:val="bottom"/>
          </w:tcPr>
          <w:p>
            <w:pPr>
              <w:jc w:val="right"/>
              <w:spacing w:after="0"/>
              <w:rPr>
                <w:sz w:val="20"/>
                <w:szCs w:val="20"/>
                <w:color w:val="auto"/>
              </w:rPr>
            </w:pPr>
            <w:r>
              <w:rPr>
                <w:rFonts w:ascii="Arial" w:cs="Arial" w:eastAsia="Arial" w:hAnsi="Arial"/>
                <w:sz w:val="18"/>
                <w:szCs w:val="18"/>
                <w:color w:val="auto"/>
              </w:rPr>
              <w:t>516,598</w:t>
            </w:r>
          </w:p>
        </w:tc>
        <w:tc>
          <w:tcPr>
            <w:tcW w:w="34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77.80</w:t>
            </w:r>
          </w:p>
        </w:tc>
        <w:tc>
          <w:tcPr>
            <w:tcW w:w="2120" w:type="dxa"/>
            <w:vAlign w:val="bottom"/>
          </w:tcPr>
          <w:p>
            <w:pPr>
              <w:jc w:val="right"/>
              <w:spacing w:after="0"/>
              <w:rPr>
                <w:sz w:val="20"/>
                <w:szCs w:val="20"/>
                <w:color w:val="auto"/>
              </w:rPr>
            </w:pPr>
            <w:r>
              <w:rPr>
                <w:rFonts w:ascii="Arial" w:cs="Arial" w:eastAsia="Arial" w:hAnsi="Arial"/>
                <w:sz w:val="18"/>
                <w:szCs w:val="18"/>
                <w:color w:val="auto"/>
              </w:rPr>
              <w:t>514,039</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708,000,835</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August 29 - September 30</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103,845</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77.39</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103,324</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700,001,084</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647,762</w:t>
            </w: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644,682</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purchases in this column include no shares for the period July 1 - July 31, 2,559 shares for the period August 1 - August 28 and 521 shares for the period August 29 - September 30 deemed surrendered to us by participants in our equity incentive plans to satisfy the exercise price or withholding of tax obligations related to the exercise of stock options and vesting of restricted and performance shares.</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9" w:lineRule="exact"/>
        <w:rPr>
          <w:rFonts w:ascii="Arial" w:cs="Arial" w:eastAsia="Arial" w:hAnsi="Arial"/>
          <w:sz w:val="18"/>
          <w:szCs w:val="18"/>
          <w:color w:val="auto"/>
        </w:rPr>
      </w:pPr>
    </w:p>
    <w:p>
      <w:pPr>
        <w:ind w:left="340" w:hanging="332"/>
        <w:spacing w:after="0" w:line="277" w:lineRule="auto"/>
        <w:tabs>
          <w:tab w:leader="none" w:pos="3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May 2018, the Board of Directors authorized the repurchase of our ordinary shares up to a maximum dollar limit of $750.0 million (the “2018 Authorization”). The 2018 Authorization expired on May 31, 2021. On December 8, 2020, the Board of Directors authorized the repurchase of our ordinary shares up to a maximum dollar limit of $750.0 million (the “2020 Authorization”). The 2020 Authorization expires on December 31, 2025. The 2020 Authorization supplemented the 2018 Authorization. As of September 30, 2021, we had $700.0 million available for share repurchases under the 2020 Authorization. From time to time, we may enter into a Rule 10b5-1 trading plan for the purpose of repurchasing shares under the 2020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Index to Form 10-Q for the Period Ended September 30, 2021</w:t>
      </w:r>
    </w:p>
    <w:p>
      <w:pPr>
        <w:spacing w:after="0" w:line="337" w:lineRule="exact"/>
        <w:rPr>
          <w:sz w:val="20"/>
          <w:szCs w:val="20"/>
          <w:color w:val="auto"/>
        </w:rPr>
      </w:pPr>
    </w:p>
    <w:p>
      <w:pPr>
        <w:ind w:left="940" w:hanging="793"/>
        <w:spacing w:after="0" w:line="235" w:lineRule="auto"/>
        <w:tabs>
          <w:tab w:leader="none" w:pos="940" w:val="left"/>
        </w:tabs>
        <w:numPr>
          <w:ilvl w:val="0"/>
          <w:numId w:val="54"/>
        </w:numPr>
        <w:rPr>
          <w:rFonts w:ascii="Arial" w:cs="Arial" w:eastAsia="Arial" w:hAnsi="Arial"/>
          <w:sz w:val="18"/>
          <w:szCs w:val="18"/>
          <w:b w:val="1"/>
          <w:bCs w:val="1"/>
          <w:u w:val="single" w:color="auto"/>
          <w:color w:val="0000FF"/>
        </w:rPr>
      </w:pPr>
      <w:r>
        <w:rPr>
          <w:rFonts w:ascii="Arial" w:cs="Arial" w:eastAsia="Arial" w:hAnsi="Arial"/>
          <w:sz w:val="18"/>
          <w:szCs w:val="18"/>
          <w:color w:val="auto"/>
        </w:rPr>
        <w:t>List of Guarantors and Subsidiary Issuers of Guaranteed Securities (Incorporated by reference to Exhibit 22 to the Quarterly Report on Form 10-Q of Pentair plc for the quarter ended June 30, 2021 (File No. 001-11625)).</w:t>
      </w:r>
    </w:p>
    <w:p>
      <w:pPr>
        <w:ind w:left="140"/>
        <w:spacing w:after="0"/>
        <w:tabs>
          <w:tab w:leader="none" w:pos="920" w:val="left"/>
        </w:tabs>
        <w:rPr>
          <w:rFonts w:ascii="Arial" w:cs="Arial" w:eastAsia="Arial" w:hAnsi="Arial"/>
          <w:sz w:val="18"/>
          <w:szCs w:val="18"/>
          <w:b w:val="1"/>
          <w:bCs w:val="1"/>
          <w:color w:val="0000FF"/>
        </w:rPr>
      </w:pPr>
      <w:hyperlink w:anchor="page41">
        <w:r>
          <w:rPr>
            <w:rFonts w:ascii="Arial" w:cs="Arial" w:eastAsia="Arial" w:hAnsi="Arial"/>
            <w:sz w:val="18"/>
            <w:szCs w:val="18"/>
            <w:b w:val="1"/>
            <w:bCs w:val="1"/>
            <w:u w:val="single" w:color="auto"/>
            <w:color w:val="0000FF"/>
          </w:rPr>
          <w:t>31.1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w:t>
      </w:r>
    </w:p>
    <w:p>
      <w:pPr>
        <w:spacing w:after="0" w:line="23" w:lineRule="exact"/>
        <w:rPr>
          <w:sz w:val="20"/>
          <w:szCs w:val="20"/>
          <w:color w:val="auto"/>
        </w:rPr>
      </w:pPr>
    </w:p>
    <w:p>
      <w:pPr>
        <w:ind w:left="140"/>
        <w:spacing w:after="0"/>
        <w:tabs>
          <w:tab w:leader="none" w:pos="920" w:val="left"/>
        </w:tabs>
        <w:rPr>
          <w:rFonts w:ascii="Arial" w:cs="Arial" w:eastAsia="Arial" w:hAnsi="Arial"/>
          <w:sz w:val="18"/>
          <w:szCs w:val="18"/>
          <w:b w:val="1"/>
          <w:bCs w:val="1"/>
          <w:color w:val="0000FF"/>
        </w:rPr>
      </w:pPr>
      <w:hyperlink w:anchor="page42">
        <w:r>
          <w:rPr>
            <w:rFonts w:ascii="Arial" w:cs="Arial" w:eastAsia="Arial" w:hAnsi="Arial"/>
            <w:sz w:val="18"/>
            <w:szCs w:val="18"/>
            <w:b w:val="1"/>
            <w:bCs w:val="1"/>
            <w:u w:val="single" w:color="auto"/>
            <w:color w:val="0000FF"/>
          </w:rPr>
          <w:t>31.2</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Certification of Chief Financial Officer.</w:t>
      </w:r>
    </w:p>
    <w:p>
      <w:pPr>
        <w:spacing w:after="0" w:line="23" w:lineRule="exact"/>
        <w:rPr>
          <w:sz w:val="20"/>
          <w:szCs w:val="20"/>
          <w:color w:val="auto"/>
        </w:rPr>
      </w:pPr>
    </w:p>
    <w:p>
      <w:pPr>
        <w:ind w:left="940" w:hanging="782"/>
        <w:spacing w:after="0" w:line="234" w:lineRule="auto"/>
        <w:tabs>
          <w:tab w:leader="none" w:pos="920" w:val="left"/>
        </w:tabs>
        <w:rPr>
          <w:rFonts w:ascii="Arial" w:cs="Arial" w:eastAsia="Arial" w:hAnsi="Arial"/>
          <w:sz w:val="18"/>
          <w:szCs w:val="18"/>
          <w:b w:val="1"/>
          <w:bCs w:val="1"/>
          <w:color w:val="0000FF"/>
        </w:rPr>
      </w:pPr>
      <w:hyperlink w:anchor="page43">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t>Certification of Chief Executive Officer, Pursuant to 18 U.S.C. Section 1350, as Adopted Pursuant to Section 906 of the Sarbanes-Oxley Act of 2002.</w:t>
      </w:r>
    </w:p>
    <w:p>
      <w:pPr>
        <w:ind w:left="140"/>
        <w:spacing w:after="0"/>
        <w:tabs>
          <w:tab w:leader="none" w:pos="920" w:val="left"/>
        </w:tabs>
        <w:rPr>
          <w:rFonts w:ascii="Arial" w:cs="Arial" w:eastAsia="Arial" w:hAnsi="Arial"/>
          <w:sz w:val="18"/>
          <w:szCs w:val="18"/>
          <w:b w:val="1"/>
          <w:bCs w:val="1"/>
          <w:color w:val="0000FF"/>
        </w:rPr>
      </w:pPr>
      <w:hyperlink w:anchor="page44">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Financial Officer, Pursuant to 18 U.S.C. Section 1350, as Adopted Pursuant to Section 906 of the Sarbanes-Oxley Act of</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2002.</w:t>
      </w:r>
    </w:p>
    <w:p>
      <w:pPr>
        <w:spacing w:after="0" w:line="7" w:lineRule="exact"/>
        <w:rPr>
          <w:sz w:val="20"/>
          <w:szCs w:val="20"/>
          <w:color w:val="auto"/>
        </w:rPr>
      </w:pPr>
    </w:p>
    <w:p>
      <w:pPr>
        <w:jc w:val="both"/>
        <w:ind w:left="940" w:hanging="793"/>
        <w:spacing w:after="0" w:line="224" w:lineRule="auto"/>
        <w:tabs>
          <w:tab w:leader="none" w:pos="940" w:val="left"/>
        </w:tabs>
        <w:numPr>
          <w:ilvl w:val="0"/>
          <w:numId w:val="55"/>
        </w:numPr>
        <w:rPr>
          <w:rFonts w:ascii="Arial" w:cs="Arial" w:eastAsia="Arial" w:hAnsi="Arial"/>
          <w:sz w:val="17"/>
          <w:szCs w:val="17"/>
          <w:b w:val="1"/>
          <w:bCs w:val="1"/>
          <w:color w:val="auto"/>
        </w:rPr>
      </w:pPr>
      <w:r>
        <w:rPr>
          <w:rFonts w:ascii="Arial" w:cs="Arial" w:eastAsia="Arial" w:hAnsi="Arial"/>
          <w:sz w:val="17"/>
          <w:szCs w:val="17"/>
          <w:color w:val="auto"/>
        </w:rPr>
        <w:t>The following materials from Pentair plc’s Quarterly Report on Form 10-Q for the quarter ended September 30, 2021 are filed herewith, formatted in iXBRL (Inline Extensible Business Reporting Language): (i) the Condensed Consolidated Statements of Operations and Comprehensive Income for the three and nine months ended September 30, 2021 and 2020, (ii) the Condensed Consolidated Balance Sheets as of September 30, 2021 and December 31, 2020, (iii) the Condensed Consolidated Statements of Cash Flows for the nine months ended September 30, 2021 and 2020, (iv) the Condensed Consolidated Statements of Changes in Equity for the three and nine months ended September 30, 2021 and 2020, and (v) Notes to Condensed Consolidated Financial Statements. The instance document does not appear in the interactive data file because its XBRL tags are embedded within the Inline XBRL document.</w:t>
      </w:r>
    </w:p>
    <w:p>
      <w:pPr>
        <w:spacing w:after="0" w:line="5" w:lineRule="exact"/>
        <w:rPr>
          <w:sz w:val="20"/>
          <w:szCs w:val="20"/>
          <w:color w:val="auto"/>
        </w:rPr>
      </w:pPr>
    </w:p>
    <w:p>
      <w:pPr>
        <w:ind w:left="940" w:hanging="793"/>
        <w:spacing w:after="0"/>
        <w:tabs>
          <w:tab w:leader="none" w:pos="94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6" w:lineRule="exact"/>
        <w:rPr>
          <w:rFonts w:ascii="Arial" w:cs="Arial" w:eastAsia="Arial" w:hAnsi="Arial"/>
          <w:sz w:val="18"/>
          <w:szCs w:val="18"/>
          <w:b w:val="1"/>
          <w:bCs w:val="1"/>
          <w:color w:val="auto"/>
        </w:rPr>
      </w:pPr>
    </w:p>
    <w:p>
      <w:pPr>
        <w:ind w:left="5540"/>
        <w:spacing w:after="0"/>
        <w:rPr>
          <w:rFonts w:ascii="Arial" w:cs="Arial" w:eastAsia="Arial" w:hAnsi="Arial"/>
          <w:sz w:val="18"/>
          <w:szCs w:val="18"/>
          <w:b w:val="1"/>
          <w:bCs w:val="1"/>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26, 2021.</w:t>
      </w:r>
    </w:p>
    <w:p>
      <w:pPr>
        <w:spacing w:after="0" w:line="200" w:lineRule="exact"/>
        <w:rPr>
          <w:sz w:val="20"/>
          <w:szCs w:val="20"/>
          <w:color w:val="auto"/>
        </w:rPr>
      </w:pPr>
    </w:p>
    <w:p>
      <w:pPr>
        <w:spacing w:after="0" w:line="34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Pentair plc</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Registrant</w:t>
      </w:r>
    </w:p>
    <w:p>
      <w:pPr>
        <w:spacing w:after="0" w:line="29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8721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Robert P. Fishman</w:t>
      </w:r>
    </w:p>
    <w:p>
      <w:pPr>
        <w:spacing w:after="0" w:line="1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Chief Financial Officer and Chief</w:t>
      </w:r>
    </w:p>
    <w:p>
      <w:pPr>
        <w:ind w:left="67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Date:October 26, 2021</w:t>
            </w:r>
          </w:p>
        </w:tc>
        <w:tc>
          <w:tcPr>
            <w:tcW w:w="7420" w:type="dxa"/>
            <w:vAlign w:val="bottom"/>
            <w:gridSpan w:val="2"/>
          </w:tcPr>
          <w:p>
            <w:pPr>
              <w:ind w:left="1700"/>
              <w:spacing w:after="0"/>
              <w:rPr>
                <w:sz w:val="20"/>
                <w:szCs w:val="20"/>
                <w:color w:val="auto"/>
              </w:rPr>
            </w:pPr>
            <w:r>
              <w:rPr>
                <w:rFonts w:ascii="Arial" w:cs="Arial" w:eastAsia="Arial" w:hAnsi="Arial"/>
                <w:sz w:val="18"/>
                <w:szCs w:val="18"/>
                <w:color w:val="auto"/>
              </w:rPr>
              <w:t>/s/ John L. Stauch</w:t>
            </w:r>
          </w:p>
        </w:tc>
      </w:tr>
      <w:tr>
        <w:trPr>
          <w:trHeight w:val="20"/>
        </w:trPr>
        <w:tc>
          <w:tcPr>
            <w:tcW w:w="3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r>
      <w:tr>
        <w:trPr>
          <w:trHeight w:val="222"/>
        </w:trPr>
        <w:tc>
          <w:tcPr>
            <w:tcW w:w="3280" w:type="dxa"/>
            <w:vAlign w:val="bottom"/>
          </w:tcPr>
          <w:p>
            <w:pPr>
              <w:spacing w:after="0"/>
              <w:rPr>
                <w:sz w:val="19"/>
                <w:szCs w:val="19"/>
                <w:color w:val="auto"/>
              </w:rPr>
            </w:pPr>
          </w:p>
        </w:tc>
        <w:tc>
          <w:tcPr>
            <w:tcW w:w="7420" w:type="dxa"/>
            <w:vAlign w:val="bottom"/>
            <w:gridSpan w:val="2"/>
          </w:tcPr>
          <w:p>
            <w:pPr>
              <w:ind w:left="1700"/>
              <w:spacing w:after="0"/>
              <w:rPr>
                <w:sz w:val="20"/>
                <w:szCs w:val="20"/>
                <w:color w:val="auto"/>
              </w:rPr>
            </w:pPr>
            <w:r>
              <w:rPr>
                <w:rFonts w:ascii="Arial" w:cs="Arial" w:eastAsia="Arial" w:hAnsi="Arial"/>
                <w:sz w:val="18"/>
                <w:szCs w:val="18"/>
                <w:color w:val="auto"/>
              </w:rPr>
              <w:t>John L. Stauch</w:t>
            </w:r>
          </w:p>
        </w:tc>
      </w:tr>
      <w:tr>
        <w:trPr>
          <w:trHeight w:val="230"/>
        </w:trPr>
        <w:tc>
          <w:tcPr>
            <w:tcW w:w="3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52" w:lineRule="exact"/>
        <w:rPr>
          <w:rFonts w:ascii="Arial" w:cs="Arial" w:eastAsia="Arial" w:hAnsi="Arial"/>
          <w:sz w:val="18"/>
          <w:szCs w:val="18"/>
          <w:color w:val="auto"/>
        </w:rPr>
      </w:pPr>
    </w:p>
    <w:p>
      <w:pPr>
        <w:jc w:val="both"/>
        <w:ind w:left="260" w:hanging="252"/>
        <w:spacing w:after="0" w:line="342" w:lineRule="auto"/>
        <w:tabs>
          <w:tab w:leader="none" w:pos="391"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260" w:hanging="252"/>
        <w:spacing w:after="0" w:line="277" w:lineRule="auto"/>
        <w:tabs>
          <w:tab w:leader="none" w:pos="397"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260" w:hanging="252"/>
        <w:spacing w:after="0" w:line="263" w:lineRule="auto"/>
        <w:tabs>
          <w:tab w:leader="none" w:pos="4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65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500" w:hanging="249"/>
        <w:spacing w:after="0" w:line="263" w:lineRule="auto"/>
        <w:tabs>
          <w:tab w:leader="none" w:pos="732"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500" w:hanging="249"/>
        <w:spacing w:after="0" w:line="308" w:lineRule="auto"/>
        <w:tabs>
          <w:tab w:leader="none" w:pos="577" w:val="left"/>
        </w:tabs>
        <w:numPr>
          <w:ilvl w:val="1"/>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hanging="249"/>
        <w:spacing w:after="0" w:line="263" w:lineRule="auto"/>
        <w:tabs>
          <w:tab w:leader="none" w:pos="5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260" w:hanging="252"/>
        <w:spacing w:after="0" w:line="308" w:lineRule="auto"/>
        <w:tabs>
          <w:tab w:leader="none" w:pos="38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hanging="249"/>
        <w:spacing w:after="0" w:line="277" w:lineRule="auto"/>
        <w:tabs>
          <w:tab w:leader="none" w:pos="63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249"/>
        <w:spacing w:after="0" w:line="273" w:lineRule="auto"/>
        <w:tabs>
          <w:tab w:leader="none" w:pos="63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October 26,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September 30, 2021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92" w:lineRule="exact"/>
        <w:rPr>
          <w:sz w:val="20"/>
          <w:szCs w:val="20"/>
          <w:color w:val="auto"/>
        </w:rPr>
      </w:pPr>
    </w:p>
    <w:p>
      <w:pPr>
        <w:ind w:left="720" w:hanging="388"/>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October 26,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L. Stauch</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John L. Stauch</w:t>
            </w:r>
          </w:p>
        </w:tc>
      </w:tr>
      <w:tr>
        <w:trPr>
          <w:trHeight w:val="230"/>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Pentair plc (the “Company”) on Form 10-Q for the period ended September 30, 2021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214" w:lineRule="exact"/>
        <w:rPr>
          <w:sz w:val="20"/>
          <w:szCs w:val="20"/>
          <w:color w:val="auto"/>
        </w:rPr>
      </w:pPr>
    </w:p>
    <w:p>
      <w:pPr>
        <w:ind w:left="720" w:hanging="388"/>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October 26, 2021</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Fishman</w:t>
            </w:r>
          </w:p>
        </w:tc>
      </w:tr>
      <w:tr>
        <w:trPr>
          <w:trHeight w:val="222"/>
        </w:trPr>
        <w:tc>
          <w:tcPr>
            <w:tcW w:w="5420" w:type="dxa"/>
            <w:vAlign w:val="bottom"/>
          </w:tcPr>
          <w:p>
            <w:pPr>
              <w:spacing w:after="0"/>
              <w:rPr>
                <w:sz w:val="19"/>
                <w:szCs w:val="19"/>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Robert P. Fishman</w:t>
            </w:r>
          </w:p>
        </w:tc>
      </w:tr>
      <w:tr>
        <w:trPr>
          <w:trHeight w:val="176"/>
        </w:trPr>
        <w:tc>
          <w:tcPr>
            <w:tcW w:w="5420" w:type="dxa"/>
            <w:vAlign w:val="bottom"/>
          </w:tcPr>
          <w:p>
            <w:pPr>
              <w:spacing w:after="0"/>
              <w:rPr>
                <w:sz w:val="15"/>
                <w:szCs w:val="15"/>
                <w:color w:val="auto"/>
              </w:rPr>
            </w:pPr>
          </w:p>
        </w:tc>
        <w:tc>
          <w:tcPr>
            <w:tcW w:w="578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Financial Officer and Chief Accounting</w:t>
            </w:r>
          </w:p>
        </w:tc>
      </w:tr>
      <w:tr>
        <w:trPr>
          <w:trHeight w:val="230"/>
        </w:trPr>
        <w:tc>
          <w:tcPr>
            <w:tcW w:w="5420" w:type="dxa"/>
            <w:vAlign w:val="bottom"/>
          </w:tcPr>
          <w:p>
            <w:pPr>
              <w:spacing w:after="0"/>
              <w:rPr>
                <w:sz w:val="20"/>
                <w:szCs w:val="20"/>
                <w:color w:val="auto"/>
              </w:rPr>
            </w:pPr>
          </w:p>
        </w:tc>
        <w:tc>
          <w:tcPr>
            <w:tcW w:w="578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1."/>
      <w:numFmt w:val="decimal"/>
      <w:start w:val="4"/>
    </w:lvl>
  </w:abstractNum>
  <w:abstractNum w:abstractNumId="7">
    <w:nsid w:val="614FD4A1"/>
    <w:multiLevelType w:val="hybridMultilevel"/>
    <w:lvl w:ilvl="0">
      <w:lvlJc w:val="left"/>
      <w:lvlText w:val="%1."/>
      <w:numFmt w:val="decimal"/>
      <w:start w:val="5"/>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7"/>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8"/>
    </w:lvl>
  </w:abstractNum>
  <w:abstractNum w:abstractNumId="12">
    <w:nsid w:val="3804823E"/>
    <w:multiLevelType w:val="hybridMultilevel"/>
    <w:lvl w:ilvl="0">
      <w:lvlJc w:val="left"/>
      <w:lvlText w:val="%1."/>
      <w:numFmt w:val="decimal"/>
      <w:start w:val="9"/>
    </w:lvl>
  </w:abstractNum>
  <w:abstractNum w:abstractNumId="13">
    <w:nsid w:val="77465F01"/>
    <w:multiLevelType w:val="hybridMultilevel"/>
    <w:lvl w:ilvl="0">
      <w:lvlJc w:val="left"/>
      <w:lvlText w:val="%1."/>
      <w:numFmt w:val="decimal"/>
      <w:start w:val="10"/>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decimal"/>
      <w:start w:val="11"/>
    </w:lvl>
  </w:abstractNum>
  <w:abstractNum w:abstractNumId="16">
    <w:nsid w:val="2463B9EA"/>
    <w:multiLevelType w:val="hybridMultilevel"/>
    <w:lvl w:ilvl="0">
      <w:lvlJc w:val="left"/>
      <w:lvlText w:val="•"/>
      <w:numFmt w:val="bullet"/>
      <w:start w:val="1"/>
    </w:lvl>
    <w:lvl w:ilvl="1">
      <w:lvlJc w:val="left"/>
      <w:lvlText w:val="•"/>
      <w:numFmt w:val="bullet"/>
      <w:start w:val="1"/>
    </w:lvl>
  </w:abstractNum>
  <w:abstractNum w:abstractNumId="17">
    <w:nsid w:val="5E884ADC"/>
    <w:multiLevelType w:val="hybridMultilevel"/>
    <w:lvl w:ilvl="0">
      <w:lvlJc w:val="left"/>
      <w:lvlText w:val="%1."/>
      <w:numFmt w:val="decimal"/>
      <w:start w:val="12"/>
    </w:lvl>
  </w:abstractNum>
  <w:abstractNum w:abstractNumId="18">
    <w:nsid w:val="51EAD36B"/>
    <w:multiLevelType w:val="hybridMultilevel"/>
    <w:lvl w:ilvl="0">
      <w:lvlJc w:val="left"/>
      <w:lvlText w:val="%1."/>
      <w:numFmt w:val="decimal"/>
      <w:start w:val="13"/>
    </w:lvl>
  </w:abstractNum>
  <w:abstractNum w:abstractNumId="19">
    <w:nsid w:val="2D517796"/>
    <w:multiLevelType w:val="hybridMultilevel"/>
    <w:lvl w:ilvl="0">
      <w:lvlJc w:val="left"/>
      <w:lvlText w:val="%1."/>
      <w:numFmt w:val="decimal"/>
      <w:start w:val="14"/>
    </w:lvl>
  </w:abstractNum>
  <w:abstractNum w:abstractNumId="20">
    <w:nsid w:val="580BD78F"/>
    <w:multiLevelType w:val="hybridMultilevel"/>
    <w:lvl w:ilvl="0">
      <w:lvlJc w:val="left"/>
      <w:lvlText w:val="%1."/>
      <w:numFmt w:val="decimal"/>
      <w:start w:val="15"/>
    </w:lvl>
  </w:abstractNum>
  <w:abstractNum w:abstractNumId="21">
    <w:nsid w:val="153EA438"/>
    <w:multiLevelType w:val="hybridMultilevel"/>
    <w:lvl w:ilvl="0">
      <w:lvlJc w:val="left"/>
      <w:lvlText w:val="%1."/>
      <w:numFmt w:val="decimal"/>
      <w:start w:val="16"/>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lvl w:ilvl="1">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decimal"/>
      <w:start w:val="22"/>
    </w:lvl>
  </w:abstractNum>
  <w:abstractNum w:abstractNumId="54">
    <w:nsid w:val="180115BE"/>
    <w:multiLevelType w:val="hybridMultilevel"/>
    <w:lvl w:ilvl="0">
      <w:lvlJc w:val="left"/>
      <w:lvlText w:val="%1"/>
      <w:numFmt w:val="decimal"/>
      <w:start w:val="101"/>
    </w:lvl>
  </w:abstractNum>
  <w:abstractNum w:abstractNumId="55">
    <w:nsid w:val="235BA861"/>
    <w:multiLevelType w:val="hybridMultilevel"/>
    <w:lvl w:ilvl="0">
      <w:lvlJc w:val="left"/>
      <w:lvlText w:val="%1"/>
      <w:numFmt w:val="decimal"/>
      <w:start w:val="104"/>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2021-10-26T15:43:19Z</dcterms:created>
  <dcterms:modified xsi:type="dcterms:W3CDTF">2021-10-26T15:43:19Z</dcterms:modified>
</cp:coreProperties>
</file>