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680720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84" w:lineRule="exact"/>
        <w:rPr>
          <w:sz w:val="24"/>
          <w:szCs w:val="24"/>
          <w:color w:val="auto"/>
        </w:rPr>
      </w:pPr>
    </w:p>
    <w:p>
      <w:pPr>
        <w:ind w:left="500" w:right="2140" w:hanging="465"/>
        <w:spacing w:after="0" w:line="313"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2017</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360" w:right="1760" w:hanging="4325"/>
        <w:spacing w:after="0" w:line="351" w:lineRule="auto"/>
        <w:tabs>
          <w:tab w:leader="none" w:pos="49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001-11625</w:t>
      </w:r>
    </w:p>
    <w:tbl>
      <w:tblPr>
        <w:tblLayout w:type="fixed"/>
        <w:tblInd w:w="0" w:type="dxa"/>
        <w:tblCellMar>
          <w:top w:w="0" w:type="dxa"/>
          <w:left w:w="0" w:type="dxa"/>
          <w:bottom w:w="0" w:type="dxa"/>
          <w:right w:w="0" w:type="dxa"/>
        </w:tblCellMar>
      </w:tblPr>
      <w:tr>
        <w:trPr>
          <w:trHeight w:val="575"/>
        </w:trPr>
        <w:tc>
          <w:tcPr>
            <w:tcW w:w="4060" w:type="dxa"/>
            <w:vAlign w:val="bottom"/>
          </w:tcPr>
          <w:p>
            <w:pPr>
              <w:spacing w:after="0"/>
              <w:rPr>
                <w:sz w:val="24"/>
                <w:szCs w:val="24"/>
                <w:color w:val="auto"/>
              </w:rPr>
            </w:pPr>
          </w:p>
        </w:tc>
        <w:tc>
          <w:tcPr>
            <w:tcW w:w="7360" w:type="dxa"/>
            <w:vAlign w:val="bottom"/>
            <w:gridSpan w:val="3"/>
          </w:tcPr>
          <w:p>
            <w:pPr>
              <w:jc w:val="center"/>
              <w:ind w:right="3970"/>
              <w:spacing w:after="0"/>
              <w:rPr>
                <w:sz w:val="20"/>
                <w:szCs w:val="20"/>
                <w:color w:val="auto"/>
              </w:rPr>
            </w:pPr>
            <w:r>
              <w:rPr>
                <w:rFonts w:ascii="Times New Roman" w:cs="Times New Roman" w:eastAsia="Times New Roman" w:hAnsi="Times New Roman"/>
                <w:sz w:val="43"/>
                <w:szCs w:val="43"/>
                <w:b w:val="1"/>
                <w:bCs w:val="1"/>
                <w:color w:val="auto"/>
              </w:rPr>
              <w:t>Pentair plc</w:t>
            </w:r>
          </w:p>
        </w:tc>
      </w:tr>
      <w:tr>
        <w:trPr>
          <w:trHeight w:val="233"/>
        </w:trPr>
        <w:tc>
          <w:tcPr>
            <w:tcW w:w="40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p>
        </w:tc>
      </w:tr>
      <w:tr>
        <w:trPr>
          <w:trHeight w:val="186"/>
        </w:trPr>
        <w:tc>
          <w:tcPr>
            <w:tcW w:w="4060" w:type="dxa"/>
            <w:vAlign w:val="bottom"/>
          </w:tcPr>
          <w:p>
            <w:pPr>
              <w:spacing w:after="0"/>
              <w:rPr>
                <w:sz w:val="16"/>
                <w:szCs w:val="16"/>
                <w:color w:val="auto"/>
              </w:rPr>
            </w:pPr>
          </w:p>
        </w:tc>
        <w:tc>
          <w:tcPr>
            <w:tcW w:w="7360" w:type="dxa"/>
            <w:vAlign w:val="bottom"/>
            <w:gridSpan w:val="3"/>
          </w:tcPr>
          <w:p>
            <w:pPr>
              <w:jc w:val="center"/>
              <w:ind w:right="395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375"/>
        </w:trPr>
        <w:tc>
          <w:tcPr>
            <w:tcW w:w="40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7360" w:type="dxa"/>
            <w:vAlign w:val="bottom"/>
            <w:gridSpan w:val="3"/>
          </w:tcPr>
          <w:p>
            <w:pPr>
              <w:jc w:val="center"/>
              <w:ind w:left="1774"/>
              <w:spacing w:after="0"/>
              <w:rPr>
                <w:sz w:val="20"/>
                <w:szCs w:val="20"/>
                <w:color w:val="auto"/>
              </w:rPr>
            </w:pPr>
            <w:r>
              <w:rPr>
                <w:rFonts w:ascii="Times New Roman" w:cs="Times New Roman" w:eastAsia="Times New Roman" w:hAnsi="Times New Roman"/>
                <w:sz w:val="18"/>
                <w:szCs w:val="18"/>
                <w:b w:val="1"/>
                <w:bCs w:val="1"/>
                <w:color w:val="auto"/>
                <w:w w:val="98"/>
              </w:rPr>
              <w:t>98-1141328</w:t>
            </w:r>
          </w:p>
        </w:tc>
      </w:tr>
      <w:tr>
        <w:trPr>
          <w:trHeight w:val="34"/>
        </w:trPr>
        <w:tc>
          <w:tcPr>
            <w:tcW w:w="4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21"/>
        </w:trPr>
        <w:tc>
          <w:tcPr>
            <w:tcW w:w="406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i w:val="1"/>
                <w:iCs w:val="1"/>
                <w:color w:val="auto"/>
                <w:w w:val="99"/>
              </w:rPr>
              <w:t>(State or other jurisdiction of</w:t>
            </w: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(I.R.S. Employer</w:t>
            </w:r>
          </w:p>
        </w:tc>
      </w:tr>
      <w:tr>
        <w:trPr>
          <w:trHeight w:val="238"/>
        </w:trPr>
        <w:tc>
          <w:tcPr>
            <w:tcW w:w="40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i w:val="1"/>
                <w:iCs w:val="1"/>
                <w:color w:val="auto"/>
                <w:w w:val="99"/>
              </w:rPr>
              <w:t>incorporation or organization)</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Identification number)</w:t>
            </w:r>
          </w:p>
        </w:tc>
      </w:tr>
    </w:tbl>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 London Wall, London, EC2M 5TF,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(Address of principal executive offices)</w:t>
      </w:r>
    </w:p>
    <w:p>
      <w:pPr>
        <w:spacing w:after="0" w:line="11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44-20-7347-8925</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6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58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New York Stock Exchange</w:t>
            </w: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405"/>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2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7"/>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5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97"/>
        </w:trPr>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4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1"/>
              </w:rPr>
              <w:t xml:space="preserve">Yes </w:t>
            </w:r>
            <w:r>
              <w:rPr>
                <w:rFonts w:ascii="MS PGothic" w:cs="MS PGothic" w:eastAsia="MS PGothic" w:hAnsi="MS PGothic"/>
                <w:sz w:val="18"/>
                <w:szCs w:val="18"/>
                <w:color w:val="auto"/>
                <w:w w:val="91"/>
              </w:rPr>
              <w:t>☐</w:t>
            </w:r>
          </w:p>
        </w:tc>
        <w:tc>
          <w:tcPr>
            <w:tcW w:w="5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89"/>
              </w:rPr>
              <w:t xml:space="preserve">No </w:t>
            </w:r>
            <w:r>
              <w:rPr>
                <w:rFonts w:ascii="MS PGothic" w:cs="MS PGothic" w:eastAsia="MS PGothic" w:hAnsi="MS PGothic"/>
                <w:sz w:val="18"/>
                <w:szCs w:val="18"/>
                <w:color w:val="auto"/>
                <w:w w:val="89"/>
              </w:rPr>
              <w:t>☑</w:t>
            </w:r>
          </w:p>
        </w:tc>
      </w:tr>
    </w:tbl>
    <w:p>
      <w:pPr>
        <w:spacing w:after="0" w:line="43"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jc w:val="both"/>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4"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30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2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16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Emerging growth</w:t>
            </w:r>
          </w:p>
        </w:tc>
        <w:tc>
          <w:tcPr>
            <w:tcW w:w="0" w:type="dxa"/>
            <w:vAlign w:val="bottom"/>
          </w:tcPr>
          <w:p>
            <w:pPr>
              <w:spacing w:after="0"/>
              <w:rPr>
                <w:sz w:val="1"/>
                <w:szCs w:val="1"/>
                <w:color w:val="auto"/>
              </w:rPr>
            </w:pPr>
          </w:p>
        </w:tc>
      </w:tr>
      <w:tr>
        <w:trPr>
          <w:trHeight w:val="254"/>
        </w:trPr>
        <w:tc>
          <w:tcPr>
            <w:tcW w:w="2300" w:type="dxa"/>
            <w:vAlign w:val="bottom"/>
            <w:vMerge w:val="continue"/>
          </w:tcPr>
          <w:p>
            <w:pPr>
              <w:spacing w:after="0"/>
              <w:rPr>
                <w:sz w:val="22"/>
                <w:szCs w:val="22"/>
                <w:color w:val="auto"/>
              </w:rPr>
            </w:pPr>
          </w:p>
        </w:tc>
        <w:tc>
          <w:tcPr>
            <w:tcW w:w="2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Accelerated filer o</w:t>
            </w:r>
          </w:p>
        </w:tc>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Non-accelerated filer o</w:t>
            </w:r>
          </w:p>
        </w:tc>
        <w:tc>
          <w:tcPr>
            <w:tcW w:w="22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company o</w:t>
            </w:r>
          </w:p>
        </w:tc>
        <w:tc>
          <w:tcPr>
            <w:tcW w:w="16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company o</w:t>
            </w:r>
          </w:p>
        </w:tc>
        <w:tc>
          <w:tcPr>
            <w:tcW w:w="0" w:type="dxa"/>
            <w:vAlign w:val="bottom"/>
          </w:tcPr>
          <w:p>
            <w:pPr>
              <w:spacing w:after="0"/>
              <w:rPr>
                <w:sz w:val="1"/>
                <w:szCs w:val="1"/>
                <w:color w:val="auto"/>
              </w:rPr>
            </w:pPr>
          </w:p>
        </w:tc>
      </w:tr>
      <w:tr>
        <w:trPr>
          <w:trHeight w:val="232"/>
        </w:trPr>
        <w:tc>
          <w:tcPr>
            <w:tcW w:w="2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 not check if a smaller</w:t>
            </w:r>
          </w:p>
        </w:tc>
        <w:tc>
          <w:tcPr>
            <w:tcW w:w="2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reporting company)</w:t>
            </w:r>
          </w:p>
        </w:tc>
        <w:tc>
          <w:tcPr>
            <w:tcW w:w="2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7580" w:val="left"/>
          <w:tab w:leader="none" w:pos="82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60"/>
        <w:spacing w:after="0" w:line="313" w:lineRule="auto"/>
        <w:rPr>
          <w:sz w:val="20"/>
          <w:szCs w:val="20"/>
          <w:color w:val="auto"/>
        </w:rPr>
      </w:pPr>
      <w:r>
        <w:rPr>
          <w:rFonts w:ascii="Times New Roman" w:cs="Times New Roman" w:eastAsia="Times New Roman" w:hAnsi="Times New Roman"/>
          <w:sz w:val="17"/>
          <w:szCs w:val="17"/>
          <w:color w:val="auto"/>
        </w:rPr>
        <w:t>Aggregate market value of voting and non-voting common equity held by non-affiliates of the Registrant, based on the closing price of $66.54 per share as reported on the New York Stock Exchange on June 30, 2017 (the last business day of Registrant's most recently completed second quarter): $10,849,958,298.</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only class of common stock on December 31, 2017 was 180,306,617.</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4"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Parts of the Registrant's definitive proxy statement for its annual general meeting to be held on May 8, 2018, are incorporated by reference in this Form 10-K in response to Part III, ITEM 10, 11, 12, 13 and 14.</w:t>
      </w:r>
    </w:p>
    <w:p>
      <w:pPr>
        <w:sectPr>
          <w:pgSz w:w="11900" w:h="16838" w:orient="portrait"/>
          <w:cols w:equalWidth="0" w:num="1">
            <w:col w:w="11420"/>
          </w:cols>
          <w:pgMar w:left="240" w:top="1137" w:right="239" w:bottom="101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20" w:type="dxa"/>
            <w:vAlign w:val="bottom"/>
            <w:gridSpan w:val="8"/>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Pentair plc</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2017</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320" w:type="dxa"/>
            <w:vAlign w:val="bottom"/>
            <w:gridSpan w:val="8"/>
            <w:vMerge w:val="restart"/>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320" w:type="dxa"/>
            <w:vAlign w:val="bottom"/>
            <w:gridSpan w:val="8"/>
            <w:vMerge w:val="continue"/>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8000" w:type="dxa"/>
            <w:vAlign w:val="bottom"/>
            <w:gridSpan w:val="19"/>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Risk Factors</w:t>
              </w:r>
            </w:hyperlink>
          </w:p>
        </w:tc>
        <w:tc>
          <w:tcPr>
            <w:tcW w:w="7740" w:type="dxa"/>
            <w:vAlign w:val="bottom"/>
            <w:gridSpan w:val="17"/>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9"/>
          </w:tcPr>
          <w:p>
            <w:pPr>
              <w:spacing w:after="0"/>
              <w:rPr>
                <w:rFonts w:ascii="Times New Roman" w:cs="Times New Roman" w:eastAsia="Times New Roman" w:hAnsi="Times New Roman"/>
                <w:sz w:val="18"/>
                <w:szCs w:val="18"/>
                <w:color w:val="0000EE"/>
                <w:w w:val="98"/>
              </w:rPr>
            </w:pPr>
            <w:hyperlink w:anchor="page16">
              <w:r>
                <w:rPr>
                  <w:rFonts w:ascii="Times New Roman" w:cs="Times New Roman" w:eastAsia="Times New Roman" w:hAnsi="Times New Roman"/>
                  <w:sz w:val="18"/>
                  <w:szCs w:val="18"/>
                  <w:color w:val="0000EE"/>
                  <w:w w:val="98"/>
                </w:rPr>
                <w:t>Unresolved Staff Comments</w:t>
              </w:r>
            </w:hyperlink>
          </w:p>
        </w:tc>
        <w:tc>
          <w:tcPr>
            <w:tcW w:w="660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14</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gridSpan w:val="2"/>
          </w:tcPr>
          <w:p>
            <w:pPr>
              <w:spacing w:after="0"/>
              <w:rPr>
                <w:rFonts w:ascii="Times New Roman" w:cs="Times New Roman" w:eastAsia="Times New Roman" w:hAnsi="Times New Roman"/>
                <w:sz w:val="18"/>
                <w:szCs w:val="18"/>
                <w:color w:val="0000EE"/>
                <w:w w:val="93"/>
              </w:rPr>
            </w:pPr>
            <w:hyperlink w:anchor="page17">
              <w:r>
                <w:rPr>
                  <w:rFonts w:ascii="Times New Roman" w:cs="Times New Roman" w:eastAsia="Times New Roman" w:hAnsi="Times New Roman"/>
                  <w:sz w:val="18"/>
                  <w:szCs w:val="18"/>
                  <w:color w:val="0000EE"/>
                  <w:w w:val="93"/>
                </w:rPr>
                <w:t>Properties</w:t>
              </w:r>
            </w:hyperlink>
          </w:p>
        </w:tc>
        <w:tc>
          <w:tcPr>
            <w:tcW w:w="1320" w:type="dxa"/>
            <w:vAlign w:val="bottom"/>
            <w:gridSpan w:val="7"/>
          </w:tcPr>
          <w:p>
            <w:pPr>
              <w:spacing w:after="0"/>
              <w:rPr>
                <w:sz w:val="24"/>
                <w:szCs w:val="24"/>
                <w:color w:val="auto"/>
              </w:rPr>
            </w:pPr>
          </w:p>
        </w:tc>
        <w:tc>
          <w:tcPr>
            <w:tcW w:w="660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15</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640" w:type="dxa"/>
            <w:vAlign w:val="bottom"/>
            <w:gridSpan w:val="20"/>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Legal Proceedings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15</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640" w:type="dxa"/>
            <w:vAlign w:val="bottom"/>
            <w:gridSpan w:val="20"/>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Mine Safety Disclosures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16</w:t>
              </w:r>
            </w:hyperlink>
          </w:p>
        </w:tc>
        <w:tc>
          <w:tcPr>
            <w:tcW w:w="0" w:type="dxa"/>
            <w:vAlign w:val="bottom"/>
          </w:tcPr>
          <w:p>
            <w:pPr>
              <w:spacing w:after="0"/>
              <w:rPr>
                <w:sz w:val="1"/>
                <w:szCs w:val="1"/>
                <w:color w:val="auto"/>
              </w:rPr>
            </w:pPr>
          </w:p>
        </w:tc>
      </w:tr>
      <w:tr>
        <w:trPr>
          <w:trHeight w:val="615"/>
        </w:trPr>
        <w:tc>
          <w:tcPr>
            <w:tcW w:w="17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8"/>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640" w:type="dxa"/>
            <w:vAlign w:val="bottom"/>
            <w:gridSpan w:val="20"/>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18</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700" w:type="dxa"/>
            <w:vAlign w:val="bottom"/>
            <w:gridSpan w:val="6"/>
          </w:tcPr>
          <w:p>
            <w:pPr>
              <w:spacing w:after="0"/>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Selected Financial Data</w:t>
              </w:r>
            </w:hyperlink>
          </w:p>
        </w:tc>
        <w:tc>
          <w:tcPr>
            <w:tcW w:w="6360" w:type="dxa"/>
            <w:vAlign w:val="bottom"/>
            <w:gridSpan w:val="13"/>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21</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640" w:type="dxa"/>
            <w:vAlign w:val="bottom"/>
            <w:gridSpan w:val="20"/>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22</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gridSpan w:val="14"/>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gridSpan w:val="2"/>
          </w:tcPr>
          <w:p>
            <w:pPr>
              <w:spacing w:after="0"/>
              <w:rPr>
                <w:sz w:val="24"/>
                <w:szCs w:val="24"/>
                <w:color w:val="auto"/>
              </w:rPr>
            </w:pPr>
          </w:p>
        </w:tc>
        <w:tc>
          <w:tcPr>
            <w:tcW w:w="2200" w:type="dxa"/>
            <w:vAlign w:val="bottom"/>
            <w:gridSpan w:val="4"/>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38</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gridSpan w:val="12"/>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Financial Statements and Supplementary Data</w:t>
              </w:r>
            </w:hyperlink>
          </w:p>
        </w:tc>
        <w:tc>
          <w:tcPr>
            <w:tcW w:w="980" w:type="dxa"/>
            <w:vAlign w:val="bottom"/>
            <w:gridSpan w:val="2"/>
          </w:tcPr>
          <w:p>
            <w:pPr>
              <w:spacing w:after="0"/>
              <w:rPr>
                <w:sz w:val="24"/>
                <w:szCs w:val="24"/>
                <w:color w:val="auto"/>
              </w:rPr>
            </w:pPr>
          </w:p>
        </w:tc>
        <w:tc>
          <w:tcPr>
            <w:tcW w:w="4340" w:type="dxa"/>
            <w:vAlign w:val="bottom"/>
            <w:gridSpan w:val="6"/>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39</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640" w:type="dxa"/>
            <w:vAlign w:val="bottom"/>
            <w:gridSpan w:val="20"/>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87</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7"/>
          </w:tcPr>
          <w:p>
            <w:pPr>
              <w:spacing w:after="0"/>
              <w:rPr>
                <w:rFonts w:ascii="Times New Roman" w:cs="Times New Roman" w:eastAsia="Times New Roman" w:hAnsi="Times New Roman"/>
                <w:sz w:val="18"/>
                <w:szCs w:val="18"/>
                <w:color w:val="0000EE"/>
                <w:w w:val="98"/>
              </w:rPr>
            </w:pPr>
            <w:hyperlink w:anchor="page89">
              <w:r>
                <w:rPr>
                  <w:rFonts w:ascii="Times New Roman" w:cs="Times New Roman" w:eastAsia="Times New Roman" w:hAnsi="Times New Roman"/>
                  <w:sz w:val="18"/>
                  <w:szCs w:val="18"/>
                  <w:color w:val="0000EE"/>
                  <w:w w:val="98"/>
                </w:rPr>
                <w:t>Controls and Procedures</w:t>
              </w:r>
            </w:hyperlink>
          </w:p>
        </w:tc>
        <w:tc>
          <w:tcPr>
            <w:tcW w:w="4700" w:type="dxa"/>
            <w:vAlign w:val="bottom"/>
            <w:gridSpan w:val="10"/>
          </w:tcPr>
          <w:p>
            <w:pPr>
              <w:spacing w:after="0"/>
              <w:rPr>
                <w:sz w:val="24"/>
                <w:szCs w:val="24"/>
                <w:color w:val="auto"/>
              </w:rPr>
            </w:pPr>
          </w:p>
        </w:tc>
        <w:tc>
          <w:tcPr>
            <w:tcW w:w="2180" w:type="dxa"/>
            <w:vAlign w:val="bottom"/>
            <w:gridSpan w:val="3"/>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87</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7"/>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Other Information</w:t>
              </w:r>
            </w:hyperlink>
          </w:p>
        </w:tc>
        <w:tc>
          <w:tcPr>
            <w:tcW w:w="6880" w:type="dxa"/>
            <w:vAlign w:val="bottom"/>
            <w:gridSpan w:val="13"/>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87</w:t>
              </w:r>
            </w:hyperlink>
          </w:p>
        </w:tc>
        <w:tc>
          <w:tcPr>
            <w:tcW w:w="0" w:type="dxa"/>
            <w:vAlign w:val="bottom"/>
          </w:tcPr>
          <w:p>
            <w:pPr>
              <w:spacing w:after="0"/>
              <w:rPr>
                <w:sz w:val="1"/>
                <w:szCs w:val="1"/>
                <w:color w:val="auto"/>
              </w:rPr>
            </w:pPr>
          </w:p>
        </w:tc>
      </w:tr>
      <w:tr>
        <w:trPr>
          <w:trHeight w:val="615"/>
        </w:trPr>
        <w:tc>
          <w:tcPr>
            <w:tcW w:w="17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8"/>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640" w:type="dxa"/>
            <w:vAlign w:val="bottom"/>
            <w:gridSpan w:val="20"/>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Directors, Executive Officers and Corporate Governance</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88</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8"/>
          </w:tcPr>
          <w:p>
            <w:pPr>
              <w:spacing w:after="0"/>
              <w:rPr>
                <w:rFonts w:ascii="Times New Roman" w:cs="Times New Roman" w:eastAsia="Times New Roman" w:hAnsi="Times New Roman"/>
                <w:sz w:val="18"/>
                <w:szCs w:val="18"/>
                <w:color w:val="0000EE"/>
                <w:w w:val="98"/>
              </w:rPr>
            </w:pPr>
            <w:hyperlink w:anchor="page90">
              <w:r>
                <w:rPr>
                  <w:rFonts w:ascii="Times New Roman" w:cs="Times New Roman" w:eastAsia="Times New Roman" w:hAnsi="Times New Roman"/>
                  <w:sz w:val="18"/>
                  <w:szCs w:val="18"/>
                  <w:color w:val="0000EE"/>
                  <w:w w:val="98"/>
                </w:rPr>
                <w:t>Executive Compensation</w:t>
              </w:r>
            </w:hyperlink>
          </w:p>
        </w:tc>
        <w:tc>
          <w:tcPr>
            <w:tcW w:w="2280" w:type="dxa"/>
            <w:vAlign w:val="bottom"/>
            <w:gridSpan w:val="5"/>
          </w:tcPr>
          <w:p>
            <w:pPr>
              <w:spacing w:after="0"/>
              <w:rPr>
                <w:sz w:val="24"/>
                <w:szCs w:val="24"/>
                <w:color w:val="auto"/>
              </w:rPr>
            </w:pPr>
          </w:p>
        </w:tc>
        <w:tc>
          <w:tcPr>
            <w:tcW w:w="4560" w:type="dxa"/>
            <w:vAlign w:val="bottom"/>
            <w:gridSpan w:val="7"/>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88</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640" w:type="dxa"/>
            <w:vAlign w:val="bottom"/>
            <w:gridSpan w:val="20"/>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89</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00" w:type="dxa"/>
            <w:vAlign w:val="bottom"/>
            <w:gridSpan w:val="15"/>
          </w:tcPr>
          <w:p>
            <w:pPr>
              <w:spacing w:after="0"/>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Certain Relationships and Related Transactions and Director Independence</w:t>
              </w:r>
            </w:hyperlink>
          </w:p>
        </w:tc>
        <w:tc>
          <w:tcPr>
            <w:tcW w:w="188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89</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15"/>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Principal Accounting Fees and Services</w:t>
              </w:r>
            </w:hyperlink>
          </w:p>
        </w:tc>
        <w:tc>
          <w:tcPr>
            <w:tcW w:w="3240" w:type="dxa"/>
            <w:vAlign w:val="bottom"/>
            <w:gridSpan w:val="5"/>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89</w:t>
              </w:r>
            </w:hyperlink>
          </w:p>
        </w:tc>
        <w:tc>
          <w:tcPr>
            <w:tcW w:w="0" w:type="dxa"/>
            <w:vAlign w:val="bottom"/>
          </w:tcPr>
          <w:p>
            <w:pPr>
              <w:spacing w:after="0"/>
              <w:rPr>
                <w:sz w:val="1"/>
                <w:szCs w:val="1"/>
                <w:color w:val="auto"/>
              </w:rPr>
            </w:pPr>
          </w:p>
        </w:tc>
      </w:tr>
      <w:tr>
        <w:trPr>
          <w:trHeight w:val="615"/>
        </w:trPr>
        <w:tc>
          <w:tcPr>
            <w:tcW w:w="17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8"/>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640" w:type="dxa"/>
            <w:vAlign w:val="bottom"/>
            <w:gridSpan w:val="20"/>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Exhibits and Financial Statement Schedules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90</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140" w:type="dxa"/>
            <w:vAlign w:val="bottom"/>
            <w:gridSpan w:val="11"/>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Form 10-K Summary</w:t>
              </w:r>
            </w:hyperlink>
          </w:p>
        </w:tc>
        <w:tc>
          <w:tcPr>
            <w:tcW w:w="5500" w:type="dxa"/>
            <w:vAlign w:val="bottom"/>
            <w:gridSpan w:val="9"/>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90</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20" w:type="dxa"/>
            <w:vAlign w:val="bottom"/>
          </w:tcPr>
          <w:p>
            <w:pPr>
              <w:spacing w:after="0"/>
              <w:rPr>
                <w:sz w:val="24"/>
                <w:szCs w:val="24"/>
                <w:color w:val="auto"/>
              </w:rPr>
            </w:pPr>
          </w:p>
        </w:tc>
        <w:tc>
          <w:tcPr>
            <w:tcW w:w="720" w:type="dxa"/>
            <w:vAlign w:val="bottom"/>
            <w:gridSpan w:val="2"/>
          </w:tcPr>
          <w:p>
            <w:pPr>
              <w:spacing w:after="0"/>
              <w:rPr>
                <w:rFonts w:ascii="Times New Roman" w:cs="Times New Roman" w:eastAsia="Times New Roman" w:hAnsi="Times New Roman"/>
                <w:sz w:val="18"/>
                <w:szCs w:val="18"/>
                <w:color w:val="0000EE"/>
                <w:w w:val="89"/>
              </w:rPr>
            </w:pPr>
            <w:hyperlink w:anchor="page97">
              <w:r>
                <w:rPr>
                  <w:rFonts w:ascii="Times New Roman" w:cs="Times New Roman" w:eastAsia="Times New Roman" w:hAnsi="Times New Roman"/>
                  <w:sz w:val="18"/>
                  <w:szCs w:val="18"/>
                  <w:color w:val="0000EE"/>
                  <w:w w:val="89"/>
                </w:rPr>
                <w:t>Signatures</w:t>
              </w:r>
            </w:hyperlink>
          </w:p>
        </w:tc>
        <w:tc>
          <w:tcPr>
            <w:tcW w:w="820" w:type="dxa"/>
            <w:vAlign w:val="bottom"/>
            <w:gridSpan w:val="3"/>
          </w:tcPr>
          <w:p>
            <w:pPr>
              <w:spacing w:after="0"/>
              <w:rPr>
                <w:sz w:val="24"/>
                <w:szCs w:val="24"/>
                <w:color w:val="auto"/>
              </w:rPr>
            </w:pPr>
          </w:p>
        </w:tc>
        <w:tc>
          <w:tcPr>
            <w:tcW w:w="7100" w:type="dxa"/>
            <w:vAlign w:val="bottom"/>
            <w:gridSpan w:val="15"/>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95</w:t>
              </w:r>
            </w:hyperlink>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Pentair plc is a focused diversified industrial manufacturing company comprising two reporting segments: Water and Electrical. Water designs, manufactures, markets and services innovative products and solutions to meet filtration, separation, flow and water management challenges in agriculture, aquaculture, foodservice, food and beverage processing, swimming pools, water supply and disposal and a variety of industrial applications. Electrical designs, manufactures, markets, installs and services high performance products and solutions that connect and protect some of the world's most sensitive equipment, buildings and critical processes.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strategy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is to drive sustainable, profitable growth and return on invested capital improvements through:</w:t>
      </w:r>
    </w:p>
    <w:p>
      <w:pPr>
        <w:spacing w:after="0" w:line="153" w:lineRule="exact"/>
        <w:rPr>
          <w:sz w:val="20"/>
          <w:szCs w:val="20"/>
          <w:color w:val="auto"/>
        </w:rPr>
      </w:pPr>
    </w:p>
    <w:p>
      <w:pPr>
        <w:ind w:left="660" w:right="5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operational excellence through the Pentair Integrated Management System ("PIMS") consisting of lean enterprise, growth and talent management;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long-term growth in sales, operating income and cash flows, through growth and productivity initiatives along with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and enhancing existing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penetrating attractive growth markets, particularly outside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multi-channel distribution;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managing our business portfolio for optimal value creation, including consideration of new business platforms.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the context otherwise indicates, references herein to "Pentair," the "Company," and such words as "we," "us," and "our" include Pentair plc and its consolidated subsidiaries. We are an Irish public limited company that was formed in 2014. We are the successor to Pentair Ltd., a Swiss corporation formed in 2012, and Pentair, Inc., a Minnesota corporation formed in 1966 and our wholly-owned subsidiary, under the Securities Exchange Act of 1934, as amended (the "Exchange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DEVELOPMENT</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December 2013, the Company's Board of Directors approved changing the Company's jurisdiction of organization from Switzerland to Ireland. At an extraordinary meeting of shareholders on May 20, 2014, Pentair Ltd. shareholders voted in favor of a reorganization proposal pursuant to which Pentair Ltd. would merge into Pentair plc and all Pentair Ltd. common shares would be cancelled and all holders of such shares would receive ordinary shares of Pentair plc on a one-to-one basis. The reorganization transaction was completed on June 3, 2014, at which time Pentair plc replaced Pentair Ltd. as the ultimate parent company (the "Redomicile"). Shares of Pentair plc began trading on the New York Stock Exchange ("NYSE") on June 3, 2014 under the symbol "PNR," the same symbol under which Pentair Ltd. shares were previously traded.</w:t>
      </w:r>
    </w:p>
    <w:p>
      <w:pPr>
        <w:spacing w:after="0" w:line="13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Although our jurisdiction of organization is Ireland, we manage our affairs so that we are centrally managed and controlled in the United Kingdom (the "U.K.") and therefore have our tax residency in the U.K.</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former parent company, Pentair Ltd., took its form on September 28, 2012 as a result of a reverse acquisition (the "Merger") involving Pentair, Inc. and an indirect, wholly-owned subsidiary of Flow Control (defined below), with Pentair, Inc. surviving as an indirect, wholly-owned subsidiary of ours. "Flow Control" refers to Pentair Ltd. prior to the Merger. Prior to the Merger, Tyco International Ltd. ("Tyco") engaged in an internal restructuring whereby it transferred to Flow Control certain assets related to the flow control business of Tyco, and Flow Control assumed from Tyco certain liabilities related to the flow control business of Tyco. On September 28, 2012 prior to the Merger, Tyco effected a spin-off of Flow Control through the pro-rata distribution of 100% of the outstanding ordinary shares of Flow Control to Tyco's shareholders (the "Distribution"), resulting in the distribution of approximately 110.9 million of our ordinary shares to Tyco's shareholders. The Merger was accounted for as a reverse acquisition under the purchase method of accounting with Pentair, Inc. treated as the acquirer.</w:t>
      </w:r>
    </w:p>
    <w:p>
      <w:pPr>
        <w:spacing w:after="0" w:line="13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September 18, 2015, we acquired, as part of Electrical, all of the outstanding shares of capital stock of ERICO Global Company ("ERICO") for approximately $1.8 billion in cash (the "ERICO Acquisition"). ERICO is a leading global manufacturer and marketer of engineered electrical and fastening products for electrical, mechanical and civil applications. ERICO has employees in 30 countries across the world with recognized brands including CADDY fixing, fastening and support products; ERICO electrical grounding, bonding and connectivity products and LENTON engineered systems.</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576" w:right="279" w:bottom="1440" w:gutter="0" w:footer="0" w:header="0"/>
        </w:sectPr>
      </w:pPr>
    </w:p>
    <w:bookmarkStart w:id="3" w:name="page4"/>
    <w:bookmarkEnd w:id="3"/>
    <w:p>
      <w:pPr>
        <w:ind w:right="60"/>
        <w:spacing w:after="0" w:line="289" w:lineRule="auto"/>
        <w:rPr>
          <w:sz w:val="20"/>
          <w:szCs w:val="20"/>
          <w:color w:val="auto"/>
        </w:rPr>
      </w:pPr>
      <w:r>
        <w:rPr>
          <w:rFonts w:ascii="Times New Roman" w:cs="Times New Roman" w:eastAsia="Times New Roman" w:hAnsi="Times New Roman"/>
          <w:sz w:val="17"/>
          <w:szCs w:val="17"/>
          <w:color w:val="auto"/>
        </w:rPr>
        <w:t>On April 28, 2017 we completed the sale of the Valves &amp; Controls business to Emerson Electric Co. for $3.15 billion in cash. The sale resulted in a gain of $181.1 million, net of tax. The results of the Valves &amp; Controls business have been presented as discontinued operations and the related assets and liabilities have been reclassified as held for sale for all periods presented. The Valves &amp; Controls business was previously disclosed as a stand-alone reporting segment.</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9, 2017, we announced that our Board of Directors approved a plan to separate our Water business and Electrical business into two independent, publicly-traded companies (the "Proposed Separation"). The Proposed Separation is expected to occur through a tax-free spin-off of the Electrical business to Pentair shareholders.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Completion of the Proposed Separation is subject to certain customary conditions, including, among other things, final approval of the transaction by Pentair's Board of Directors, receipt of tax opinions and rulings and effectiveness of appropriate filings with the U.S. Securities and Exchange Commission (the “SEC"). Upon completion of the Proposed Separation, it is anticipated that Electrical's jurisdiction of organization will be Ireland, but that it will manage its affairs so that it will be centrally managed and controlled in the United Kingdom (the "U.K.") and therefore will have its tax residency in the U.K.</w:t>
      </w:r>
    </w:p>
    <w:p>
      <w:pPr>
        <w:spacing w:after="0" w:line="12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targeting April 30, 2018 for the completion of the Proposed Separation; however, there can be no assurance regarding the ultimate timing of the Proposed Separation or that the Proposed Separation will be completed.</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registered principal office is located at 43 London Wall, London, EC2M 5TF, United Kingdom. Our management office in the United States ("U.S.") is located at 5500 Wayzata Boulevard, Suite 600, Minneapolis, Minnesota.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PRODUCTS</w:t>
      </w:r>
    </w:p>
    <w:p>
      <w:pPr>
        <w:spacing w:after="0" w:line="3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Reporting segment and geographical financial information is contained in ITEM 8, Note 16 of the Notes to Consolidated Financial Statements, included in this Form 10-K. The following is a brief description of each of the Company's reportable segments and business activities.</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first quarter of 2017, we reorganized our business segments to reflect a new operating structure, resulting in a change to our reporting segments. All prior period amounts related to the segment change have been retrospectively reclassified throughout this Annual Report on Form 10-K to conform to the new presentation. As part of this reorganization, the legacy Water Quality Systems business segment was combined with the legacy Flow &amp; Filtration Solutions business segment to form the Water reporting segment and now operates as a stand-alone business segment. In addition, the legacy Technical Solutions business segment was renamed the Electrical reporting segment.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w:t>
      </w:r>
    </w:p>
    <w:p>
      <w:pPr>
        <w:spacing w:after="0" w:line="3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Water segment designs, manufactures, markets and services innovative water solutions for the filtration, separation, flow and water management challenges in agriculture, foodservice, food and beverage processing, swimming pools, water supply and disposal and a variety of industrial applications.</w:t>
      </w:r>
    </w:p>
    <w:p>
      <w:pPr>
        <w:spacing w:after="0" w:line="12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Water provides a comprehensive portfolio of products and services to address customers’ needs for reliable and efficient movement and control of water and other fluids. This includes a full range of water treatment equipment including energy-efficient pumps, point-of-entry/point-of-use filtration, valves, UV sanitization and automation controls for residential and commercial applications, as well as engineered solutions in advanced filtration, desalination, water supply and disposal, process and control for industrial and infrastructure applications. We offer design and consulting services and our advanced water technologies are used across a wide number of industries including residential, commercial, foodservice, industrial, aquaculture, irrigation and flood control, wastewater and more. Our equipment and solutions are found in swimming pools and spas, water purification and sanitation systems, foodservice operations, food and beverage processing plants, wastewater treatment plants, flood control and storm water management facilities and in other applications across the globe.</w:t>
      </w:r>
    </w:p>
    <w:p>
      <w:pPr>
        <w:spacing w:after="0" w:line="29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Brand names for Water include Aurora, Berkeley, Codeline, Everpure, Fairbanks-Nijhuis, Kreepy Krauly, Haffmans, Hydromatic, Hypro, Pentair, Pentair Aquatic Eco-Systems, Sta-Rite, Shurflo, Südmo and X-Flow.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Water customers include businesses engaged in wholesale and retail distribution in the residential &amp; commercial, food &amp; beverage, infrastructure, and industrial verticals. Customers also include end-user and consumers in the residential &amp; commercial vertical as well as engineering procurement contractors, and original equipment manufacturers.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experience increased demand for residential water supply and pool equipment products, infrastructure and agricultural products following warm weather trends, which are at season highs from April to August. The magnitude of the sales increase is mitigated by employing some advance sale “early buy” programs (generally including extended payment terms and/or</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580" w:right="259" w:bottom="1440" w:gutter="0" w:footer="0" w:header="0"/>
        </w:sectPr>
      </w:pPr>
    </w:p>
    <w:bookmarkStart w:id="4" w:name="page5"/>
    <w:bookmarkEnd w:id="4"/>
    <w:p>
      <w:pPr>
        <w:ind w:right="320"/>
        <w:spacing w:after="0" w:line="282" w:lineRule="auto"/>
        <w:rPr>
          <w:sz w:val="20"/>
          <w:szCs w:val="20"/>
          <w:color w:val="auto"/>
        </w:rPr>
      </w:pPr>
      <w:r>
        <w:rPr>
          <w:rFonts w:ascii="Times New Roman" w:cs="Times New Roman" w:eastAsia="Times New Roman" w:hAnsi="Times New Roman"/>
          <w:sz w:val="18"/>
          <w:szCs w:val="18"/>
          <w:color w:val="auto"/>
        </w:rPr>
        <w:t>additional discounts). Seasonal effects may vary from year to year and are impacted by weather patterns, particularly by temperatures, heavy flooding and droughts.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3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Water faces numerous domestic and international competitors, some of which have substantially greater resources directed to the verticals in which we compete. Competition focuses on brand names, product performance (including energy-efficient offerings and required specifications), quality, service and price. We compete by offering a wide variety of innovative and high-quality products, which are competitively priced. We believe our distribution channels and reputation for quality also provide us a competitive advantage.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Electrical</w:t>
      </w:r>
    </w:p>
    <w:p>
      <w:pPr>
        <w:spacing w:after="0" w:line="3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Electrical segment designs, manufactures, markets, installs and services high performance products and solutions that connect and protect some of the world's most sensitive equipment, buildings and critical processes.</w:t>
      </w:r>
    </w:p>
    <w:p>
      <w:pPr>
        <w:spacing w:after="0" w:line="12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Electrical products include mild steel, stainless steel, aluminum and non-metallic enclosures, cabinets, cases, subracks, backplanes, engineered fastening solutions across a wide range of industries and verticals and thermal management systems including heat tracing, floor heating, fire-rated and specialty wiring, sensing, and snow melting and de-icing solutions for industrial, commercial and residential use.</w:t>
      </w:r>
    </w:p>
    <w:p>
      <w:pPr>
        <w:spacing w:after="0" w:line="122"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The portfolio of products serves a range of industries, including use in the commercial, communications, energy, electronics, industrial, infrastructure, medical, and security &amp; defense verticals. Brand names for Electrical offerings include CADDY, ERICO, Hoffman, LENTON, Raychem, Schroff and Tracer.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31"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Electrical customers include electrical distributors, data center contractors, original equipment manufacturers, greenfield development contractors and maintenance contractors. Electrical has a globally installed base of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3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Electrical generally experiences increased demand for thermal protection products and services during the fall and winter months in the Northern Hemisphere and increased demand for electrical fastening products during the spring and summer months in the Northern Hemisphere.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Within Electrical, the equipment protection business faces significant competition in the verticals it serves, particularly within the communications industry, where product design, prototyping, global supply, price competition and customer service are significant factors. The industries and verticals served by the thermal management business are highly fragmented, comprising local markets and niches. The industries and verticals served by the engineered fastening solutions business is relatively fragmented, with a small number of large competitors and a large number of smaller suppliers. We compete by offering a wide variety of innovative and compatible products, which are competitively priced.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ALL REPORTABLE SEGMENTS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Backlog of orders by segment</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4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Pr>
          <w:p>
            <w:pPr>
              <w:spacing w:after="0"/>
              <w:rPr>
                <w:sz w:val="21"/>
                <w:szCs w:val="21"/>
                <w:color w:val="auto"/>
              </w:rPr>
            </w:pPr>
          </w:p>
        </w:tc>
        <w:tc>
          <w:tcPr>
            <w:tcW w:w="13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34"/>
        </w:trPr>
        <w:tc>
          <w:tcPr>
            <w:tcW w:w="5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Water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31.1</w:t>
            </w:r>
          </w:p>
        </w:tc>
        <w:tc>
          <w:tcPr>
            <w:tcW w:w="14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Electrical</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3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14.1</w:t>
            </w:r>
          </w:p>
        </w:tc>
        <w:tc>
          <w:tcPr>
            <w:tcW w:w="14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5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45.2</w:t>
            </w:r>
          </w:p>
        </w:tc>
        <w:tc>
          <w:tcPr>
            <w:tcW w:w="14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5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substantial portion of our revenues result from orders received and products delivered in the same month. Our backlog typically has a short manufacturing cycle and products generally ship within 90 days of the date on which a customer places an order. However, a portion of our backlog, particularly from orders for major capital projects, can take more than one year depending on the size and type of order. We record as part of our backlog all orders from external customers, which represent firm commitments, and are supported by a purchase order or other legitimate contract. We expect the majority of our backlog at December 31, 2017 will be shipped in 2018.</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conduct research and development activities primarily in our own facilities. These efforts consist primarily of the development of new products, product applications and manufacturing processes. Research and development expenditures during 2017, 2016 and 2015 were $115.8 million, $114.1 million and $98.7 million,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principal materials we use in manufacturing our products are electric motors, mild steel, stainless steel, electronic components, plastics (resins, fiberglass, epoxies), copper and paint (powder and liquid). In addition to the purchase of raw materials, we purchase some finished goods for distribution through our sales channels.</w:t>
      </w:r>
    </w:p>
    <w:p>
      <w:pPr>
        <w:spacing w:after="0" w:line="1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purchase the materials we use in various manufacturing processes on the open market and the majority is available through multiple sources which are in adequate supply. We have not experienced any significant work stoppages to date due to shortages of materials. We have certain long-term commitments, principally price commitments, for the purchase of various component parts and raw materials and believe that it is unlikely that any of these agreements would be terminated prematurely. Alternate sources of supply at competitive prices are available for most materials for which long-term commitments exist and we believe that the termination of any of these commitments would not have a material adverse effect on our financial position, results of operations or cash flows.</w:t>
      </w:r>
    </w:p>
    <w:p>
      <w:pPr>
        <w:spacing w:after="0" w:line="1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commodities, such as metals and resin, are subject to market and duty-driven price fluctuations. We manage these fluctuations through several mechanisms, including long-term agreements with price adjustment clauses for significant commodity market movements in certain circumstances. Prices for raw materials, such as metals and resins, may trend higher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Patents, non-compete agreements, proprietary technologies, customer relationships, trademarks, trade names and brand names are important to our business. However, we do not regard our business as being materially dependent upon any single patent, non-compete agreement, proprietary technology, customer relationship, trademark, trade name or brand name.</w:t>
      </w:r>
    </w:p>
    <w:p>
      <w:pPr>
        <w:spacing w:after="0" w:line="13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Patents, patent applications and license agreements will expire or terminate over time by operation of law, in accordance with their terms or otherwise. We do not expect the termination of patents, patent applications or license agreements to have a material adverse effect on our financial position, results of operations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2017, we employed 18,400 people worldwide.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Captive insurance subsidiary</w:t>
      </w:r>
    </w:p>
    <w:p>
      <w:pPr>
        <w:spacing w:after="0" w:line="3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insure certain general and product liability, property, workers' compensation and automobile liability risks through our regulated wholly-owned captive insurance subsidiary, Penwald Insurance Company ("Penwald"). Reserves for policy claims are established based on actuarial projections of ultimate losses. Accruals with respect to liabilities insured by third parties, such as liabilities arising from acquired businesses, pre-Penwald liabilities and those of certain non-U.S. operations are established.</w:t>
      </w:r>
    </w:p>
    <w:p>
      <w:pPr>
        <w:spacing w:after="0" w:line="13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Matters pertaining to Penwald are discussed in ITEM 3 and ITEM 8, Note 1 of the Notes to Consolidated Financial Statements – Insurance subsidiary, included in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3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We make available free of charge (other than an investor's own Internet access charges) through our Internet website (</w:t>
      </w:r>
      <w:r>
        <w:rPr>
          <w:rFonts w:ascii="Times New Roman" w:cs="Times New Roman" w:eastAsia="Times New Roman" w:hAnsi="Times New Roman"/>
          <w:sz w:val="18"/>
          <w:szCs w:val="18"/>
          <w:u w:val="single" w:color="auto"/>
          <w:color w:val="auto"/>
        </w:rPr>
        <w:t>http://www.pentair.com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738" w:right="259" w:bottom="144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document and the following risk factors before making an investment decision regarding our securities. Any of the following risks could materially and adversely affect our business, financial condition, results of operations, cash flows and the actual outcome of matters as to which forward-looking statements are made in this document.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Proposed Separation of Our Water Business and Electrical Business by Spin-off</w:t>
      </w:r>
    </w:p>
    <w:p>
      <w:pPr>
        <w:spacing w:after="0" w:line="212" w:lineRule="exact"/>
        <w:rPr>
          <w:sz w:val="20"/>
          <w:szCs w:val="20"/>
          <w:color w:val="auto"/>
        </w:rPr>
      </w:pPr>
    </w:p>
    <w:p>
      <w:pPr>
        <w:ind w:right="6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proposed separation of our Water business and Electrical business is contingent upon the satisfaction of a number of conditions, may require significant time and attention of our management and may have an adverse effect on us whether or not it is completed.</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On May 9, 2017, we announced that our Board of Directors approved a plan to separate our Water business and Electrical business into two independent, publicly-traded companies through a spin-off. Completion of the spin-off will be contingent upon customary conditions, including obtaining final approval from our Board of Directors, receipt of tax opinions and rulings and effectiveness of appropriate filings with the SEC. In addition, the proposed spin-off is complex in nature and may be affected by unanticipated developments or changes in market conditions. For these and other reasons, the spin-off may not be completed on April 30, 2018, as we are targeting, if at all.</w:t>
      </w:r>
    </w:p>
    <w:p>
      <w:pPr>
        <w:spacing w:after="0" w:line="13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Whether or not we complete the spin-off, our ongoing businesses may be adversely affected and we may be subject to certain risks and consequences as a result of pursuing the spin-off, including the following:</w:t>
      </w:r>
    </w:p>
    <w:p>
      <w:pPr>
        <w:spacing w:after="0" w:line="108" w:lineRule="exact"/>
        <w:rPr>
          <w:sz w:val="20"/>
          <w:szCs w:val="20"/>
          <w:color w:val="auto"/>
        </w:rPr>
      </w:pPr>
    </w:p>
    <w:p>
      <w:pPr>
        <w:ind w:left="660" w:right="8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the proposed spin-off will require significant time and attention from management, which may distract management from the operation of our businesses and the execution of other initiatives that may have been beneficial to us;</w:t>
      </w:r>
    </w:p>
    <w:p>
      <w:pPr>
        <w:ind w:left="660" w:right="1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may also be distracted due to uncertainty about their future roles with each of the separate companies pending the completion of the spin-off;</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suppliers or customers may delay or defer decisions or may end their relationships with us;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certain costs and expenses relating to the spin-off, such as legal, accounting and other professional fees, whether or not it is completed; and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if we fail to complete the spin-off or fail to complete it on a timely basis.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have a material adverse effect on our business, financial condition, results of operations, cash flows and trading prices.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achieve some or all of the benefits that we expect to achieve from the spin-off.</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Although we believe that separating our Electrical business from our Water business by means of the spin-off will provide financial, operational, managerial and other benefits to us and our shareholders, the spin-off may not provide the results on the scope or on the scale we anticipate, and we may not realize any or all of the intended benefits. In addition, we will incur one-time costs and ongoing costs in connection with, or as a result of, the spin-off, including costs of operating as independent, publicly-traded companies that the two businesses will no longer be able to share. Those costs may exceed our estimates or could negate some of the benefits we expect to realize. If we do not realize the intended benefits or if our costs exceed our estimates, we could suffer a material adverse effect on the business, financial condition, results of operations, cash flows and trading prices.</w:t>
      </w:r>
    </w:p>
    <w:p>
      <w:pPr>
        <w:spacing w:after="0" w:line="132"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the proposed spin-off of our Electrical business is completed, the trading price of our ordinary shares will likely decline and may experience greater volatility.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the trading price of our ordinary shares immediately following the spin-off to be significantly lower than immediately prior to the spin-off because the trading price for our shares will no longer reflect the value of our Electrical business. In addition, until the market has fully analyzed our value without our Electrical business, the price of our shares may experience greater volatility.</w:t>
      </w:r>
    </w:p>
    <w:p>
      <w:pPr>
        <w:spacing w:after="0" w:line="13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the proposed spin-off is completed, our shares may not match some holders' investment strategies or meet minimum criteria for inclusion in stock market indices or portfolios, which could cause investors to sell their shares. Excessive selling pressure could cause the market price of our shares to decrease further following the completion of the proposed spin-off.</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576" w:right="259" w:bottom="1440" w:gutter="0" w:footer="0" w:header="0"/>
        </w:sectPr>
      </w:pPr>
    </w:p>
    <w:bookmarkStart w:id="7" w:name="page8"/>
    <w:bookmarkEnd w:id="7"/>
    <w:p>
      <w:pPr>
        <w:ind w:right="3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Following the spin-off, the value of our ordinary shares and the ordinary shares of the Electrical business that is spun off may collectively trade at an aggregate price less than that at which the Company's ordinary shares might trade had the spin-off not occurred.</w:t>
      </w:r>
    </w:p>
    <w:p>
      <w:pPr>
        <w:spacing w:after="0" w:line="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For a number of reasons, our ordinary shares and the ordinary shares of the Electrical business that is spun off that you may hold following the spin-off may collectively trade at a value less than the price at which our ordinary shares might have traded had the spin-off not occurred and we continued to own the Electrical business. These reasons include the future performance of either us or the Electrical business as separate, independent companies and the future shareholder base and market for our ordinary shares and the ordinary shares of the Electrical business and the prices at which these shares individually trade.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spin-off transaction could result in substantial tax liability to us and our shareholders.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spin-off is conditioned on our receipt of opinions of tax counsel and tax rulings from taxing authorities. However, these tax opinions will not be binding on taxing authorities. Accordingly, taxing authorities or the courts may reach conclusions with respect to the spin-off that are different from the conclusions reached in the opinions of counsel. Moreover, the opinions of counsel will be based on certain statements and representations made by us, which, if incomplete or inaccurate in any material respect, could invalidate the opinion of counsel. Additionally, certain internal restructuring transactions necessary to accomplish the spin-off may result in adverse tax consequences to us.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spin-off and certain related transactions were determined to be taxable, we could be subject to a substantial tax liability that could have a material adverse effect on our financial condition, results of operations and cash flows. In addition, if the spin-off were taxable, each holder of our ordinary shares who receives shares of the Electrical business in the spin-off would generally be treated as receiving a taxable distribution of property in an amount equal to the fair market value of the shares received.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global economic and business conditions affect demand for our products.</w:t>
      </w:r>
    </w:p>
    <w:p>
      <w:pPr>
        <w:spacing w:after="0" w:line="31"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We compete in various geographic regions and product markets around the world. Among these, the most significant are global industrial markets and residential markets. We have experienced, and expect to continue to experience, fluctuations in revenues and results of operations due to economic and business cycles. Important factors for our businesses and the businesses of our customers include the overall strength of the economy and our customers' confidence in the economy, industrial and governmental capital spending, the strength of the residential and commercial real estate markets, unemployment rates, availability of consumer and commercial financing, interest rates, and energy and commodity prices. The businesses of many of our industrial customers are to varying degrees cyclical and have experienced periodic downturns. While we attempt to minimize our exposure to economic or market fluctuations by serving a balanced mix of end markets and geographic regions, any of the above factors, individually or in the aggregate, or a significant or sustained downturn in a specific end market or geographic region could reduce demand for our products and services, which could have a material adverse effect on our business, financial condition, results of operations and cash flows.</w:t>
      </w:r>
    </w:p>
    <w:p>
      <w:pPr>
        <w:spacing w:after="0" w:line="29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compete in attractive markets with a high level of competition, which may result in pressure on our profit margins and limit our ability to maintain or increase the market share of our products.</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markets for our products and services are geographically diverse and highly competitive. We compete against large and well-established national and global companies, as well as regional and local companies and lower cost manufacturers. We compete based on technical expertise, reputation for quality and reliability, timeliness of delivery, previous installation history, contractual terms and price. Some of our competitors, in particular smaller companies, attempt to compete based primarily on price, localized expertise and local relationships, especially with respect to products and applications that do not require a great deal of engineering or technical expertise. In addition, during economic downturns average selling prices tend to decrease as market participants compete more aggressively on price. If we are unable to continue to differentiate our products, services and solutions, or if we are forced to cut prices or to incur additional costs to remain competitive, it could have a material adverse effect on our business, financial condition, results of operations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currency exchange rates could have a material adverse effect on our financial condition, results of operations and cash flows.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Sales outside of the U.S. for the year ended December 31, 2017 accounted for 40% of our net sales. Our financial statements reflect translation of items denominated in non-U.S. currencies to U.S. dollars. Therefore, if the U.S. dollar strengthens in relation to the principal non-U.S. currencies from which we derive revenue as compared to a prior period, our U.S. dollar reported revenue and income will effectively be decreased to the extent of the change in currency valuations, and vice-versa. Fluctuations in foreign currency exchange rates, most notably the strengthening of the U.S. dollar against the euro, could have a material adverse effect on our reported revenue in future periods. In addition, currency variations could have a material adverse effect on margins on sales of our products in countries outside of the U.S. and margins on sales of products that include components obtained from suppliers located outside of the U.S.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738" w:right="259" w:bottom="1440" w:gutter="0" w:footer="0" w:header="0"/>
        </w:sectPr>
      </w:pPr>
    </w:p>
    <w:bookmarkStart w:id="8" w:name="page9"/>
    <w:bookmarkEnd w:id="8"/>
    <w:p>
      <w:pPr>
        <w:ind w:right="3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future growth is dependent upon our ability to continue to adapt our products, services and organization to meet the demands of local markets in both developed and emerging economies and by developing or acquiring new technologies that achieve market acceptance with acceptable margins.</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operate in global markets that are characterized by customer demand that is often global in scope but localized in delivery. We compete with thousands of smaller regional and local companies that may be positioned to offer products produced at lower cost than ours, or to capitalize on highly localized relationships and knowledge that are difficult for us to replicate. Also, in several emerging markets potential customers prefer local suppliers, in some cases because of existing relationships and in other cases because of local legal restrictions or incentives that favor local businesses. Accordingly, our future success depends upon a number of factors, including our ability to adapt our products, services, organization, workforce and sales strategies to fit localities throughout the world, particularly in high growth emerging markets; identify emerging technological and other trends in our target end-markets; and develop or acquire competitive products and services and bring them to market quickly and cost-effectively. The failure to effectively adapt our products or services could have a material adverse effect on our business, financial condition, results of operations and cash flows.</w:t>
      </w:r>
    </w:p>
    <w:p>
      <w:pPr>
        <w:spacing w:after="0" w:line="130"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identify, finance and complete suitable acquisitions and investments, and any completed acquisitions and investments could be unsuccessful or consume significant resources.</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business strategy includes acquiring businesses and making investments that complement our existing businesses. We continue to analyze and evaluate the acquisition of strategic businesses or product lines with the potential to strengthen our industry position or enhance our existing set of product and service offerings. We may not be able to identify suitable acquisition candidates, obtain financing or have sufficient cash necessary for acquisitions or successfully complete acquisitions in the future or that completed acquisitions will be successful. Acquisitions and investments may involve significant cash expenditures, debt incurrences, equity issuances, operating losses and expenses. Acquisitions involve numerous other risks, including:</w:t>
      </w:r>
    </w:p>
    <w:p>
      <w:pPr>
        <w:spacing w:after="0" w:line="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attention from daily operations;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businesses, technologies and personnel into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and verifying the financial statements and other business information of acquired businesses;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required regulatory approvals;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key contractual relationships or key customers of acquired companies or of ours;</w:t>
      </w:r>
    </w:p>
    <w:p>
      <w:pPr>
        <w:spacing w:after="0" w:line="103" w:lineRule="exact"/>
        <w:rPr>
          <w:rFonts w:ascii="Times New Roman" w:cs="Times New Roman" w:eastAsia="Times New Roman" w:hAnsi="Times New Roman"/>
          <w:sz w:val="18"/>
          <w:szCs w:val="18"/>
          <w:color w:val="auto"/>
        </w:rPr>
      </w:pPr>
    </w:p>
    <w:p>
      <w:pPr>
        <w:ind w:left="660" w:right="580" w:hanging="328"/>
        <w:spacing w:after="0" w:line="3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the liabilities and exposure to unforeseen liabilities of acquired companies, including risks relating to the U.S. Foreign Corrupt Practices Act (the "FCPA"); and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of interests of holders of our shares through the issuance of equity securities or equity-linked securities.</w:t>
      </w:r>
    </w:p>
    <w:p>
      <w:pPr>
        <w:spacing w:after="0" w:line="26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It may be difficult for us to complete transactions quickly and to integrate acquired operations efficiently into our business operations. Any acquisitions or investments may not be successful and may ultimately result in impairment charges and have a material adverse effect on our business, financial condition, results of operations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some or all of the expected benefits of our business initiatives.</w:t>
      </w:r>
    </w:p>
    <w:p>
      <w:pPr>
        <w:spacing w:after="0" w:line="3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During 2017, 2016 and 2015, we initiated and continued execution of certain business initiatives aimed at reducing our fixed cost structure and realigning our business. As a result, we have incurred substantial expense, including restructuring charges. We may not be able to achieve the operating efficiencies to reduce costs or realize benefits that were anticipated in connection with these initiatives. If we are unable to execute these initiatives as planned, we may not realize all or any of the anticipated benefits, which could have a material adverse effect on our business, financial condition, results of operations and cash flows</w:t>
      </w:r>
      <w:r>
        <w:rPr>
          <w:rFonts w:ascii="Arial" w:cs="Arial" w:eastAsia="Arial" w:hAnsi="Arial"/>
          <w:sz w:val="19"/>
          <w:szCs w:val="19"/>
          <w:color w:val="auto"/>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political, regulatory, economic and other risks that arise from operating a multinational business.</w:t>
      </w:r>
    </w:p>
    <w:p>
      <w:pPr>
        <w:spacing w:after="0" w:line="31"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Sales outside of the U.S. for the year ended December 31, 2017 accounted for 40% of our net sales. Further, most of our businesses obtain some products, components and raw materials from non-U.S. suppliers. Accordingly, our business is subject to the political, regulatory, economic and other risks that are inherent in operating in numerous countries. These risks include:</w:t>
      </w:r>
    </w:p>
    <w:p>
      <w:pPr>
        <w:spacing w:after="0" w:line="2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political conditions in countries where we operate, particularly in emerging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more severe economic conditions in some international markets than in the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enforcing agreements and collecting receivables through non-U.S. legal systems;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communicating and monitoring standards and directives across our global facilities;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import or export licensing requirements and restrictions;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terrorist action affecting us or our operations;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38" w:right="239" w:bottom="1440" w:gutter="0" w:footer="0" w:header="0"/>
        </w:sectPr>
      </w:pPr>
    </w:p>
    <w:bookmarkStart w:id="9" w:name="page10"/>
    <w:bookmarkEnd w:id="9"/>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nationalization and expropriation;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exchange controls or other trade restrictions;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widespread operations in non-U.S. labor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treaties, laws or rulings that could have a material adverse impact on our effective tax rate;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repatriation of earnings;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protecting intellectual property in non-U.S. countries;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required compliance with a variety of non-U.S. laws and regulations.</w:t>
      </w:r>
    </w:p>
    <w:p>
      <w:pPr>
        <w:spacing w:after="0" w:line="21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anticipate and effectively manage these and other risks. We cannot assure you that these and other factors will not have a material adverse effect on our international operations or on our business as a whole.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cost and other inflation.</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past, we have experienced material cost and other inflation in a number of our businesses. We strive for productivity improvements and implement increases in selling prices to help mitigate cost increases in raw materials (especially metals and resins), energy and other costs such as pension, health care and insurance. We continue to implement operational initiatives in order to mitigate the impacts of this inflation and continuously reduce our costs. However, these actions may not be successful in managing our costs or increasing our productivity. Continued cost inflation or failure of our initiatives to generate cost savings or improve productivity could have a material adverse effect on our business, financial condition, results of operations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challenges may hinder our ability to develop, engineer and market our products.</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Patents, non-compete agreements, proprietary technologies, customer relationships, trademarks, trade names and brand names are important to our business. Intellectual property protection, however, may not preclude competitors from developing products similar to ours or from challenging our names or products. Our pending patent applications, and our pending copyright and trademark registration applications, may not be allowed or competitors may challenge the validity or scope of our patents, copyrights or trademarks. In addition, our patents, copyrights, trademarks and other intellectual property rights may not provide us a significant competitive advantage. Over the past few years, we have noticed an increasing tendency for participants in our markets to use challenges to intellectual property as a means to compete. Patent and trademark challenges increase our costs to develop, engineer and market our products. We may need to spend significant resources monitoring our intellectual property rights and we may or may not be able to detect infringement by third parties. If we fail to successfully enforce our intellectual property rights or register new patents, our competitive position could suffer, which could have a material adverse effect on our business, financial condition, results of operations and cash flows.</w:t>
      </w:r>
    </w:p>
    <w:p>
      <w:pPr>
        <w:spacing w:after="0" w:line="136"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goodwill and intangible assets and future impairment of our goodwill and intangible assets could have a material adverse effect on our results of operations.</w:t>
      </w:r>
    </w:p>
    <w:p>
      <w:pPr>
        <w:spacing w:after="0" w:line="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test goodwill and other indefinite-lived intangible assets for impairment on at least an annual basis, and more frequently if circumstances warrant, by comparing the estimated fair value of each of our reporting units to their respective carrying values on their balance sheets. As of December 31, 2017 our goodwill and intangible assets were $5,909.5 million and represented 68% of our total assets. Long-term declines in projected future cash flows could result in future goodwill and intangible asset impairment charges.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material disruption at any of our manufacturing facilities could cause us to be unable to meet customer demands or increase our costs.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operations at any of our manufacturing facilities were to be disrupted as a result of significant equipment failures, natural disasters, earthquakes, power outages, fires, explosions, terrorism, adverse weather conditions, labor disputes or other reasons, we may be unable to fill customer orders and otherwise meet customer demand for our products, which could have a material adverse effect our business, financial condition, results of operations and cash flows. Interruptions in production, in particular at our manufacturing facilities, could increase our costs and reduce our sales. Any interruption in production capability could require us to make substantial capital expenditures to fill customer orders. We maintain property damage insurance that we believe to be adequate to provide for reconstruction of facilities and equipment, as well as business interruption insurance to mitigate losses resulting from any production interruption or shutdown caused by an insured loss. However, any recovery under our insurance policies may not offset the lost sales or increased costs that may be experienced during the disruption of operations, which could have a material adverse effect our business, financial condition, results of operations and cash flows.</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634"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sales and weather conditions could have a material adverse effect on our financial results.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experience seasonal demand in a number of markets within both of our business segments. In Water, demand for residential water supply products, infrastructure, agricultural products and end-user demand for pool equipment in our primary markets follow warm weather trends and are at seasonal highs from April to August. The magnitude of the sales increase in Water is partially mitigated by employing some advance sale or "early buy" programs (generally including extended payment terms and/or additional discounts). Seasonal effects may vary from year to year and are impacted by weather patterns, particularly by temperatures, heavy flooding and droughts. Electrical generally experiences increased demand for thermal protection products and services during the fall and winter months in the Northern Hemisphere and increased demand for electrical fastening products during the spring and summer months in the Northern Hemisphere. Seasonality and weather conditions could have a material adverse effect on our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fluctuate significantly.</w:t>
      </w:r>
    </w:p>
    <w:p>
      <w:pPr>
        <w:spacing w:after="0" w:line="3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shares may trade. The market price of our shares may fluctuate widely, depending on many factors, some of which may be beyond our control, including:</w:t>
      </w:r>
    </w:p>
    <w:p>
      <w:pPr>
        <w:spacing w:after="0" w:line="1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factors related to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business strategy;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third-party financing as needed;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dispositions;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us or securities analysts or our ability to meet those estimates;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share price performance of other comparable companies;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other environmental disasters that investors believe may affect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any material litigation, including asbestos claims, government investigations or environmental liabilities;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other external factors.</w:t>
      </w:r>
    </w:p>
    <w:p>
      <w:pPr>
        <w:spacing w:after="0" w:line="21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Stock markets in general have experienced volatility that has often been unrelated to the operating performance of a particular company. These broad market fluctuations could have a material adverse effect on our share price.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Regulatory and Compliance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Violations of the U.S. Foreign Corrupt Practices Act and similar anti-corruption laws outside the U.S. could have a material adverse effect on us.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FCPA and similar anti-corruption laws in other jurisdictions generally prohibit companies and their intermediaries from making improper payments to government officials or other persons for the purpose of obtaining or retaining business. Recent years have seen a substantial increase in anti-bribery law enforcement activity, with more frequent and aggressive investigations and enforcement proceedings by both the U.S. Department of Justice and the SEC, increased enforcement activity by non-U.S. regulators and increases in criminal and civil proceedings brought against companies and individuals. Our policies mandate compliance with these anti-bribery laws. We operate in many parts of the world that are recognized as having governmental and commercial corruption and in certain circumstances, strict compliance with anti-bribery laws may conflict with local customs and practices. Because many of our customers and end users are involved in infrastructure construction and energy production, they are often subject to increased scrutiny by regulators. We cannot assure you that our internal control policies and procedures will always protect us from reckless or criminal acts committed by our employees or third-party intermediaries. In the event that we believe or have reason to believe that our employees or agents have or may have violated applicable anti-corruption laws, including the FCPA we may be required to investigate or have outside counsel investigate the relevant facts and circumstances, which can be expensive and require significant time and attention from senior management. Violations of these laws may require self-disclosure to government agencies and result in criminal or civil sanctions, which could disrupt our business and result in a material adverse effect on our reputation, business, financial condition, results of operations and cash flows.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738" w:right="259" w:bottom="1440" w:gutter="0" w:footer="0" w:header="0"/>
        </w:sectPr>
      </w:pPr>
    </w:p>
    <w:bookmarkStart w:id="11" w:name="page12"/>
    <w:bookmarkEnd w:id="11"/>
    <w:p>
      <w:pPr>
        <w:ind w:righ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failure to satisfy international trade compliance regulations, and changes in U.S. government sanctions, could have a material adverse effect on us. </w:t>
      </w:r>
      <w:r>
        <w:rPr>
          <w:rFonts w:ascii="Times New Roman" w:cs="Times New Roman" w:eastAsia="Times New Roman" w:hAnsi="Times New Roman"/>
          <w:sz w:val="18"/>
          <w:szCs w:val="18"/>
          <w:color w:val="auto"/>
        </w:rPr>
        <w:t>Our global operations require importing and exporting goods and technology across international borders on a regular basis. Certain of the products we manufacture are "dual use" products, which are products that may have both civil and military applications, or may otherwise be involved in weapons proliferation, and are often subject to more stringent export controls. From time to time, we obtain or receive information alleging improper activity in connection with imports or exports. Our policy mandates strict compliance with U.S. and non-U.S. trade laws applicable to our products. However, even when we are in strict compliance with law and our policies, we may suffer reputational damage if certain of our products are sold through various intermediaries to entities operating in sanctioned countries. When we receive information alleging improper activity, our policy is to investigate that information and respond appropriately, including, if warranted, reporting our findings to relevant government authorities. Nonetheless, our policies and procedures may not always protect us from actions that would violate U.S. and/or non-U.S. laws. Any improper actions could subject us to civil or criminal penalties, including material monetary fines, or other adverse actions including denial of import or export privileges, and could damage our reputation and business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administrative policy, including changes to existing trade agreements, could have a material adverse effect on us.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a result of changes to U.S. administrative policy, there may be changes to existing trade agreements, like the North American Free Trade Agreement, greater restrictions on free trade generally, significant increases in tariffs on goods imported into the U.S. particularly tariffs on products manufactured in Mexico, among other possible changes. Changes in U.S. social, political, regulatory and economic conditions or in laws and policies governing foreign trade, manufacturing, development and investment in the territories and countries where we currently manufacture and sell products, and any resulting negative sentiments towards the U.S. as a result of such changes, could have a material adverse effect on our business, financial condition, results of operations and cash flows.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potential environmental laws, liabilities and litigation.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subject to U.S. federal, state, local and non-U.S. laws and regulations governing our environmental practices, public and worker health and safety, and the indoor and outdoor environment. Compliance with these environmental, health and safety regulations could require us to satisfy environmental liabilities, increase the cost of manufacturing our products or otherwise have a material adverse effect on our business, financial condition, results of operations and cash flows. Any violations of these laws by us could cause us to incur unanticipated liabilities. We are also required to comply with various environmental laws and maintain permits, some of which are subject to renewal from time to time, for many of our businesses and we could suffer if we are unable to renew existing permits or to obtain any additional permits that we may require. Compliance with environmental requirements also could require significant operating or capital expenditures or result in significant operational restrictions. We cannot assure you that we have been or will be at all times in compliance with environmental and health and safety laws. If we violate these laws, we could be fined, criminally charged or otherwise sanctioned by regulators.</w:t>
      </w:r>
    </w:p>
    <w:p>
      <w:pPr>
        <w:spacing w:after="0" w:line="1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13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 The cost of clean-up and other environmental liabilities can be difficult to accurately predict. In addition, environmental requirements change and tend to become more stringent over time. Our eventual environmental clean-up costs and liabilities could exceed the amount of our current reserves.</w:t>
      </w:r>
    </w:p>
    <w:p>
      <w:pPr>
        <w:spacing w:after="0" w:line="13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subsidiaries are party to asbestos-related product litigation that could adversely affect our financial condition, results of operations and cash flows. </w:t>
      </w:r>
      <w:r>
        <w:rPr>
          <w:rFonts w:ascii="Times New Roman" w:cs="Times New Roman" w:eastAsia="Times New Roman" w:hAnsi="Times New Roman"/>
          <w:sz w:val="18"/>
          <w:szCs w:val="18"/>
          <w:color w:val="auto"/>
        </w:rPr>
        <w:t>Our subsidiaries, along with numerous other companies, are named as defendants in a substantial number of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 parties. Each case typically names between dozens to hundreds of corporate defendants. Historically, our subsidiaries have been identified as defendants in asbestos-related claims. We have experienced an increase in the number of asbestos-related lawsuits over the past several years, including lawsuits by plaintiffs</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738" w:right="259" w:bottom="1440" w:gutter="0" w:footer="0" w:header="0"/>
        </w:sectPr>
      </w:pPr>
    </w:p>
    <w:bookmarkStart w:id="12" w:name="page13"/>
    <w:bookmarkEnd w:id="12"/>
    <w:p>
      <w:pPr>
        <w:spacing w:after="0" w:line="256" w:lineRule="auto"/>
        <w:rPr>
          <w:sz w:val="20"/>
          <w:szCs w:val="20"/>
          <w:color w:val="auto"/>
        </w:rPr>
      </w:pPr>
      <w:r>
        <w:rPr>
          <w:rFonts w:ascii="Times New Roman" w:cs="Times New Roman" w:eastAsia="Times New Roman" w:hAnsi="Times New Roman"/>
          <w:sz w:val="18"/>
          <w:szCs w:val="18"/>
          <w:color w:val="auto"/>
        </w:rPr>
        <w:t>with mesothelioma-related claims. A large percentage of these suits have not presented viable legal claims and, as a result, have been dismissed or withdrawn. Our strategy has been, and continues to be, to mount a vigorous defense aimed at having unsubstantiated suits dismissed, and, only where appropriate, settling claims before trial. As of December 31, 2017, there were approximately 600 claims pending against our subsidiaries. We cannot predict with certainty the extent to which we will be successful in litigating or otherwise resolving lawsuits in the future and we continue to evaluate different strategies related to asbestos claims filed against us including entity restructuring and judicial relief. Unfavorable rulings, judgments or settlement terms could have a material adverse impact on our business and financial condition, results of operations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certain regulatory and financial risks related to climate change.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Climate change is receiving ever increasing attention worldwide. Many scientists, legislators and others attribute global warming to increased levels of greenhouse gases, which has led to significant legislative and regulatory efforts to limit greenhouse gas emissions. The U.S. Environmental Protection Agency ("EPA") has published findings that emissions of carbon dioxide, methane, and other greenhouse gases ("GHGs") present an endangerment to public health and the environment because emissions of such gases are, according to the EPA, contributing to the warming of the earth's atmosphere and other climate changes. Based on these findings, the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and/or the Paris Accord, and these and other existing international initiatives or those under consideration could affect our international operations. To the extent our customers, particularly our energy and industrial customers , are subject to any of these or other similar proposed or newly enacted laws and regulations, we are exposed to risks that the additional costs by customers to comply with such laws and regulations could impact their ability or desire to continue to operate at similar levels in certain jurisdictions as historically seen or as currently anticipated, which could negatively impact their demand for our products and services. These actions could also increase costs associated with our operations, including costs for raw materials and transportation. Because it is uncertain what laws will be enacted, we cannot predict the potential impact of such laws on our future financial condition, results of operations and cash flows.</w:t>
      </w:r>
    </w:p>
    <w:p>
      <w:pPr>
        <w:spacing w:after="0" w:line="13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Increased information technology security threats and computer crime pose a risk to our systems, networks, products and services, and we are exposed to potential regulatory, financial and reputational risks relating to the protection of our data.</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rely upon information technology systems and networks in connection with a variety of business activities, some of which are managed by third parties. Additionally, we collect and store data that is sensitive to Pentair and its employees, customers, dealers and suppliers. As our business increasingly interfaces with employees, customers, dealers and suppliers using information technology systems and networks, we are subject to an increased risk to the secure operation of these systems and networks and to additional laws and regulatory requirements regarding data privacy, including the European Union General Data Protection Regulation. The secure operation of these information technology systems and networks, and the processing and maintenance of this data is critical to our business operations and strategy. Information technology security threats -- from user error to attacks designed to gain unauthorized access to our systems, networks and data -- are increasing in frequency and sophistication. Attacks may range from random attempts to coordinated and targeted attacks, including sophisticated computer crime and advanced persistent threats. These threats pose a risk to the security of our systems and networks and the confidentiality, availability and integrity of the data we process and maintain. Establishing systems and processes to address these threats and changes in legal requirements relating to data collection and storage may increase our costs. We have experienced data breaches, and, although we have determined such data breaches to be immaterial and such data breaches have not had a material adverse effect on our financial condition, results of operations or cash flows, there can be no assurance of similar results in the future. Should future attacks succeed in the theft of assets, exporting sensitive data or financial information or controlling sensitive systems or networks, it could expose us and our employees, customers, dealers and suppliers to the theft of assets, misuse of information or systems, the compromising of confidential information, manipulation and destruction of data, defective products, production downtimes and operations disruptions, and breach of privacy, which may require notification under data privacy and other applicable laws. The occurrence of any of these events could have a material adverse effect on our reputation, business, financial condition, results of operations and cash flows. In addition, such breaches in security could result in litigation, regulatory action and potential liability and the costs and operational consequences of implementing further data protection measures.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580"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litigation, including product liability claims.</w:t>
      </w:r>
    </w:p>
    <w:p>
      <w:pPr>
        <w:spacing w:after="0" w:line="31"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color w:val="auto"/>
        </w:rPr>
        <w:t>Our businesses expose us to potential litigation, such as product liability claims relating to the design, manufacture and sale of our products. While we currently maintain what we believe to be suitable product liability insurance, we may not be able to maintain this insurance on acceptable terms and this insurance may not provide adequate protection against potential or previously existing liabilities. In addition, we self-insure a portion of product liability claims. Successful claims against us for significant amounts could have a material adverse effect on our product reputation, business, financial condition, results of operations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share responsibility for certain income tax liabilities for tax periods prior to and including the date of the Distribution.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Distribution, we entered into a tax sharing agreement (the "2012 Tax Sharing Agreement") with Tyco (now known as Johnson Controls International plc, "Johnson Controls") and The ADT Corporation ("ADT"), which governs the rights and obligations of ADT, Johnson Controls and us for certain pre-Distribution tax liabilities, including Johnson Controls' obligations under a separate tax sharing agreement (the "2007 Tax Sharing Agreement") entered into by Johnson Controls, Covidien Ltd. (now known as Medtronic plc, "Medtronic") and TE Connectivity Ltd. ("TE Connectivity") in connection with the 2007 distributions of Medtronic and TE Connectivity by Johnson Controls.</w:t>
      </w:r>
    </w:p>
    <w:p>
      <w:pPr>
        <w:spacing w:after="0" w:line="30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2012 Tax Sharing Agreement provides that we, Johnson Controls and ADT will share (i) certain pre-Distribution income tax liabilities that arise from adjustments made by tax authorities to our, Johnson Controls' and ADT's U.S. income tax returns, including withholding tax, income tax, or other tax liabilities that could arise if the Merger, Distribution or certain internal transactions undertaken in anticipation of the Distribution are determined to be taxable for U.S. federal or Swiss tax purposes, and (ii) payments required to be made by Johnson Controls with respect to the 2007 Tax Sharing Agreement (the liabilities in clauses (i) and (ii) collectively, "Shared Tax Liabilities"). Johnson Controls is responsible for the first $500 million of Shared Tax Liabilities. As of December 31, 2017, Johnson Controls has paid $210.0 million of Shared Tax Liabilities. We and ADT will share 42% and 58%, respectively, of the next $225 million of Shared Tax Liabilities. We, ADT and Johnson Controls will share 20%, 27.5% and 52.5%, respectively, of Shared Tax Liabilities above $725 million. Costs and expenses associated with the management of Shared Tax Liabilities will generally be shared 20% by us, 27.5% by ADT and 52.5% by Johnson Controls. The ultimate resolution of these matters, and the impact of that resolution, are uncertain. To the extent we are responsible for any liability under the 2012 Tax Sharing Agreement, and indirectly the 2007 Tax Sharing Agreement, there could be a material adverse impact on our financial condition, results of operations, cash flows or our effective tax rate in future reporting periods.</w:t>
      </w:r>
    </w:p>
    <w:p>
      <w:pPr>
        <w:spacing w:after="0" w:line="1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under the terms of the 2012 Tax Sharing Agreement, in the event the Distribution, the ADT distribution, the internal transactions or the Merger were determined to be taxable as a result of actions taken after the Distribution by us, ADT or Johnson Controls, the party responsible for such failure would be responsible for all taxes imposed as a result thereof. If such failure is not the result of actions taken after the Distribution by us, ADT or Johnson Controls, then we, ADT and Johnson Controls would be responsible for any taxes imposed as a result of such determination in the same manner and in the same proportions as we, ADT and Johnson Controls are responsible for Shared Tax Liabilities. Such tax amounts could be significant.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Liquidity</w:t>
      </w:r>
    </w:p>
    <w:p>
      <w:pPr>
        <w:spacing w:after="0" w:line="171"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financial markets could adversely affect us, our customers and our suppliers by increasing funding costs or reducing availability of credit.</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the normal course of our business, we may access credit markets for general corporate purposes, which may include repayment of indebtedness, acquisitions, additions to working capital, repurchase of shares, capital expenditures and investments in our subsidiaries. Although we expect to have sufficient liquidity to meet our foreseeable needs, our access to and the cost of capital could be negatively impacted by disruptions in the credit markets, which have occurred in the past and made financing terms for borrowers unattractive or unavailable. These factors may make it more difficult or expensive for us to access credit markets if the need arises. In addition, these factors may make it more difficult for our suppliers to meet demand for their products or for prospective customers to commence new projects, as customers and suppliers may experience increased costs of debt financing or difficulties in obtaining debt financing. Disruptions in the financial markets have had adverse effects on other areas of the economy and have led to a slowdown in general economic activity that may continue to adversely affect our businesses. These disruptions may have other unknown adverse effects. One or more of these factors could adversely affect our business, financial condition, results of operations or cash flows.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debt instruments may adversely affect us.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credit agreements and indentures contain customary financial covenants, including those that limit the amount of our debt, which may restrict the operations of our business and our ability to incur additional debt to finance acquisitions. Our ability to meet the financial covenants can be affected by events beyond our control, and we cannot provide assurance that we will meet those tests. A breach of any of these covenants could result in a default under our credit agreements or indentures. Upon the occurrence of an event of default under any of our credit facilities or indentures, the lenders or trustees could elect to declare all</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738" w:right="259" w:bottom="1440" w:gutter="0" w:footer="0" w:header="0"/>
        </w:sectPr>
      </w:pPr>
    </w:p>
    <w:bookmarkStart w:id="14" w:name="page15"/>
    <w:bookmarkEnd w:id="14"/>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amounts outstanding thereunder to be immediately due and payable and, in the case of credit facility lenders, terminate all commitments to extend further credit. If the lenders or trustees accelerate the repayment of borrowings, we cannot provide assurance that we will have sufficient assets to repay our credit facilities and our other indebtedness. Furthermore, acceleration of any obligation under any of our material debt instruments will permit the holders of our other material debt to accelerate their obligations, which could have a material adverse effect on our financial condition.</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increase our debt or raise additional capital in the future, which could affect our financial condition, and may decrease our profitability. </w:t>
      </w:r>
      <w:r>
        <w:rPr>
          <w:rFonts w:ascii="Times New Roman" w:cs="Times New Roman" w:eastAsia="Times New Roman" w:hAnsi="Times New Roman"/>
          <w:sz w:val="18"/>
          <w:szCs w:val="18"/>
          <w:color w:val="auto"/>
        </w:rPr>
        <w:t>As of December 31, 2017, we had $1.4 billion of total debt outstanding. We may increase our debt or raise additional capital in the future, subject to restrictions in our debt agreements. If our cash flow from operations is less than we anticipate, if our cash requirements are more than we expect, or if we intend to finance acquisitions, we may require more financing. However, debt or equity financing may not be available to us on acceptable terms, if at all. If we incur additional debt or raise equity through the issuance of additional capital shares, the terms of the debt or capital shares issued may give the holders rights, preferences and privileges senior to those of holders of our ordinary shares, particularly in the event of liquidation. The terms of the debt may also impose additional and more stringent restrictions on our operations than we currently have. If we raise funds through the issuance of additional equity, the percentage ownership of existing shareholders in our company would decline. If we are unable to raise additional capital when needed, our financial condition could be adversely affected.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leverage could have a material adverse effect on our business, financial condition or results of operations.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including our existing debt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 If we are not able to repay or refinance our debt as it becomes due, we may be forced to sell assets or take other disadvantageous actions, including (i) reducing financing in the future for working capital, capital expenditures and general corporate purposes or (ii) dedicating an unsustainable level of our cash flow from operations to the payment of principal and interest on our indebtedness. The lenders who hold such debt could also accelerate amounts due, which could potentially trigger a default or acceleration of any of our other debt.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Jurisdiction of Incorporation in Ireland and Tax Residency in the U.K.</w:t>
      </w:r>
    </w:p>
    <w:p>
      <w:pPr>
        <w:spacing w:after="0" w:line="171"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changes in law and other factors that may not allow us to maintain a worldwide effective corporate tax rate that is competitive in our industry.</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While we believe that we should be able to maintain a worldwide effective corporate tax rate that is competitive in our industry, we cannot give any assurance as to what our effective tax rate will be in the future because of, among other things, uncertainty regarding tax policies of the jurisdictions where we operate. Also, the tax laws of the U.S., the U.K., Ireland and other jurisdictions could change in the future, and such changes could cause a material change in our worldwide effective corporate tax rate. In particular, legislative action could be taken by the U.S., the U.K., Ireland or the European Union which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as an Irish company to maintain tax residency in the U.K. and take advantage of the tax treaties among the U.S., the U.K. and Ireland, we could be subject to increased taxation, which could materially adversely affect our financial condition, results of operations, cash flows or our effective tax rate in future reporting periods.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residency could have a negative effect on our future profitability, and may trigger taxes on dividends or exit charges.</w:t>
      </w:r>
    </w:p>
    <w:p>
      <w:pPr>
        <w:spacing w:after="0" w:line="3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Under current Irish legislation, a company is regarded as resident for tax purposes in Ireland if it is centrally managed and controlled in Ireland, or, in certain circumstances, if it is incorporated in Ireland. Under current U.K. legislation, a company that is centrally managed and controlled in the U.K. is regarded as resident in the U.K. for taxation purposes unless it is treated as resident in another jurisdiction pursuant to any appropriate double tax treaty with the U.K. Other jurisdictions may also seek to assert taxing jurisdiction over Pentair.</w:t>
      </w:r>
    </w:p>
    <w:p>
      <w:pPr>
        <w:spacing w:after="0" w:line="18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Where a company is treated as tax resident under the domestic laws of both the U.K. and Ireland, article 4(3) of the Double Tax Convention between Ireland and the U.K. (the "residence tie-breaker") currently provides that the company shall be treated as resident only in one of those two jurisdictions if its place of effective management is situated in that jurisdiction.</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Organisation for Economic Co-operation and Development has proposed a number of measures relating to the tax treatment of multinationals, some of which are to be implemented by amending double tax treaties through a multilateral instrument (the "MLI"). The MLI has been signed by a number of countries, including Ireland and the U.K. The MLI allows signatories to opt into or out of certain changes: the effect for a given double tax convention depends on the options chosen by</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0" w:right="239" w:bottom="1440" w:gutter="0" w:footer="0" w:header="0"/>
        </w:sectPr>
      </w:pPr>
    </w:p>
    <w:bookmarkStart w:id="15" w:name="page16"/>
    <w:bookmarkEnd w:id="15"/>
    <w:p>
      <w:pPr>
        <w:ind w:right="20"/>
        <w:spacing w:after="0" w:line="258" w:lineRule="auto"/>
        <w:rPr>
          <w:sz w:val="20"/>
          <w:szCs w:val="20"/>
          <w:color w:val="auto"/>
        </w:rPr>
      </w:pPr>
      <w:r>
        <w:rPr>
          <w:rFonts w:ascii="Times New Roman" w:cs="Times New Roman" w:eastAsia="Times New Roman" w:hAnsi="Times New Roman"/>
          <w:sz w:val="18"/>
          <w:szCs w:val="18"/>
          <w:color w:val="auto"/>
        </w:rPr>
        <w:t>the two contracting states. Ireland and the U.K. have indicated they intend to change the residence tie-breaker so that it will depend on a ruling by the tax authorities of the two contracting states, instead of an objective application of the place of effective management test. Accordingly, if Ireland and the U.K. maintain their position and enough other countries ratify the MLI, the residence tie-breaker would be amended to depend on a determination by Irish Revenue Commissioners and the U.K. HM Revenue and Customs. It is not certain when this will take place nor what factors will be taken into account in making the determination, but we do not expect such a determination to alter our tax residency.</w:t>
      </w:r>
    </w:p>
    <w:p>
      <w:pPr>
        <w:spacing w:after="0" w:line="13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It is possible that in the future, whether as a result of a change in law (including the entry into force of the MLI or a change to the intention of Ireland or the U.K. in relation to the MLI) or the practice of any relevant tax authority or as a result of any change in the conduct of our affairs, we could become, or be regarded as having become, resident in a jurisdiction other than the U.K. If Pentair ceases to be resident in the U.K. and becomes resident in another jurisdiction, it may be subject to U.K. exit charges, and could become liable for additional tax charges in the other jurisdiction (including dividend withholding taxes or corporate income tax charges). If Pentair were to be treated as resident in more than one jurisdiction, it could be subject to taxation in multiple jurisdictions. If, for example, Pentair were considered to be a tax resident of Ireland, we could become liable for Irish corporation tax and any dividends paid by it could be subject to Irish dividend withholding tax.</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law differs from the laws in effect in the United States and may afford less protection to holders of our securities.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3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our ordinary shares may be subject to Irish stamp duty.</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Transfers of our ordinary shares effected by means of the transfer of book entry interests in the Depository Trust Company ("DTC") will not be subject to Irish stamp duty. However, if you hold your ordinary shares directly rather than beneficially through DTC, any transfer of your ordinary shares could be subject to Irish stamp duty (currently at the rate of 1 percent of the higher of the price paid or the market value of the shares acquired). Payment of Irish stamp duty is generally a legal obligation of the transferee.</w:t>
      </w:r>
    </w:p>
    <w:p>
      <w:pPr>
        <w:spacing w:after="0" w:line="13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We currently intend to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of association provide that, in the event of any such payment, we (i) may seek reimbursement from the buyer,</w:t>
      </w:r>
    </w:p>
    <w:p>
      <w:pPr>
        <w:spacing w:after="0" w:line="2" w:lineRule="exact"/>
        <w:rPr>
          <w:sz w:val="20"/>
          <w:szCs w:val="20"/>
          <w:color w:val="auto"/>
        </w:rPr>
      </w:pPr>
    </w:p>
    <w:p>
      <w:pPr>
        <w:ind w:right="20" w:firstLine="8"/>
        <w:spacing w:after="0" w:line="255"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a lien against the shares acquired by such buyer and any dividends paid on such shares and (iii) may set-off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ordinary shares, received by means of a gift or inheritance could be subject to Irish capital acquisitions tax.</w:t>
      </w:r>
    </w:p>
    <w:p>
      <w:pPr>
        <w:spacing w:after="0" w:line="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Irish capital acquisitions tax ("CAT") could apply to a gift or inheritance of our ordinary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are exempt from CAT. Children have a tax-free threshold of €310,000 per lifetime in respect of taxable gifts or inheritances received from their parents for periods on or after October 12, 2016.</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principal office is located in leased premises in London, United Kingdom, and our management office in the United States is located in leased premises in Minneapolis, Minnesota. Our operations are conducted in facilities throughout the world. These facilities house manufacturing and distribution operations, as well as sales and marketing, engineering and administrative offices.</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carry out our Water manufacturing operations at 21 plants located throughout the United States and at 27 plants located in 14 other countries. In addition, Water has 33 distribution facilities, 48 sales offices and 11 service centers located in numerous countries throughout the world.</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carry out our Electrical manufacturing operations at 8 plants located throughout the United States and at 13 plants located in 11 other countries. In addition, Electrical has 24 distribution facilities, 53 sales offices and 2 service centers located in numerous countries throughout the world.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production facilities are suitable for their purpose and are adequate to support our businesses.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been made parties to a number of actions filed or have been given notice of potential claims relating to the conduct of our business, including those pertaining to commercial disputes, product liability, asbestos, environmental, safety and health, patent infringement and employment matters.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matters</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Our subsidiaries and numerous other unaffiliated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dozens to hundreds of corporate defendants. While we have observed an increase in the number of these lawsuits over the past several years, including lawsuits by plaintiffs with mesothelioma-related claims, a large percentage of these suits have not presented viable legal claims and, as a result, have been dismissed by the courts.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21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December 31, 2017, there were approximately 600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2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76" w:right="239" w:bottom="1440" w:gutter="0" w:footer="0" w:header="0"/>
        </w:sectPr>
      </w:pPr>
    </w:p>
    <w:bookmarkStart w:id="17" w:name="page18"/>
    <w:bookmarkEnd w:id="17"/>
    <w:p>
      <w:pPr>
        <w:spacing w:after="0" w:line="255" w:lineRule="auto"/>
        <w:rPr>
          <w:sz w:val="20"/>
          <w:szCs w:val="20"/>
          <w:color w:val="auto"/>
        </w:rPr>
      </w:pPr>
      <w:r>
        <w:rPr>
          <w:rFonts w:ascii="Times New Roman" w:cs="Times New Roman" w:eastAsia="Times New Roman" w:hAnsi="Times New Roman"/>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December 31, 2017, our recorded reserves for environmental matters were not material. We do not anticipate our remaining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are subject to various product liability lawsuits and personal injury claims. A substantial number of these lawsuits and claims are insured and accrued for by Penwald, our captive insurance subsidiary. See discussion in ITEM 1 and ITEM 8, Note 1 of the Notes to Consolidated Financial Statements —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661" w:right="239" w:bottom="1440" w:gutter="0" w:footer="0" w:header="0"/>
        </w:sectPr>
      </w:pPr>
    </w:p>
    <w:bookmarkStart w:id="18" w:name="page19"/>
    <w:bookmarkEnd w:id="18"/>
    <w:p>
      <w:pPr>
        <w:ind w:left="3720"/>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executive officers of Pentair plc, their ages, current position and their business experience during at least the past five years are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Age</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Position and Business Experience</w:t>
            </w:r>
          </w:p>
        </w:tc>
      </w:tr>
      <w:tr>
        <w:trPr>
          <w:trHeight w:val="20"/>
        </w:trPr>
        <w:tc>
          <w:tcPr>
            <w:tcW w:w="4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7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Randall J. Hogan</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since 2001 and Chairman of the Board since 2002; President and Chief Operating Officer,</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1999 — 2000; Executive Vice President and President of Pentair's Electrical and Electronic Enclosures Group,</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1998 — 1999; United Technologies Carrier Transicold President, 1995 — 1997; Pratt &amp; Whitney Industrial Turbines</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General Manager, 1994 — 1995; General Electric various executive positions, 1988 — 1994;</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McKinsey &amp; Company consultant, 1981 — 1987. It is expected that Mr. Hogan will retire from his positions as</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Chief Executive Officer of the Company and become the Chairman of nVent Electric plc, effective</w:t>
            </w:r>
          </w:p>
        </w:tc>
      </w:tr>
      <w:tr>
        <w:trPr>
          <w:trHeight w:val="234"/>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the completion of the Proposed Separation.</w:t>
            </w:r>
          </w:p>
        </w:tc>
      </w:tr>
      <w:tr>
        <w:trPr>
          <w:trHeight w:val="25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L. Stauch</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 since 2007; Chief Financial Officer of the Automation and</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 Systems unit of Honeywell International Inc., 2005 — 2007; Vice President, Finance and Chief Financial</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of the Sensing and Controls unit of Honeywell International Inc., 2004 — 2005; Vice President, Finance and</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of the Automation &amp; Control Products unit of Honeywell International Inc., 2002 — 2004;</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IT Director of PerkinElmer Optoelectronics, a unit of PerkinElmer, Inc., 2000 — 2002;</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Various executive, investor relations and managerial finance positions with Honeywell International Inc. and its</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predecessor AlliedSignal Inc., 1994 — 2000. It is expected that Mr. Stauch will become the Company’s Chief</w:t>
            </w:r>
          </w:p>
        </w:tc>
      </w:tr>
      <w:tr>
        <w:trPr>
          <w:trHeight w:val="234"/>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 effective upon the completion of the Proposed Separation.</w:t>
            </w:r>
          </w:p>
        </w:tc>
      </w:tr>
      <w:tr>
        <w:trPr>
          <w:trHeight w:val="25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Angela D. Jilek</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 since 2010; Assistant General Counsel, 2002 — 2010;</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and Officer of the law firm of Henson &amp; Efron, P.A., 2000 — 2002; Associate Attorney in the law firm</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of Henson &amp; Efron, P.A. 1996 — 2000 and in the law firm of Felhaber Larson Fenlon &amp; Vogt, P.A., 1992 — 1996. It</w:t>
            </w:r>
          </w:p>
        </w:tc>
      </w:tr>
      <w:tr>
        <w:trPr>
          <w:trHeight w:val="234"/>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 expected that Ms. Jilek will retire from the Company effective May 1, 2018.</w:t>
            </w:r>
          </w:p>
        </w:tc>
      </w:tr>
      <w:tr>
        <w:trPr>
          <w:trHeight w:val="25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H. Jacko</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Marketing Officer since 2017; Vice President and Chief Marketing Officer of</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Kennametal Corporation, 2007 — 2016; Senior Vice President and Chief Marketing Officer of Flowserve</w:t>
            </w:r>
          </w:p>
        </w:tc>
      </w:tr>
      <w:tr>
        <w:trPr>
          <w:trHeight w:val="230"/>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Corporation, 2002 — 2007; Vice President of Marketing and Customer Management of Flowserve Corporation, 2001</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2002; Various business leadership positions of Honeywell Aerospace, 1995 — 2001. It is expected that Mr. Jacko</w:t>
            </w:r>
          </w:p>
        </w:tc>
      </w:tr>
      <w:tr>
        <w:trPr>
          <w:trHeight w:val="234"/>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become the Company’s Chief Growth Officer, effective upon the completion of the Proposed Separation.</w:t>
            </w:r>
          </w:p>
        </w:tc>
      </w:tr>
      <w:tr>
        <w:trPr>
          <w:trHeight w:val="25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C. Borin</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 since 2008 and Treasurer since 2015; Partner in the audit</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practice of the public accounting firm KPMG LLP, 2000 — 2008; Various positions in the audit practice of KPMG</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LLP, 1989 — 2000. It is expected that Mr. Borin will become the Company’s Chief Financial Officer, effective upon</w:t>
            </w:r>
          </w:p>
        </w:tc>
      </w:tr>
      <w:tr>
        <w:trPr>
          <w:trHeight w:val="234"/>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completion of the Proposed Separation.</w:t>
            </w:r>
          </w:p>
        </w:tc>
      </w:tr>
      <w:tr>
        <w:trPr>
          <w:trHeight w:val="25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Karl R. Frykman</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Water segment since 2017; President, Water Quality Systems Global Business Unit, 2007 — 2016;</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Aquatic Systems' National Pool Tile group, 1998— 2007; Vice President of Operations for American</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Products, 1995 — 1998; Vice President of Anthony Pools, 1990 — 1995; Vice President of Poolsaver, 1988 — 1990.</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is expected that Mr. Frykman will become the Company’s Chief Operating Officer, effective upon the completion</w:t>
            </w:r>
          </w:p>
        </w:tc>
      </w:tr>
      <w:tr>
        <w:trPr>
          <w:trHeight w:val="234"/>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Proposed Separation.</w:t>
            </w:r>
          </w:p>
        </w:tc>
      </w:tr>
      <w:tr>
        <w:trPr>
          <w:trHeight w:val="25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Beth A. Wozniak</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President, Electrical segment since 2017; President, Flow &amp; Filtration Solutions Global Business Unit, 2015 — 2016;</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Environmental and Combustion Controls unit of Honeywell International Inc., 2011 — 2015; President</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Sensing and Controls unit of Honeywell International Inc., 2006 — 2011; Various leadership positions at</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Honeywell International Inc. and its predecessor AlliedSignal Inc., 1990 — 2006. It is expected that Ms. Wozniak</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resign from her position with the Company and become the Chief Executive Officer of nVent Electric plc,</w:t>
            </w:r>
          </w:p>
        </w:tc>
      </w:tr>
      <w:tr>
        <w:trPr>
          <w:trHeight w:val="234"/>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upon the completion of the Proposed Separation.</w:t>
            </w:r>
          </w:p>
        </w:tc>
      </w:tr>
      <w:tr>
        <w:trPr>
          <w:trHeight w:val="486"/>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4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17</w:t>
            </w:r>
          </w:p>
        </w:tc>
        <w:tc>
          <w:tcPr>
            <w:tcW w:w="5240" w:type="dxa"/>
            <w:vAlign w:val="bottom"/>
          </w:tcPr>
          <w:p>
            <w:pPr>
              <w:spacing w:after="0"/>
              <w:rPr>
                <w:sz w:val="24"/>
                <w:szCs w:val="24"/>
                <w:color w:val="auto"/>
              </w:rPr>
            </w:pPr>
          </w:p>
        </w:tc>
      </w:tr>
    </w:tbl>
    <w:p>
      <w:pPr>
        <w:sectPr>
          <w:pgSz w:w="11900" w:h="16838" w:orient="portrait"/>
          <w:cols w:equalWidth="0" w:num="1">
            <w:col w:w="11380"/>
          </w:cols>
          <w:pgMar w:left="240" w:top="576" w:right="27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ordinary shares are listed for trading on the New York Stock Exchange and trade under the symbol "PNR." As of December 31, 2017, there were 16,011 shareholders of record.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high, low and closing sales price for our ordinary shares and the dividends paid for each of the quarterly periods for 2017 and 2016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4"/>
        </w:trPr>
        <w:tc>
          <w:tcPr>
            <w:tcW w:w="2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2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80" w:type="dxa"/>
            <w:vAlign w:val="bottom"/>
          </w:tcPr>
          <w:p>
            <w:pPr>
              <w:spacing w:after="0"/>
              <w:rPr>
                <w:sz w:val="21"/>
                <w:szCs w:val="21"/>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2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22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8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4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Fourth</w:t>
            </w:r>
          </w:p>
        </w:tc>
      </w:tr>
      <w:tr>
        <w:trPr>
          <w:trHeight w:val="34"/>
        </w:trPr>
        <w:tc>
          <w:tcPr>
            <w:tcW w:w="2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64.39</w:t>
            </w: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Low</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53.80</w:t>
            </w:r>
          </w:p>
        </w:tc>
      </w:tr>
      <w:tr>
        <w:trPr>
          <w:trHeight w:val="27"/>
        </w:trPr>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56.07</w:t>
            </w: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0.345</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0.345</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0.345</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0.34</w:t>
            </w:r>
          </w:p>
        </w:tc>
      </w:tr>
    </w:tbl>
    <w:p>
      <w:pPr>
        <w:spacing w:after="0" w:line="171"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Pentair has paid 168 consecutive quarterly dividends. The Board of Directors has approved a plan to increase the dividend for 2018, which will mark the 42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consecutive year we have increased dividends.</w:t>
      </w:r>
    </w:p>
    <w:p>
      <w:pPr>
        <w:spacing w:after="0" w:line="1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Future dividends on our ordinary shares or reductions of share capital for distribution to shareholders, if any, must be approved by our Board of Directors for payment out of distributable reserves on our statutory balance sheet. We are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On July 22, 2014, the Irish High Court approved Pentair plc's conversion of approximately $14.4 billion of share premium to distributable reserves. On July 29, 2014, following the approval of the Irish High Court, we made the required filing of Pentair plc's initial accounts with the Irish Companies Registration Office, which completed the process to allow us to pay future cash dividends and redeem and repurchase shares out of Pentair plc's "distributable reserves." Our distributable reserve balance was $9.0 billion and $9.4 billion as of December 31, 2017 and 2016, respectively.</w:t>
      </w:r>
    </w:p>
    <w:p>
      <w:pPr>
        <w:spacing w:after="0" w:line="13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timing, declaration and payment of future dividends to holders of our ordinary shares will depend upon many factors, including our financial condition and results of operations, the capital requirements of our businesses, industry practice and any other relevant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 tax considerations</w:t>
      </w:r>
    </w:p>
    <w:p>
      <w:pPr>
        <w:spacing w:after="0" w:line="3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our jurisdiction of organization is Ireland, we manage our affairs so that we are centrally managed and controlled in the U.K. and therefore have our tax residency in the U.K.</w:t>
      </w:r>
    </w:p>
    <w:p>
      <w:pPr>
        <w:spacing w:after="0" w:line="1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a result of its U.K. tax status, dividend distributions by Pentair plc to its shareholders are not subject to withholding tax, as the U.K. currently does not levy a withholding tax on dividend distributions.</w:t>
      </w:r>
    </w:p>
    <w:p>
      <w:pPr>
        <w:spacing w:after="0" w:line="106"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See the discussion of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xml:space="preserve"> under "Liquidity and Capital Resources—Financing Activities" in ITEM 7 of this annual report on Form 10-K for additional information required by this item.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76"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Share Performance Graph</w:t>
      </w:r>
    </w:p>
    <w:p>
      <w:pPr>
        <w:spacing w:after="0" w:line="31"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The following information under the caption "Share Performance Graph" in this ITEM 5 of this Annual Report on Form 10-K is not deemed to be "soliciting material" or to be "filed" with the SEC or subject to Regulation 14A or 14C under the Securities Exchange Act of 1934, as amended (the "Exchange Act"), or to the liabilities of Section 18 of the Exchange Act and will not be deemed to be incorporated by reference into any filing under the Securities Act of 1933, as amended, or the Exchange Act, except to the extent we specifically incorporate it by reference into such a filing.</w:t>
      </w:r>
    </w:p>
    <w:p>
      <w:pPr>
        <w:spacing w:after="0" w:line="13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graph sets forth the cumulative total shareholder return on our ordinary shares for the last five years, assuming the investment of $100 on December 31, 2012 and the reinvestment of all dividends since that date to December 31, 2017. The graph also contains for comparison purposes the S&amp;P 500 Index and the S&amp;P 500 Industrials Index, assuming the same investment level and reinvestment of dividends.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By virtue of our market capitalization, we are a component of the S&amp;P 500 Index. On the basis of our size and diversity of businesses, we believe the S&amp;P 500 Industrials Index is an appropriate published industry index for comparison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182880</wp:posOffset>
            </wp:positionV>
            <wp:extent cx="5848985" cy="2804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Base Period</w:t>
            </w:r>
          </w:p>
        </w:tc>
        <w:tc>
          <w:tcPr>
            <w:tcW w:w="1420" w:type="dxa"/>
            <w:vAlign w:val="bottom"/>
          </w:tcPr>
          <w:p>
            <w:pPr>
              <w:spacing w:after="0"/>
              <w:rPr>
                <w:sz w:val="18"/>
                <w:szCs w:val="18"/>
                <w:color w:val="auto"/>
              </w:rPr>
            </w:pPr>
          </w:p>
        </w:tc>
        <w:tc>
          <w:tcPr>
            <w:tcW w:w="27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INDEXED RETURNS</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420" w:type="dxa"/>
            <w:vAlign w:val="bottom"/>
          </w:tcPr>
          <w:p>
            <w:pPr>
              <w:spacing w:after="0"/>
              <w:rPr>
                <w:sz w:val="20"/>
                <w:szCs w:val="20"/>
                <w:color w:val="auto"/>
              </w:rPr>
            </w:pPr>
          </w:p>
        </w:tc>
        <w:tc>
          <w:tcPr>
            <w:tcW w:w="27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Company / Index</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12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Pentair plc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160.70</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139.55</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106.31</w:t>
            </w:r>
          </w:p>
        </w:tc>
        <w:tc>
          <w:tcPr>
            <w:tcW w:w="10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123.32</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158.68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S&amp;P 500 Index</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Pr>
          <w:p>
            <w:pPr>
              <w:spacing w:after="0"/>
              <w:rPr>
                <w:sz w:val="21"/>
                <w:szCs w:val="21"/>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132.39</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150.51</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152.59</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170.84</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S&amp;P 500 Industrials Index</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131.64</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147.91</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152.19</w:t>
            </w:r>
          </w:p>
        </w:tc>
        <w:tc>
          <w:tcPr>
            <w:tcW w:w="10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167.59</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205.41</w:t>
            </w:r>
          </w:p>
        </w:tc>
        <w:tc>
          <w:tcPr>
            <w:tcW w:w="0" w:type="dxa"/>
            <w:vAlign w:val="bottom"/>
          </w:tcPr>
          <w:p>
            <w:pPr>
              <w:spacing w:after="0"/>
              <w:rPr>
                <w:sz w:val="1"/>
                <w:szCs w:val="1"/>
                <w:color w:val="auto"/>
              </w:rPr>
            </w:pPr>
          </w:p>
        </w:tc>
      </w:tr>
      <w:tr>
        <w:trPr>
          <w:trHeight w:val="459"/>
        </w:trPr>
        <w:tc>
          <w:tcPr>
            <w:tcW w:w="3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19</w:t>
            </w: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ordinary shares during the fourth quarter of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23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80" w:type="dxa"/>
            <w:vAlign w:val="bottom"/>
          </w:tcPr>
          <w:p>
            <w:pPr>
              <w:spacing w:after="0"/>
              <w:rPr>
                <w:sz w:val="20"/>
                <w:szCs w:val="20"/>
                <w:color w:val="auto"/>
              </w:rPr>
            </w:pPr>
          </w:p>
        </w:tc>
        <w:tc>
          <w:tcPr>
            <w:tcW w:w="16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48"/>
        </w:trPr>
        <w:tc>
          <w:tcPr>
            <w:tcW w:w="34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740" w:type="dxa"/>
            <w:vAlign w:val="bottom"/>
          </w:tcPr>
          <w:p>
            <w:pPr>
              <w:spacing w:after="0"/>
              <w:rPr>
                <w:sz w:val="21"/>
                <w:szCs w:val="21"/>
                <w:color w:val="auto"/>
              </w:rPr>
            </w:pPr>
          </w:p>
        </w:tc>
      </w:tr>
      <w:tr>
        <w:trPr>
          <w:trHeight w:val="216"/>
        </w:trPr>
        <w:tc>
          <w:tcPr>
            <w:tcW w:w="34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Dollar value</w:t>
            </w:r>
          </w:p>
        </w:tc>
      </w:tr>
      <w:tr>
        <w:trPr>
          <w:trHeight w:val="216"/>
        </w:trPr>
        <w:tc>
          <w:tcPr>
            <w:tcW w:w="34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purchased as</w:t>
            </w: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6"/>
        </w:trPr>
        <w:tc>
          <w:tcPr>
            <w:tcW w:w="34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6"/>
        </w:trPr>
        <w:tc>
          <w:tcPr>
            <w:tcW w:w="3460" w:type="dxa"/>
            <w:vAlign w:val="bottom"/>
          </w:tcPr>
          <w:p>
            <w:pPr>
              <w:spacing w:after="0"/>
              <w:rPr>
                <w:sz w:val="18"/>
                <w:szCs w:val="18"/>
                <w:color w:val="auto"/>
              </w:rPr>
            </w:pPr>
          </w:p>
        </w:tc>
        <w:tc>
          <w:tcPr>
            <w:tcW w:w="23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r>
      <w:tr>
        <w:trPr>
          <w:trHeight w:val="216"/>
        </w:trPr>
        <w:tc>
          <w:tcPr>
            <w:tcW w:w="3460" w:type="dxa"/>
            <w:vAlign w:val="bottom"/>
          </w:tcPr>
          <w:p>
            <w:pPr>
              <w:spacing w:after="0"/>
              <w:rPr>
                <w:sz w:val="18"/>
                <w:szCs w:val="18"/>
                <w:color w:val="auto"/>
              </w:rPr>
            </w:pPr>
          </w:p>
        </w:tc>
        <w:tc>
          <w:tcPr>
            <w:tcW w:w="23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80" w:type="dxa"/>
            <w:vAlign w:val="bottom"/>
          </w:tcPr>
          <w:p>
            <w:pPr>
              <w:spacing w:after="0"/>
              <w:rPr>
                <w:sz w:val="18"/>
                <w:szCs w:val="18"/>
                <w:color w:val="auto"/>
              </w:rPr>
            </w:pPr>
          </w:p>
        </w:tc>
        <w:tc>
          <w:tcPr>
            <w:tcW w:w="16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19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plans or</w:t>
            </w: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38"/>
        </w:trPr>
        <w:tc>
          <w:tcPr>
            <w:tcW w:w="3460" w:type="dxa"/>
            <w:vAlign w:val="bottom"/>
          </w:tcPr>
          <w:p>
            <w:pPr>
              <w:spacing w:after="0"/>
              <w:rPr>
                <w:sz w:val="20"/>
                <w:szCs w:val="20"/>
                <w:color w:val="auto"/>
              </w:rPr>
            </w:pPr>
          </w:p>
        </w:tc>
        <w:tc>
          <w:tcPr>
            <w:tcW w:w="23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280" w:type="dxa"/>
            <w:vAlign w:val="bottom"/>
          </w:tcPr>
          <w:p>
            <w:pPr>
              <w:spacing w:after="0"/>
              <w:rPr>
                <w:sz w:val="20"/>
                <w:szCs w:val="20"/>
                <w:color w:val="auto"/>
              </w:rPr>
            </w:pPr>
          </w:p>
        </w:tc>
        <w:tc>
          <w:tcPr>
            <w:tcW w:w="16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9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programs</w:t>
            </w:r>
          </w:p>
        </w:tc>
      </w:tr>
      <w:tr>
        <w:trPr>
          <w:trHeight w:val="34"/>
        </w:trPr>
        <w:tc>
          <w:tcPr>
            <w:tcW w:w="34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 October 28, 2017</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67.96</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700,000,054</w:t>
            </w: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29 – November 25, 2017</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280" w:type="dxa"/>
            <w:vAlign w:val="bottom"/>
          </w:tcPr>
          <w:p>
            <w:pPr>
              <w:spacing w:after="0"/>
              <w:rPr>
                <w:sz w:val="21"/>
                <w:szCs w:val="21"/>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69.28</w:t>
            </w:r>
          </w:p>
        </w:tc>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700,000,054</w:t>
            </w:r>
          </w:p>
        </w:tc>
      </w:tr>
      <w:tr>
        <w:trPr>
          <w:trHeight w:val="27"/>
        </w:trPr>
        <w:tc>
          <w:tcPr>
            <w:tcW w:w="3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26 – December 31, 2017</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1,432,297</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69.80</w:t>
            </w:r>
          </w:p>
        </w:tc>
        <w:tc>
          <w:tcPr>
            <w:tcW w:w="19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1,432,297</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600,000,119</w:t>
            </w:r>
          </w:p>
        </w:tc>
      </w:tr>
      <w:tr>
        <w:trPr>
          <w:trHeight w:val="237"/>
        </w:trPr>
        <w:tc>
          <w:tcPr>
            <w:tcW w:w="3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1,451,235</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1,432,297</w:t>
            </w:r>
          </w:p>
        </w:tc>
        <w:tc>
          <w:tcPr>
            <w:tcW w:w="1740" w:type="dxa"/>
            <w:vAlign w:val="bottom"/>
            <w:tcBorders>
              <w:top w:val="single" w:sz="8" w:color="auto"/>
            </w:tcBorders>
          </w:tcPr>
          <w:p>
            <w:pPr>
              <w:spacing w:after="0"/>
              <w:rPr>
                <w:sz w:val="20"/>
                <w:szCs w:val="20"/>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right="28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purchases in this column include 1,146 shares for the period October 1 – October 28, 2017, 17,792 shares for the period October 29 – November 25, 2017, and no shares for the period November 26 – December 31, 2017 deemed surrendered to us by participants in our 2012 Stock and Incentive Plan (the "2012 Plan") and earlier stock incentive plans that are now outstanding under the 2012 Plan (collectively the "Plans") to satisfy the exercise price or withholding of tax obligations related to the exercise of stock options and vesting of restricted shares.</w:t>
      </w:r>
    </w:p>
    <w:p>
      <w:pPr>
        <w:spacing w:after="0" w:line="126"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in this column includes shares repurchased as part of our publicly announced plans and shares deemed surrendered to us by participants in the Plans to satisfy the exercise price of stock options and withholding tax obligations due upon stock option exercises and vesting of restricted shares.</w:t>
      </w:r>
    </w:p>
    <w:p>
      <w:pPr>
        <w:spacing w:after="0" w:line="12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in this column represents the number of shares repurchased as part of our publicly announced plans to repurchase our ordinary shares up to a maximum dollar limit of $1.0 billion.</w:t>
      </w:r>
    </w:p>
    <w:p>
      <w:pPr>
        <w:spacing w:after="0" w:line="107" w:lineRule="exact"/>
        <w:rPr>
          <w:rFonts w:ascii="Times New Roman" w:cs="Times New Roman" w:eastAsia="Times New Roman" w:hAnsi="Times New Roman"/>
          <w:sz w:val="18"/>
          <w:szCs w:val="18"/>
          <w:color w:val="auto"/>
        </w:rPr>
      </w:pPr>
    </w:p>
    <w:p>
      <w:pPr>
        <w:ind w:left="660" w:right="540" w:hanging="328"/>
        <w:spacing w:after="0" w:line="313"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2014, our Board of Directors authorized the repurchase of our ordinary shares up to a maximum dollar limit of $1.0 billion. This authorization expires on December 31, 2019. We have $600.0 million remaining availability for repurchases under the 2014 authorization.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3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selected historical financial data for the five years ended December 31,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Pr>
          <w:p>
            <w:pPr>
              <w:spacing w:after="0"/>
              <w:rPr>
                <w:sz w:val="21"/>
                <w:szCs w:val="21"/>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2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data</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4,616.4</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4,553.7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Pentair plc</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Per-share data</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Earnings per ordinary share from continuing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1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attributable to Pentair plc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 average shares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per ordinary share from continuing operations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attributable to Pentair plc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 average shares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 and paid per ordinary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declared and unpaid per ordinary share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8,633.7</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11,534.8</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11,833.4</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11,732.5</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4,279.2</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4,685.8</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2,988.4</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2,532.6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5,037.8</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4,254.4</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4,663.8</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6,217.7</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76" w:right="239" w:bottom="1440" w:gutter="0" w:footer="0" w:header="0"/>
        </w:sectPr>
      </w:pPr>
    </w:p>
    <w:bookmarkStart w:id="23" w:name="page24"/>
    <w:bookmarkEnd w:id="23"/>
    <w:p>
      <w:pPr>
        <w:ind w:right="1400"/>
        <w:spacing w:after="0" w:line="357" w:lineRule="auto"/>
        <w:rPr>
          <w:sz w:val="20"/>
          <w:szCs w:val="20"/>
          <w:color w:val="auto"/>
        </w:rPr>
      </w:pPr>
      <w:r>
        <w:rPr>
          <w:rFonts w:ascii="Times New Roman" w:cs="Times New Roman" w:eastAsia="Times New Roman" w:hAnsi="Times New Roman"/>
          <w:sz w:val="18"/>
          <w:szCs w:val="18"/>
          <w:b w:val="1"/>
          <w:bCs w:val="1"/>
          <w:color w:val="auto"/>
        </w:rPr>
        <w:t xml:space="preserve">ITEM 7.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ability to satisfy the necessary conditions to consummate the Proposed Separation (as defined below) on a timely basis or at all; the ability to successfully separate the Water and Electrical businesses and realize the anticipated benefits from the Proposed Separation; adverse effects on the Water and Electrical business operations or financial results and the market price of our shares as a result of the announcement or consummation of the Proposed Separation; unanticipated transaction expenses, such as litigation or legal settlement expenses; failure to obtain tax rulings or changes in tax laws; changes in capital market conditions; the impact of the Proposed Separation on our employees, customers and suppliers; overall global economic and business conditions impacting the Water and Electrical businesses; future opportunities that our board may determine present greater potential to increase shareholder value; the ability of the Water and Electrical businesses to operate independently following the Proposed Separation; the ability to achieve the benefits of our restructuring plans; the ability to successfully identify, finance, complete and integrate acquisitions; competition and pricing pressures in the markets we serve; the strength of housing and related markets; volatility in currency exchange rates and commodity prices; inability to generate savings from excellence in operations initiatives consisting of lean enterprise, supply management and cash flow practices; increased risks associated with operating foreign businesses; the ability to deliver backlog and win future project work; failure of markets to accept new product introductions and enhancements; the impact of changes in laws and regulations, including those that limit U.S. tax benefits; the outcome of litigation and governmental proceedings; and the ability to achieve our long-term strategic operating goals. Additional information concerning these and other factors is contained in our filings with the U.S. Securities and Exchange Commission (the "SEC"), including this Annual Report on Form 10-K. All forward-looking statements speak only as of the date of this report. Pentair plc assumes no obligation, and disclaims any obligation, to update the information contained in this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Pentair plc is a focused diversified industrial manufacturing company comprising two reporting segments: Water and Electrical. We classify our operations into business segments based primarily on types of products offered and markets served. For the year ended December 31, 2017, Water and Electrical accounted for 58% and 42% of total revenues, respectively.</w:t>
      </w:r>
    </w:p>
    <w:p>
      <w:pPr>
        <w:spacing w:after="0" w:line="13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Although our jurisdiction of organization is Ireland, we manage our affairs so that we are centrally managed and controlled in the United Kingdom (the "U.K.") and therefore have our tax residency in the U.K.</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September 18, 2015, we acquired, as part of Electrical, all of the outstanding shares of capital stock of ERICO Global Company ("ERICO") for approximately $1.8 billion in cash (the "ERICO Acquisition"). ERICO is a leading global manufacturer and marketer of engineered electrical and fastening products for electrical, mechanical and civil applications. ERICO has employees in 30 countries across the world with recognized brands including CADDY fixing, fastening and support products; ERICO electrical grounding, bonding and connectivity products and LENTON engineered systems.</w:t>
      </w:r>
    </w:p>
    <w:p>
      <w:pPr>
        <w:spacing w:after="0" w:line="12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On April 28, 2017 we completed the sale of the Valves &amp; Controls business to Emerson Electric Co. for $3.15 billion in cash. The sale resulted in a gain of $181.1 million, net of tax. The results of the Valves &amp; Controls business have been presented as discontinued operations and the related assets and liabilities have been reclassified as held for sale for all periods presented. The Valves &amp; Controls business was previously disclosed as a stand-alone reporting segment.</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9, 2017, we announced that our Board of Directors approved a plan to separate our Water business and Electrical business into two independent, publicly-traded companies (the "Proposed Separation"). The Proposed Separation is expected to occur through a tax-free spin-off of the Electrical business to Pentair shareholders.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Completion of the Proposed Separation is subject to certain customary conditions, including, among other things, final approval of the transaction by Pentair's Board of Directors, receipt of tax opinions and rulings and effectiveness of appropriate filings with the SEC. Upon completion of the Proposed Separation, it is anticipated that Electrical's jurisdiction of organization will be Ireland, but that it will manage its affairs so that it will be centrally managed and controlled in the U.K. and therefore will have its tax residency in the U.K.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576" w:right="259" w:bottom="1440" w:gutter="0" w:footer="0" w:header="0"/>
        </w:sectPr>
      </w:pPr>
    </w:p>
    <w:bookmarkStart w:id="24" w:name="page25"/>
    <w:bookmarkEnd w:id="24"/>
    <w:p>
      <w:pPr>
        <w:ind w:right="500"/>
        <w:spacing w:after="0" w:line="282" w:lineRule="auto"/>
        <w:rPr>
          <w:sz w:val="20"/>
          <w:szCs w:val="20"/>
          <w:color w:val="auto"/>
        </w:rPr>
      </w:pPr>
      <w:r>
        <w:rPr>
          <w:rFonts w:ascii="Times New Roman" w:cs="Times New Roman" w:eastAsia="Times New Roman" w:hAnsi="Times New Roman"/>
          <w:sz w:val="18"/>
          <w:szCs w:val="18"/>
          <w:color w:val="auto"/>
        </w:rPr>
        <w:t>We are targeting April 30, 2018 for the completion of the Proposed Separation; however, there can be no assurance regarding the ultimate timing of the Proposed Separation or that the Proposed Separation will be completed.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and uncertainties regarding our existing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trends and uncertainties affected our financial performance in 2017 and 2016, and will likely impact our results in the future:</w:t>
      </w:r>
    </w:p>
    <w:p>
      <w:pPr>
        <w:spacing w:after="0" w:line="153" w:lineRule="exact"/>
        <w:rPr>
          <w:sz w:val="20"/>
          <w:szCs w:val="20"/>
          <w:color w:val="auto"/>
        </w:rPr>
      </w:pPr>
    </w:p>
    <w:p>
      <w:pPr>
        <w:ind w:left="660" w:right="20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2017 and 2016, we continued execution of certain business restructuring initiatives aimed at reducing our fixed cost structure and, during 2017, began realigning our business in contemplation of the Proposed Separation. We expect that these actions will contribute to margin growth in 2018.</w:t>
      </w:r>
    </w:p>
    <w:p>
      <w:pPr>
        <w:spacing w:after="0" w:line="122" w:lineRule="exact"/>
        <w:rPr>
          <w:rFonts w:ascii="Times New Roman" w:cs="Times New Roman" w:eastAsia="Times New Roman" w:hAnsi="Times New Roman"/>
          <w:sz w:val="18"/>
          <w:szCs w:val="18"/>
          <w:color w:val="auto"/>
        </w:rPr>
      </w:pPr>
    </w:p>
    <w:p>
      <w:pPr>
        <w:ind w:left="660" w:right="160" w:hanging="328"/>
        <w:spacing w:after="0" w:line="289"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identified specific product and geographic market opportunities that we find attractive and continue to pursue, both within and outside the United States. We are reinforcing our businesses to more effectively address these opportunities through research and development and additional sales and marketing resources. Unless we successfully penetrate these markets, our core sales growth will likely be limited or may decline.</w:t>
      </w:r>
    </w:p>
    <w:p>
      <w:pPr>
        <w:spacing w:after="0" w:line="104" w:lineRule="exact"/>
        <w:rPr>
          <w:rFonts w:ascii="Times New Roman" w:cs="Times New Roman" w:eastAsia="Times New Roman" w:hAnsi="Times New Roman"/>
          <w:sz w:val="17"/>
          <w:szCs w:val="17"/>
          <w:color w:val="auto"/>
        </w:rPr>
      </w:pPr>
    </w:p>
    <w:p>
      <w:pPr>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2018, our operating objectives include the following:</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execution of the Proposed Separation to create two industry-leading pure-play companies in Water and Electrical.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operating excellence through PIMS, with specific focus on sourcing and supply management, cash flow management and lean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differentiated revenue growth through new products and global and market expansion;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our technological capabilities to increasingly generate innovative new products;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developing global talent in light of our global presence.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742" w:right="2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consolidated results of operations were as follows: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 / point 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1"/>
                <w:szCs w:val="21"/>
                <w:color w:val="auto"/>
              </w:rPr>
            </w:pP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2017</w:t>
            </w:r>
          </w:p>
        </w:tc>
        <w:tc>
          <w:tcPr>
            <w:tcW w:w="300" w:type="dxa"/>
            <w:vAlign w:val="bottom"/>
          </w:tcPr>
          <w:p>
            <w:pPr>
              <w:spacing w:after="0"/>
              <w:rPr>
                <w:sz w:val="21"/>
                <w:szCs w:val="21"/>
                <w:color w:val="auto"/>
              </w:rPr>
            </w:pPr>
          </w:p>
        </w:tc>
        <w:tc>
          <w:tcPr>
            <w:tcW w:w="980" w:type="dxa"/>
            <w:vAlign w:val="bottom"/>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Pr>
          <w:p>
            <w:pPr>
              <w:spacing w:after="0"/>
              <w:rPr>
                <w:sz w:val="21"/>
                <w:szCs w:val="21"/>
                <w:color w:val="auto"/>
              </w:rPr>
            </w:pPr>
          </w:p>
        </w:tc>
        <w:tc>
          <w:tcPr>
            <w:tcW w:w="860" w:type="dxa"/>
            <w:vAlign w:val="bottom"/>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1260" w:type="dxa"/>
            <w:vAlign w:val="bottom"/>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2017 vs 2016</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2016 vs 2015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4,936.5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4,890.0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4,616.4</w:t>
            </w:r>
          </w:p>
        </w:tc>
        <w:tc>
          <w:tcPr>
            <w:tcW w:w="13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3,107.4</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3,095.9</w:t>
            </w:r>
          </w:p>
        </w:tc>
        <w:tc>
          <w:tcPr>
            <w:tcW w:w="4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3,017.6</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0.4 %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1,829.1</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1,794.1</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1,598.8</w:t>
            </w:r>
          </w:p>
        </w:tc>
        <w:tc>
          <w:tcPr>
            <w:tcW w:w="13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4"/>
                <w:szCs w:val="14"/>
                <w:i w:val="1"/>
                <w:iCs w:val="1"/>
                <w:color w:val="auto"/>
              </w:rPr>
              <w:t>% of net sales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37.1%</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36.7%</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34.6%</w:t>
            </w:r>
          </w:p>
        </w:tc>
        <w:tc>
          <w:tcPr>
            <w:tcW w:w="100" w:type="dxa"/>
            <w:vAlign w:val="bottom"/>
          </w:tcPr>
          <w:p>
            <w:pPr>
              <w:spacing w:after="0"/>
              <w:rPr>
                <w:sz w:val="24"/>
                <w:szCs w:val="24"/>
                <w:color w:val="auto"/>
              </w:rPr>
            </w:pP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4"/>
                <w:szCs w:val="14"/>
                <w:i w:val="1"/>
                <w:iCs w:val="1"/>
                <w:color w:val="auto"/>
              </w:rPr>
              <w:t>0.4pts</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2.1pts</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5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1,032.5</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979.3</w:t>
            </w:r>
          </w:p>
        </w:tc>
        <w:tc>
          <w:tcPr>
            <w:tcW w:w="4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884.0</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i w:val="1"/>
                <w:iCs w:val="1"/>
                <w:color w:val="auto"/>
              </w:rPr>
              <w:t>% of net sales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20.9%</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20.0%</w:t>
            </w:r>
          </w:p>
        </w:tc>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19.1%</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i w:val="1"/>
                <w:iCs w:val="1"/>
                <w:color w:val="auto"/>
              </w:rPr>
              <w:t>0.9pts</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0.9pts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115.8</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114.1</w:t>
            </w:r>
          </w:p>
        </w:tc>
        <w:tc>
          <w:tcPr>
            <w:tcW w:w="4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98.7</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i w:val="1"/>
                <w:iCs w:val="1"/>
                <w:color w:val="auto"/>
              </w:rPr>
              <w:t>% of net sales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2.3%</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2.3%</w:t>
            </w:r>
          </w:p>
        </w:tc>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4"/>
                <w:szCs w:val="14"/>
                <w:i w:val="1"/>
                <w:iCs w:val="1"/>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0.2pts</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680.8</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700.7</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616.1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i w:val="1"/>
                <w:iCs w:val="1"/>
                <w:color w:val="auto"/>
              </w:rPr>
              <w:t>% of net sales</w:t>
            </w:r>
          </w:p>
        </w:tc>
        <w:tc>
          <w:tcPr>
            <w:tcW w:w="2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rPr>
              <w:t>13.8%</w:t>
            </w:r>
          </w:p>
        </w:tc>
        <w:tc>
          <w:tcPr>
            <w:tcW w:w="3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rPr>
              <w:t>14.3%</w:t>
            </w:r>
          </w:p>
        </w:tc>
        <w:tc>
          <w:tcPr>
            <w:tcW w:w="4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rPr>
              <w:t>13.3%</w:t>
            </w:r>
          </w:p>
        </w:tc>
        <w:tc>
          <w:tcPr>
            <w:tcW w:w="1360" w:type="dxa"/>
            <w:vAlign w:val="bottom"/>
            <w:gridSpan w:val="2"/>
          </w:tcPr>
          <w:p>
            <w:pPr>
              <w:jc w:val="right"/>
              <w:ind w:right="161"/>
              <w:spacing w:after="0" w:line="151" w:lineRule="exact"/>
              <w:rPr>
                <w:sz w:val="20"/>
                <w:szCs w:val="20"/>
                <w:color w:val="auto"/>
              </w:rPr>
            </w:pPr>
            <w:r>
              <w:rPr>
                <w:rFonts w:ascii="Times New Roman" w:cs="Times New Roman" w:eastAsia="Times New Roman" w:hAnsi="Times New Roman"/>
                <w:sz w:val="14"/>
                <w:szCs w:val="14"/>
                <w:i w:val="1"/>
                <w:iCs w:val="1"/>
                <w:color w:val="auto"/>
              </w:rPr>
              <w:t>)</w:t>
            </w: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1.0pts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4"/>
                <w:szCs w:val="14"/>
                <w:i w:val="1"/>
                <w:iCs w:val="1"/>
                <w:color w:val="auto"/>
              </w:rPr>
              <w:t>(0.5pts</w:t>
            </w: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5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3.2</w:t>
            </w:r>
          </w:p>
        </w:tc>
        <w:tc>
          <w:tcPr>
            <w:tcW w:w="13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7.7 %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N.M.</w:t>
            </w:r>
          </w:p>
        </w:tc>
        <w:tc>
          <w:tcPr>
            <w:tcW w:w="12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87.3</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140.1</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101.9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489.2</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561.0</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512.5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0"/>
                <w:szCs w:val="20"/>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20"/>
                <w:szCs w:val="2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109.4</w:t>
            </w:r>
          </w:p>
        </w:tc>
        <w:tc>
          <w:tcPr>
            <w:tcW w:w="420" w:type="dxa"/>
            <w:vAlign w:val="bottom"/>
          </w:tcPr>
          <w:p>
            <w:pPr>
              <w:spacing w:after="0"/>
              <w:rPr>
                <w:sz w:val="20"/>
                <w:szCs w:val="20"/>
                <w:color w:val="auto"/>
              </w:rPr>
            </w:pP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0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i w:val="1"/>
                <w:iCs w:val="1"/>
                <w:color w:val="auto"/>
              </w:rPr>
              <w:t>Effective tax rate</w:t>
            </w:r>
          </w:p>
        </w:tc>
        <w:tc>
          <w:tcPr>
            <w:tcW w:w="2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w:t>
            </w: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19.5%</w:t>
            </w:r>
          </w:p>
        </w:tc>
        <w:tc>
          <w:tcPr>
            <w:tcW w:w="4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22.5%</w:t>
            </w:r>
          </w:p>
        </w:tc>
        <w:tc>
          <w:tcPr>
            <w:tcW w:w="1360" w:type="dxa"/>
            <w:vAlign w:val="bottom"/>
            <w:gridSpan w:val="2"/>
            <w:shd w:val="clear" w:color="auto" w:fill="CCEEFF"/>
          </w:tcPr>
          <w:p>
            <w:pPr>
              <w:jc w:val="right"/>
              <w:ind w:right="161"/>
              <w:spacing w:after="0" w:line="151" w:lineRule="exact"/>
              <w:rPr>
                <w:sz w:val="20"/>
                <w:szCs w:val="20"/>
                <w:color w:val="auto"/>
              </w:rPr>
            </w:pPr>
            <w:r>
              <w:rPr>
                <w:rFonts w:ascii="Times New Roman" w:cs="Times New Roman" w:eastAsia="Times New Roman" w:hAnsi="Times New Roman"/>
                <w:sz w:val="14"/>
                <w:szCs w:val="14"/>
                <w:i w:val="1"/>
                <w:iCs w:val="1"/>
                <w:color w:val="auto"/>
              </w:rPr>
              <w:t>)</w:t>
            </w:r>
          </w:p>
        </w:tc>
        <w:tc>
          <w:tcPr>
            <w:tcW w:w="1180" w:type="dxa"/>
            <w:vAlign w:val="bottom"/>
            <w:shd w:val="clear" w:color="auto" w:fill="CCEEFF"/>
          </w:tcPr>
          <w:p>
            <w:pPr>
              <w:ind w:left="960"/>
              <w:spacing w:after="0" w:line="151" w:lineRule="exact"/>
              <w:rPr>
                <w:sz w:val="20"/>
                <w:szCs w:val="20"/>
                <w:color w:val="auto"/>
              </w:rPr>
            </w:pPr>
            <w:r>
              <w:rPr>
                <w:rFonts w:ascii="Times New Roman" w:cs="Times New Roman" w:eastAsia="Times New Roman" w:hAnsi="Times New Roman"/>
                <w:sz w:val="14"/>
                <w:szCs w:val="14"/>
                <w:i w:val="1"/>
                <w:iCs w:val="1"/>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i w:val="1"/>
                <w:iCs w:val="1"/>
                <w:color w:val="auto"/>
              </w:rPr>
              <w:t>(17.6pts</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(3.0pts</w:t>
            </w:r>
          </w:p>
        </w:tc>
        <w:tc>
          <w:tcPr>
            <w:tcW w:w="0" w:type="dxa"/>
            <w:vAlign w:val="bottom"/>
          </w:tcPr>
          <w:p>
            <w:pPr>
              <w:spacing w:after="0"/>
              <w:rPr>
                <w:sz w:val="1"/>
                <w:szCs w:val="1"/>
                <w:color w:val="auto"/>
              </w:rPr>
            </w:pPr>
          </w:p>
        </w:tc>
      </w:tr>
      <w:tr>
        <w:trPr>
          <w:trHeight w:val="378"/>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N.M. Not Meaningful</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components of the consolidated net sales change were as follows: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2017 vs 2016</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2016 vs 2015</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0.5</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Core growth</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(0.5)</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0.9</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5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1.0 %</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1.0 percent increase in consolidated net sales in 2017 from 2016 was primarily the result of:</w:t>
      </w:r>
    </w:p>
    <w:p>
      <w:pPr>
        <w:spacing w:after="0" w:line="17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increased sales volume in our industrial business primarily in the U.S.;</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related to business acquisitions that occurred in the fourth quarter of 2016 and the first quarter of 2017;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effects during the year ended December 31, 2017.</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lower project sales volume particularly in the energy and industrial businesses;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76" w:right="239" w:bottom="1440" w:gutter="0" w:footer="0" w:header="0"/>
          <w:type w:val="continuous"/>
        </w:sectPr>
      </w:pPr>
    </w:p>
    <w:bookmarkStart w:id="26" w:name="page27"/>
    <w:bookmarkEnd w:id="26"/>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job adjustments to net sales of $9.7 million in 2017.</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5.9 percent increase in consolidated net sales in 2016 from 2015 was primarily the result of:</w:t>
      </w:r>
    </w:p>
    <w:p>
      <w:pPr>
        <w:spacing w:after="0" w:line="17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sales of $516.1 million in 2016 as a result of the ERICO Acquisition, compared to sales of $147.0 million in 2015; and</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volume driving core sales growth in our North America pool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slowdown in capital spending, driving core sales declines in our industrial and energy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slowing economic activity in certain developing regions, including China and Brazil;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U.S. dollar causing unfavorable foreign currency effects.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0.4 percentage point increase in gross profit as a percentage of sales in 2017 from 2016 was primarily the result of:</w:t>
      </w:r>
    </w:p>
    <w:p>
      <w:pPr>
        <w:spacing w:after="0" w:line="15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increases in selling prices to mitigate inflationary cost increases;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mix as a result of the decline in lower margin project sales and growth in higher margin product sales;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contribution margin as a result of savings generated from our Pentair Integrated Management System ("PIMS") initiatives including lean and supply management practices.</w:t>
      </w:r>
    </w:p>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increases related to raw materials and labor costs;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job adjustments negatively impacting gross profit by $16.4 million in 2017.</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2.1 percentage point increase in gross profit as a percentage of sales in 2016 from 2015 was primarily the result of:</w:t>
      </w:r>
    </w:p>
    <w:p>
      <w:pPr>
        <w:spacing w:after="0" w:line="17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sales volumes, which resulted in increased leverage on fixed expenses included in cost of goods sold;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contribution margin as a result of savings generated from our Pentair Integrated Management System ("PIMS") initiatives including lean and supply management practices; and</w:t>
      </w:r>
    </w:p>
    <w:p>
      <w:pPr>
        <w:spacing w:after="0" w:line="10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cost of goods sold of $35.7 million in 2016 compared to 2015 as a result of inventory fair value step-up recorded as part of the Electrical acquisitions in 2015.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increases related to raw materials and labor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0.9 percentage point increase in SG&amp;A expense as a percentage of sales in 2017 from 2016 and was driven by:</w:t>
      </w:r>
    </w:p>
    <w:p>
      <w:pPr>
        <w:spacing w:after="0" w:line="15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of $30.7 million in 2017, compared to $20.6 million in 2016;</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anticipation of the Proposed Separation of $53.1 million in 2017;</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of $32.0 million related to trade name and other impairments;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investment in sales and marketing to drive growth.</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savings generated from back-office consolidation, reduction in personnel and other lean initiatives;</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benefit from the reversal of a $13.3 million indemnification liability in 2017 related to our 2012 transaction with Tyco (now known as Johnson Controls International plc); and</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"mark-to-market" actuarial losses related to pension and other post-retirement benefit plans of $1.6 million in 2017, compared to $4.2 million in 2016.</w:t>
      </w:r>
    </w:p>
    <w:p>
      <w:pPr>
        <w:sectPr>
          <w:pgSz w:w="11900" w:h="16838" w:orient="portrait"/>
          <w:cols w:equalWidth="0" w:num="1">
            <w:col w:w="11320"/>
          </w:cols>
          <w:pgMar w:left="240" w:top="742" w:right="339" w:bottom="1440" w:gutter="0" w:footer="0" w:header="0"/>
        </w:sectPr>
      </w:pP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20"/>
          </w:cols>
          <w:pgMar w:left="240" w:top="742"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The 0.9 percentage point increase in SG&amp;A expense as a percentage of sales in 2016 from 2015 and was driven by the following:</w:t>
      </w:r>
    </w:p>
    <w:p>
      <w:pPr>
        <w:spacing w:after="0" w:line="173" w:lineRule="exact"/>
        <w:rPr>
          <w:sz w:val="20"/>
          <w:szCs w:val="20"/>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"mark-to-market" actuarial losses related to pension and other post-retirement benefit plans of $4.2 million in 2016, compared to "mark-to-market" actuarial gains of $23.0 million in 2015;</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intangible asset amortization as a result of the ERICO Acquisition that occurred at the end of the third quarter in 2015;</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impairment charge of $13.3 million related to a trade name intangible asset in Electrical;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investment in sales and marketing to drive growth.</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of $24.5 million in 2016, compared to $41.3 million in 2015;</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related costs and expenses of $14.3 million in 2015, which did not occur in 2016;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savings generated from back-office consolidation, reduction in personnel and other lean initiatives.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37.7 percent decrease in net interest expense in 2017 from 2016 was primarily the result of:</w:t>
      </w:r>
    </w:p>
    <w:p>
      <w:pPr>
        <w:spacing w:after="0" w:line="153" w:lineRule="exact"/>
        <w:rPr>
          <w:sz w:val="20"/>
          <w:szCs w:val="20"/>
          <w:color w:val="auto"/>
        </w:rPr>
      </w:pPr>
    </w:p>
    <w:p>
      <w:pPr>
        <w:ind w:left="660" w:right="2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lower debt levels during 2017 compared to 2016. In May 2017, a portion of the proceeds from the sale of the Valves &amp; Controls business was utilized to repay all commercial paper and revolving long term debt and for the early extinguishment of $1,659.3 million aggregate principal amount of certain series of fixed rate outstanding notes.</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overall interest rates in effect on our outstanding debt during 2017 compared to 2016.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37.5 percent increase in net interest expense in 2016 from 2015 was primarily the result of:</w:t>
      </w:r>
    </w:p>
    <w:p>
      <w:pPr>
        <w:spacing w:after="0" w:line="173" w:lineRule="exact"/>
        <w:rPr>
          <w:sz w:val="20"/>
          <w:szCs w:val="20"/>
          <w:color w:val="auto"/>
        </w:rPr>
      </w:pPr>
    </w:p>
    <w:p>
      <w:pPr>
        <w:ind w:left="660" w:right="4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higher debt levels during 2016, compared to 2015, primarily as the result of the September 2015 issuance of senior notes used to finance the ERICO Acquisition;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overall interest rates in effect on our outstanding debt.</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31" w:lineRule="exact"/>
        <w:rPr>
          <w:sz w:val="20"/>
          <w:szCs w:val="20"/>
          <w:color w:val="auto"/>
        </w:rPr>
      </w:pPr>
    </w:p>
    <w:p>
      <w:pPr>
        <w:ind w:left="60" w:right="340"/>
        <w:spacing w:after="0" w:line="261" w:lineRule="auto"/>
        <w:rPr>
          <w:sz w:val="20"/>
          <w:szCs w:val="20"/>
          <w:color w:val="auto"/>
        </w:rPr>
      </w:pPr>
      <w:r>
        <w:rPr>
          <w:rFonts w:ascii="Times New Roman" w:cs="Times New Roman" w:eastAsia="Times New Roman" w:hAnsi="Times New Roman"/>
          <w:sz w:val="18"/>
          <w:szCs w:val="18"/>
          <w:color w:val="auto"/>
        </w:rPr>
        <w:t xml:space="preserve">In May 2017, we repurchased aggregate principal of certain series of outstanding fixed rate debt totaling $1,659.3 million. Total costs of $101.4 million associated with the repurchases were recorded as </w:t>
      </w:r>
      <w:r>
        <w:rPr>
          <w:rFonts w:ascii="Times New Roman" w:cs="Times New Roman" w:eastAsia="Times New Roman" w:hAnsi="Times New Roman"/>
          <w:sz w:val="18"/>
          <w:szCs w:val="18"/>
          <w:i w:val="1"/>
          <w:iCs w:val="1"/>
          <w:color w:val="auto"/>
        </w:rPr>
        <w:t>Loss on early extinguishment of debt</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17.6 percentage point decrease in the effective tax rate in 2017 from 2016 was primarily due to:</w:t>
      </w:r>
    </w:p>
    <w:p>
      <w:pPr>
        <w:spacing w:after="0" w:line="153" w:lineRule="exact"/>
        <w:rPr>
          <w:sz w:val="20"/>
          <w:szCs w:val="20"/>
          <w:color w:val="auto"/>
        </w:rPr>
      </w:pPr>
    </w:p>
    <w:p>
      <w:pPr>
        <w:ind w:left="660" w:right="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provisional tax benefit of $84.8 million recognized in 2017 as a result of the enactment of U.S. tax reform legislation. We expect our effective tax rate to approximate 18% in future periods, which is an improvement from our historical rate of 20%;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tax impact of restructuring costs in 2016 in jurisdictions with low tax benefits.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3.0 percentage point decrease in the effective tax rate in 2016 from 2015 was primarily due to:</w:t>
      </w:r>
    </w:p>
    <w:p>
      <w:pPr>
        <w:spacing w:after="0" w:line="17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global earnings toward lower tax jurisdictions;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tax impact of transaction costs in 2015 related to the ERICO Acquisition.</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75" w:lineRule="exact"/>
        <w:rPr>
          <w:sz w:val="20"/>
          <w:szCs w:val="20"/>
          <w:color w:val="auto"/>
        </w:rPr>
      </w:pPr>
    </w:p>
    <w:p>
      <w:pPr>
        <w:ind w:left="60" w:right="240"/>
        <w:spacing w:after="0" w:line="282" w:lineRule="auto"/>
        <w:rPr>
          <w:sz w:val="20"/>
          <w:szCs w:val="20"/>
          <w:color w:val="auto"/>
        </w:rPr>
      </w:pPr>
      <w:r>
        <w:rPr>
          <w:rFonts w:ascii="Times New Roman" w:cs="Times New Roman" w:eastAsia="Times New Roman" w:hAnsi="Times New Roman"/>
          <w:sz w:val="18"/>
          <w:szCs w:val="18"/>
          <w:color w:val="auto"/>
        </w:rPr>
        <w:t>This summary that follows provides a discussion of the results of operations of each of our two reportable segments (Water and Electrical). Each of these segments comprises various product offerings that serve multiple end markets.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evaluate performance based on sales and segment income and use a variety of ratios to measure performance of our reporting segments. Segment income represents equity income of unconsolidated subsidiaries and operating income exclusive</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20"/>
          </w:cols>
          <w:pgMar w:left="240" w:top="740" w:right="339" w:bottom="1440" w:gutter="0" w:footer="0" w:header="0"/>
        </w:sectPr>
      </w:pPr>
    </w:p>
    <w:bookmarkStart w:id="28" w:name="page29"/>
    <w:bookmarkEnd w:id="28"/>
    <w:p>
      <w:pPr>
        <w:ind w:right="560"/>
        <w:spacing w:after="0" w:line="282" w:lineRule="auto"/>
        <w:rPr>
          <w:sz w:val="20"/>
          <w:szCs w:val="20"/>
          <w:color w:val="auto"/>
        </w:rPr>
      </w:pPr>
      <w:r>
        <w:rPr>
          <w:rFonts w:ascii="Times New Roman" w:cs="Times New Roman" w:eastAsia="Times New Roman" w:hAnsi="Times New Roman"/>
          <w:sz w:val="18"/>
          <w:szCs w:val="18"/>
          <w:color w:val="auto"/>
        </w:rPr>
        <w:t>of intangible amortization, certain acquisition related expenses, costs of restructuring activities, "mark-to-market" gain/loss for pension and other post-retirement plans, impairments and other unusual non-operating items.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Water</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net sales and segment income for Water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 / point change</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9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1"/>
                <w:szCs w:val="21"/>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Pr>
          <w:p>
            <w:pPr>
              <w:spacing w:after="0"/>
              <w:rPr>
                <w:sz w:val="21"/>
                <w:szCs w:val="21"/>
                <w:color w:val="auto"/>
              </w:rPr>
            </w:pPr>
          </w:p>
        </w:tc>
        <w:tc>
          <w:tcPr>
            <w:tcW w:w="860" w:type="dxa"/>
            <w:vAlign w:val="bottom"/>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1"/>
                <w:szCs w:val="21"/>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2017 vs 2016</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2016 vs 2015</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2,844.4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2,777.7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2,808.3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546.0</w:t>
            </w:r>
          </w:p>
        </w:tc>
        <w:tc>
          <w:tcPr>
            <w:tcW w:w="2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494.0</w:t>
            </w:r>
          </w:p>
        </w:tc>
        <w:tc>
          <w:tcPr>
            <w:tcW w:w="42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469.0</w:t>
            </w:r>
          </w:p>
        </w:tc>
        <w:tc>
          <w:tcPr>
            <w:tcW w:w="12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80" w:type="dxa"/>
            <w:vAlign w:val="bottom"/>
          </w:tcPr>
          <w:p>
            <w:pPr>
              <w:spacing w:after="0"/>
              <w:rPr>
                <w:sz w:val="24"/>
                <w:szCs w:val="24"/>
                <w:color w:val="auto"/>
              </w:rPr>
            </w:pPr>
          </w:p>
        </w:tc>
        <w:tc>
          <w:tcPr>
            <w:tcW w:w="4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i w:val="1"/>
                <w:iCs w:val="1"/>
                <w:color w:val="auto"/>
              </w:rPr>
              <w:t>% of net sales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19.2%</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17.8%</w:t>
            </w:r>
          </w:p>
        </w:tc>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16.7%</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i w:val="1"/>
                <w:iCs w:val="1"/>
                <w:color w:val="auto"/>
              </w:rPr>
              <w:t>1.4 pts</w:t>
            </w: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i w:val="1"/>
                <w:iCs w:val="1"/>
                <w:color w:val="auto"/>
              </w:rPr>
              <w:t>1.1pts</w:t>
            </w:r>
          </w:p>
        </w:tc>
        <w:tc>
          <w:tcPr>
            <w:tcW w:w="0" w:type="dxa"/>
            <w:vAlign w:val="bottom"/>
          </w:tcPr>
          <w:p>
            <w:pPr>
              <w:spacing w:after="0"/>
              <w:rPr>
                <w:sz w:val="1"/>
                <w:szCs w:val="1"/>
                <w:color w:val="auto"/>
              </w:rPr>
            </w:pPr>
          </w:p>
        </w:tc>
      </w:tr>
      <w:tr>
        <w:trPr>
          <w:trHeight w:val="36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change in Water net sales were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2017 vs 2016</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2016 vs 2015</w:t>
            </w:r>
          </w:p>
        </w:tc>
        <w:tc>
          <w:tcPr>
            <w:tcW w:w="0" w:type="dxa"/>
            <w:vAlign w:val="bottom"/>
          </w:tcPr>
          <w:p>
            <w:pPr>
              <w:spacing w:after="0"/>
              <w:rPr>
                <w:sz w:val="1"/>
                <w:szCs w:val="1"/>
                <w:color w:val="auto"/>
              </w:rPr>
            </w:pPr>
          </w:p>
        </w:tc>
      </w:tr>
      <w:tr>
        <w:trPr>
          <w:trHeight w:val="34"/>
        </w:trPr>
        <w:tc>
          <w:tcPr>
            <w:tcW w:w="5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Price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0.8</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Core growth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0.8</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 (divestiture)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0.5</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2.4 percent increase in Water sales in 2017 from 2016 was primarily the result of:</w:t>
      </w:r>
    </w:p>
    <w:p>
      <w:pPr>
        <w:spacing w:after="0" w:line="173"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in our industrial and residential &amp; commercial businesses primarily in the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increases in selling prices to mitigate inflationary cost increases;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related to business acquisitions that occurred in the fourth quarter of 2016 and first quarter of 2017.</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declines in our infrastructure and food &amp; beverage verticals due to customer delays in capital spending;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job adjustments to net sales of $9.7 million in 2017.</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slowdown in industrial capital spending, driving core sales declines in our industrial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sales declines in the food &amp; beverage business due mainly to weak irrigation sales and lower project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sales declines in China, Southeast Asia and Brazil as the result of economic uncertainty;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U.S. dollar causing unfavorable foreign currency effects.</w:t>
      </w:r>
    </w:p>
    <w:p>
      <w:pPr>
        <w:spacing w:after="0" w:line="200" w:lineRule="exact"/>
        <w:rPr>
          <w:sz w:val="20"/>
          <w:szCs w:val="20"/>
          <w:color w:val="auto"/>
        </w:rPr>
      </w:pPr>
    </w:p>
    <w:p>
      <w:pPr>
        <w:spacing w:after="0" w:line="349" w:lineRule="exact"/>
        <w:rPr>
          <w:sz w:val="20"/>
          <w:szCs w:val="20"/>
          <w:color w:val="auto"/>
        </w:rPr>
      </w:pPr>
    </w:p>
    <w:p>
      <w:pPr>
        <w:ind w:left="660" w:right="2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sales growth related to higher sales of certain pool products primarily serving North American residential housing in 2016 and higher sales of pump and filtration solutions serving the infrastructure business;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increases in selling prices to mitigate inflationary cost increases.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42" w:right="239"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components of the change in Water segment income from the prior period were as follows:</w:t>
      </w:r>
    </w:p>
    <w:p>
      <w:pPr>
        <w:spacing w:after="0" w:line="149"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8400" w:type="dxa"/>
            <w:vAlign w:val="bottom"/>
          </w:tcPr>
          <w:p>
            <w:pPr>
              <w:ind w:left="790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20" w:type="dxa"/>
            <w:vAlign w:val="bottom"/>
          </w:tcPr>
          <w:p>
            <w:pPr>
              <w:spacing w:after="0"/>
              <w:rPr>
                <w:sz w:val="20"/>
                <w:szCs w:val="20"/>
                <w:color w:val="auto"/>
              </w:rPr>
            </w:pPr>
          </w:p>
        </w:tc>
        <w:tc>
          <w:tcPr>
            <w:tcW w:w="172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34"/>
        </w:trPr>
        <w:tc>
          <w:tcPr>
            <w:tcW w:w="8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(0.2) pts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pts</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2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(0.1)</w:t>
            </w:r>
          </w:p>
        </w:tc>
        <w:tc>
          <w:tcPr>
            <w:tcW w:w="1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12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(1.2)</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Productivity/Price</w:t>
            </w:r>
          </w:p>
        </w:tc>
        <w:tc>
          <w:tcPr>
            <w:tcW w:w="12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2.9</w:t>
            </w:r>
          </w:p>
        </w:tc>
        <w:tc>
          <w:tcPr>
            <w:tcW w:w="1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8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 pts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pts</w:t>
            </w:r>
          </w:p>
        </w:tc>
      </w:tr>
      <w:tr>
        <w:trPr>
          <w:trHeight w:val="20"/>
        </w:trPr>
        <w:tc>
          <w:tcPr>
            <w:tcW w:w="8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1.4 percentage point increase in segment income for Water as a percentage of net sales in 2017 from 2016 was primarily the result of:</w:t>
      </w:r>
    </w:p>
    <w:p>
      <w:pPr>
        <w:spacing w:after="0" w:line="173"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material savings for certain raw materials and product mix offsetting inflation;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increases in selling prices to mitigate inflationary cost increases;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savings generated from PIMS initiatives including lean and supply management practices.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increases related to labor costs and certain raw materials;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investments in research &amp; development and sales &amp; marketing.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1.1 percentage point increase in segment income for Water as a percentage of net sales in 2016 from 2015 was primarily the result of:</w:t>
      </w:r>
    </w:p>
    <w:p>
      <w:pPr>
        <w:spacing w:after="0" w:line="173"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more than offsetting inflationary cost increases;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savings generated from back-office consolidation, reduction in personnel and other lean initiatives.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increases related to labor costs and certain raw materials.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Electrical</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net sales and segment income for Electrical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 / point change</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9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1"/>
                <w:szCs w:val="21"/>
                <w:color w:val="auto"/>
              </w:rPr>
            </w:pPr>
          </w:p>
        </w:tc>
        <w:tc>
          <w:tcPr>
            <w:tcW w:w="1000" w:type="dxa"/>
            <w:vAlign w:val="bottom"/>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Pr>
          <w:p>
            <w:pPr>
              <w:spacing w:after="0"/>
              <w:rPr>
                <w:sz w:val="21"/>
                <w:szCs w:val="21"/>
                <w:color w:val="auto"/>
              </w:rPr>
            </w:pPr>
          </w:p>
        </w:tc>
        <w:tc>
          <w:tcPr>
            <w:tcW w:w="860" w:type="dxa"/>
            <w:vAlign w:val="bottom"/>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2017 vs 2016</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2016 vs 2015</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2,097.9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2,116.0</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1,809.3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447.0</w:t>
            </w:r>
          </w:p>
        </w:tc>
        <w:tc>
          <w:tcPr>
            <w:tcW w:w="28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447.2</w:t>
            </w:r>
          </w:p>
        </w:tc>
        <w:tc>
          <w:tcPr>
            <w:tcW w:w="40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395.0</w:t>
            </w:r>
          </w:p>
        </w:tc>
        <w:tc>
          <w:tcPr>
            <w:tcW w:w="120" w:type="dxa"/>
            <w:vAlign w:val="bottom"/>
          </w:tcPr>
          <w:p>
            <w:pPr>
              <w:spacing w:after="0"/>
              <w:rPr>
                <w:sz w:val="21"/>
                <w:szCs w:val="21"/>
                <w:color w:val="auto"/>
              </w:rPr>
            </w:pPr>
          </w:p>
        </w:tc>
        <w:tc>
          <w:tcPr>
            <w:tcW w:w="1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80" w:type="dxa"/>
            <w:vAlign w:val="bottom"/>
          </w:tcPr>
          <w:p>
            <w:pPr>
              <w:spacing w:after="0"/>
              <w:rPr>
                <w:sz w:val="13"/>
                <w:szCs w:val="13"/>
                <w:color w:val="auto"/>
              </w:rPr>
            </w:pPr>
          </w:p>
        </w:tc>
        <w:tc>
          <w:tcPr>
            <w:tcW w:w="49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i w:val="1"/>
                <w:iCs w:val="1"/>
                <w:color w:val="auto"/>
              </w:rPr>
              <w:t>% of net sales</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21.3%</w:t>
            </w: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21.1%</w:t>
            </w:r>
          </w:p>
        </w:tc>
        <w:tc>
          <w:tcPr>
            <w:tcW w:w="4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21.8%</w:t>
            </w:r>
          </w:p>
        </w:tc>
        <w:tc>
          <w:tcPr>
            <w:tcW w:w="1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i w:val="1"/>
                <w:iCs w:val="1"/>
                <w:color w:val="auto"/>
              </w:rPr>
              <w:t>0.2pts</w:t>
            </w:r>
          </w:p>
        </w:tc>
        <w:tc>
          <w:tcPr>
            <w:tcW w:w="1160" w:type="dxa"/>
            <w:vAlign w:val="bottom"/>
            <w:shd w:val="clear" w:color="auto" w:fill="CCEEFF"/>
          </w:tcPr>
          <w:p>
            <w:pPr>
              <w:jc w:val="right"/>
              <w:ind w:right="73"/>
              <w:spacing w:after="0" w:line="151" w:lineRule="exact"/>
              <w:rPr>
                <w:sz w:val="20"/>
                <w:szCs w:val="20"/>
                <w:color w:val="auto"/>
              </w:rPr>
            </w:pPr>
            <w:r>
              <w:rPr>
                <w:rFonts w:ascii="Times New Roman" w:cs="Times New Roman" w:eastAsia="Times New Roman" w:hAnsi="Times New Roman"/>
                <w:sz w:val="14"/>
                <w:szCs w:val="14"/>
                <w:i w:val="1"/>
                <w:iCs w:val="1"/>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49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i w:val="1"/>
                <w:iCs w:val="1"/>
                <w:color w:val="auto"/>
              </w:rPr>
              <w:t>(0.7pts</w:t>
            </w:r>
          </w:p>
        </w:tc>
        <w:tc>
          <w:tcPr>
            <w:tcW w:w="0" w:type="dxa"/>
            <w:vAlign w:val="bottom"/>
          </w:tcPr>
          <w:p>
            <w:pPr>
              <w:spacing w:after="0"/>
              <w:rPr>
                <w:sz w:val="1"/>
                <w:szCs w:val="1"/>
                <w:color w:val="auto"/>
              </w:rPr>
            </w:pPr>
          </w:p>
        </w:tc>
      </w:tr>
      <w:tr>
        <w:trPr>
          <w:trHeight w:val="36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change in Electrical net sales were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2017 vs 2016</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2016 vs 2015</w:t>
            </w:r>
          </w:p>
        </w:tc>
        <w:tc>
          <w:tcPr>
            <w:tcW w:w="0" w:type="dxa"/>
            <w:vAlign w:val="bottom"/>
          </w:tcPr>
          <w:p>
            <w:pPr>
              <w:spacing w:after="0"/>
              <w:rPr>
                <w:sz w:val="1"/>
                <w:szCs w:val="1"/>
                <w:color w:val="auto"/>
              </w:rPr>
            </w:pPr>
          </w:p>
        </w:tc>
      </w:tr>
      <w:tr>
        <w:trPr>
          <w:trHeight w:val="34"/>
        </w:trPr>
        <w:tc>
          <w:tcPr>
            <w:tcW w:w="50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Volume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Price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80" w:type="dxa"/>
            <w:vAlign w:val="bottom"/>
            <w:gridSpan w:val="2"/>
          </w:tcPr>
          <w:p>
            <w:pPr>
              <w:jc w:val="right"/>
              <w:ind w:right="334"/>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Core growth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80" w:type="dxa"/>
            <w:vAlign w:val="bottom"/>
            <w:gridSpan w:val="2"/>
          </w:tcPr>
          <w:p>
            <w:pPr>
              <w:jc w:val="right"/>
              <w:ind w:right="334"/>
              <w:spacing w:after="0"/>
              <w:rPr>
                <w:sz w:val="20"/>
                <w:szCs w:val="20"/>
                <w:color w:val="auto"/>
              </w:rPr>
            </w:pPr>
            <w:r>
              <w:rPr>
                <w:rFonts w:ascii="Times New Roman" w:cs="Times New Roman" w:eastAsia="Times New Roman" w:hAnsi="Times New Roman"/>
                <w:sz w:val="18"/>
                <w:szCs w:val="18"/>
                <w:color w:val="auto"/>
              </w:rPr>
              <w:t>0.7</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0.5</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(0.9)%</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0.9 percent decrease in Electrical sales in 2017 from 2016 was primarily the result of:</w:t>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38" w:right="239" w:bottom="1440" w:gutter="0" w:footer="0" w:header="0"/>
        </w:sectPr>
      </w:pPr>
    </w:p>
    <w:bookmarkStart w:id="30" w:name="page31"/>
    <w:bookmarkEnd w:id="30"/>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project sales volume as a result of the impact of three large Canadian Oil Sands projects in 2016 that did not recur in 2017.</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growth in our industrial business primarily in the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 during 2017;</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increases in selling prices to mitigate inflationary cost increases;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related to a business acquisition that occurred in the first quarter of 2017.</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$516.1 million in 2016 as a result of the ERICO Acquisition, compared to sales of $147.0 million in 2015;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growth in our industrial and residential &amp; commercial businesses.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slowdown in capital spending, particularly in the energy and infrastructure businesses, driving core sales declines;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U.S. dollar causing unfavorable foreign currency effects.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w w:val="99"/>
              </w:rPr>
              <w:t>The components of the change in Electrical segment income from the prior period were as follows:</w:t>
            </w:r>
          </w:p>
        </w:tc>
        <w:tc>
          <w:tcPr>
            <w:tcW w:w="11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0"/>
        </w:trPr>
        <w:tc>
          <w:tcPr>
            <w:tcW w:w="8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60" w:type="dxa"/>
            <w:vAlign w:val="bottom"/>
          </w:tcPr>
          <w:p>
            <w:pPr>
              <w:spacing w:after="0"/>
              <w:rPr>
                <w:sz w:val="24"/>
                <w:szCs w:val="24"/>
                <w:color w:val="auto"/>
              </w:rPr>
            </w:pPr>
          </w:p>
        </w:tc>
        <w:tc>
          <w:tcPr>
            <w:tcW w:w="17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34"/>
        </w:trPr>
        <w:tc>
          <w:tcPr>
            <w:tcW w:w="8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 pts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pts</w:t>
            </w:r>
          </w:p>
        </w:tc>
      </w:tr>
      <w:tr>
        <w:trPr>
          <w:trHeight w:val="243"/>
        </w:trPr>
        <w:tc>
          <w:tcPr>
            <w:tcW w:w="8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(0.1)</w:t>
            </w:r>
          </w:p>
        </w:tc>
        <w:tc>
          <w:tcPr>
            <w:tcW w:w="1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116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(2.0)</w:t>
            </w:r>
          </w:p>
        </w:tc>
        <w:tc>
          <w:tcPr>
            <w:tcW w:w="17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0" w:type="dxa"/>
            <w:vAlign w:val="bottom"/>
          </w:tcPr>
          <w:p>
            <w:pPr>
              <w:spacing w:after="0"/>
              <w:rPr>
                <w:sz w:val="21"/>
                <w:szCs w:val="21"/>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Productivity/Price</w:t>
            </w:r>
          </w:p>
        </w:tc>
        <w:tc>
          <w:tcPr>
            <w:tcW w:w="11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1.1</w:t>
            </w:r>
          </w:p>
        </w:tc>
        <w:tc>
          <w:tcPr>
            <w:tcW w:w="1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80" w:type="dxa"/>
            <w:vAlign w:val="bottom"/>
          </w:tcPr>
          <w:p>
            <w:pPr>
              <w:spacing w:after="0"/>
              <w:rPr>
                <w:sz w:val="22"/>
                <w:szCs w:val="22"/>
                <w:color w:val="auto"/>
              </w:rPr>
            </w:pPr>
          </w:p>
        </w:tc>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0.2 pts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pts</w:t>
            </w:r>
          </w:p>
        </w:tc>
      </w:tr>
      <w:tr>
        <w:trPr>
          <w:trHeight w:val="20"/>
        </w:trPr>
        <w:tc>
          <w:tcPr>
            <w:tcW w:w="80" w:type="dxa"/>
            <w:vAlign w:val="bottom"/>
          </w:tcPr>
          <w:p>
            <w:pPr>
              <w:spacing w:after="0" w:line="20" w:lineRule="exact"/>
              <w:rPr>
                <w:sz w:val="1"/>
                <w:szCs w:val="1"/>
                <w:color w:val="auto"/>
              </w:rPr>
            </w:pPr>
          </w:p>
        </w:tc>
        <w:tc>
          <w:tcPr>
            <w:tcW w:w="8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0.2 percentage point increase in segment income for Electrical as a percentage of net sales in 2017 from 2016 was primarily the result of:</w:t>
      </w:r>
    </w:p>
    <w:p>
      <w:pPr>
        <w:spacing w:after="0" w:line="173"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mix as a result of the decline in lower margin project sales and growth in higher margin product sales in 2017, compared to 2016;</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core sales in our industrial business, which resulted in increased leverage on fixed operating expenses;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control and savings generated from back-office consolidation, reduction in personnel and other lean initiatives.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increases related to labor costs and certain raw materials;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core sales volumes in our energy and infrastructure businesses, which resulted in decreased leverage on operating expenses; and</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 of sales during 2017 due to manufacturing footprint rationalization and a new U.S. distribution center. We expect these investments will result in increased productivity and operating leverage in future periods.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0.7 percentage point decrease in segment income for Electrical as a percentage of sales in 2016 from 2015 was primarily the result of:</w:t>
      </w:r>
    </w:p>
    <w:p>
      <w:pPr>
        <w:spacing w:after="0" w:line="173"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margin project sales not offsetting the decline in higher margin product sales;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increases related to labor costs and certain raw materials.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742"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173"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core sales in our industrial and residential &amp; commercial businesses, which resulted in increased leverage on fixed operating expenses;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contribution and integration synergies as a result of the ERICO Acquisition.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 We generally issue commercial paper to fund our financing needs on a short-term basis and use our revolving credit facility as back-up liquidity to support commercial paper.</w:t>
      </w:r>
    </w:p>
    <w:p>
      <w:pPr>
        <w:spacing w:after="0" w:line="13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focusing on increasing our cash flow and repaying existing debt, while continuing to fund our research and development, marketing and capital investment initiatives. Our intent is to maintain investment grade credit ratings and a solid liquidity position.</w:t>
      </w:r>
    </w:p>
    <w:p>
      <w:pPr>
        <w:spacing w:after="0" w:line="1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experience seasonal cash flows primarily due to seasonal demand in a number of markets within both our Water and Electrical segments. We generally borrow in the first quarter of our fiscal year for operational purposes, which usage reverses in the second quarter as the seasonality of our businesses peaks. 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 Additionally, Electrical generally experiences increased demand for thermal protection products and services during the fall and winter months in the Northern Hemisphere and increased demand for electrical fastening products during the spring and summer months in the Northern Hemisphere.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Cash provided by operating activities of continuing operations was $674.0 million in 2017. It was primarily related to </w:t>
      </w:r>
      <w:r>
        <w:rPr>
          <w:rFonts w:ascii="Times New Roman" w:cs="Times New Roman" w:eastAsia="Times New Roman" w:hAnsi="Times New Roman"/>
          <w:sz w:val="18"/>
          <w:szCs w:val="18"/>
          <w:i w:val="1"/>
          <w:iCs w:val="1"/>
          <w:color w:val="auto"/>
        </w:rPr>
        <w:t>Net income from continuing operations</w:t>
      </w:r>
      <w:r>
        <w:rPr>
          <w:rFonts w:ascii="Times New Roman" w:cs="Times New Roman" w:eastAsia="Times New Roman" w:hAnsi="Times New Roman"/>
          <w:sz w:val="18"/>
          <w:szCs w:val="18"/>
          <w:color w:val="auto"/>
        </w:rPr>
        <w:t>, net of the following non-cash items: depreciations and amortization, loss on sale of businesses, trade name and other impairment, loss on early extinguishment of debt and pension and other post-retirement expense.</w:t>
      </w:r>
    </w:p>
    <w:p>
      <w:pPr>
        <w:spacing w:after="0" w:line="13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Cash provided by operating activities of continuing operations was $702.4 million in 2016, or $104.7 million higher than in 2015. The increase in cash provided by operating activities from continuing operations was due primarily to a $122.6 million increase in </w:t>
      </w:r>
      <w:r>
        <w:rPr>
          <w:rFonts w:ascii="Times New Roman" w:cs="Times New Roman" w:eastAsia="Times New Roman" w:hAnsi="Times New Roman"/>
          <w:sz w:val="18"/>
          <w:szCs w:val="18"/>
          <w:i w:val="1"/>
          <w:iCs w:val="1"/>
          <w:color w:val="auto"/>
        </w:rPr>
        <w:t>Net income from continuing operations</w:t>
      </w:r>
      <w:r>
        <w:rPr>
          <w:rFonts w:ascii="Times New Roman" w:cs="Times New Roman" w:eastAsia="Times New Roman" w:hAnsi="Times New Roman"/>
          <w:sz w:val="18"/>
          <w:szCs w:val="18"/>
          <w:color w:val="auto"/>
        </w:rPr>
        <w:t>, net of the following non-cash items: depreciations and amortization, loss on sale of businesses, trade name impairment and pension and other post-retirement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3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of continuing operations was $2,636.9 million in 2017, compared to net cash used for investing activities of $123.3 million and $2,003.6 million in 2016 and 2015, respectively. The following investing activities impacted our cash flow: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Businesses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28, 2017 we completed the sale of the Valves &amp; Controls business to Emerson Electric Co. for $3.15 billion in cash.</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740" w:right="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2017, we completed acquisitions with purchase prices totaling $59.5 million in cash, net of cash acquired.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2016, we paid cash of $25.0 million to acquire a business as part of Water.</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2015, we paid cash of $1,806.3 million, net of cash acquired, to acquire ERICO Global Company during the third quarter and cash of $96.0 million, net of cash acquired, to acquire Nuheat Industries Limited ("Nuheat") during the second quarter, both as part of Electrical. During the fourth quarter, we paid an additional $0.9 million related to the Nuheat acquisition in settlement of a working capital adjustment.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Capital expenditures in 2017, 2016 and 2015 were $70.9 million, $117.8 million and $91.3 million, respectively. We anticipate capital expenditures for fiscal 2018 to be approximately $85.0 million, primarily for capacity expansions of manufacturing facilities located in our low-cost countries, developing new products and general maintenance.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Net cash used for financing activities was $3,432.6 million in 2017. As described further below, we utilized a portion of the proceeds from the sale of the Valves &amp; Controls business to repay our commercial paper and revolving long term debt and for the early extinguishment of certain series of fixed rate debt. Additionally, we repurchased $200.0 million of shares during 2017 and paid $251.7 million of dividends.</w:t>
      </w:r>
    </w:p>
    <w:p>
      <w:pPr>
        <w:spacing w:after="0" w:line="13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was $600.1 million in 2016. Cash used for financing activities in 2016 was primarily due to net repayments of commercial paper and revolving long-term debt and payments of dividends.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$1,286.3 million in 2015. Cash provided by financing activities in 2016 was primarily due to cash proceeds received from the September 2015 issuance of senior notes (discussed below), partially offset by share repurchases, repayment of $350 million of senior notes due 2015 and payment of dividends.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2014, Pentair plc, Pentair Investments Switzerland GmbH ("PISG"), Pentair Finance S.à r.l. ("PFSA") and Pentair, Inc. entered into an amended and restated credit agreement (the "Credit Facility"), with Pentair plc and PISG as guarantors and PFSA and Pentair, Inc. as borrowers. The Credit Facility had a maximum aggregate availability of $2,100.0 million and a maturity date of October 3, 2019. Borrowings under the Credit Facility generally bear interest at a variable rate equal to the London Interbank Offered Rate ("LIBOR") plus a specified margin based upon PFSA's credit ratings. PFSA must pay a facility fee ranging from 9.0 to 25.0 basis points per annum (based upon PFSA's credit ratings) on the amount of each lender's commitment and letter of credit fee for each letter of credit issued and outstanding under the Credit Facility.</w:t>
      </w:r>
    </w:p>
    <w:p>
      <w:pPr>
        <w:spacing w:after="0" w:line="13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August 2015, Pentair plc, PISG and PFSA entered into a First Amendment to the Credit Facility (the "First Amendment"), which, among other things, increased the Leverage Ratio (as defined below). In September 2015, Pentair plc, PISG and PFSA entered into a Second Amendment to the Credit Facility (the "Second Amendment"), which, among other things, increased the maximum aggregate availability to $2,500.0 million. Additionally, in September 2016, Pentair plc, PISG and PFSA entered into a Third Amendment to the Credit Facility (the "Third Amendment," and collectively with the First Amendment and Second Amendment, the "Amendments"), which, among other things, increased the maximum Leverage Ratio to the amounts specified below, and amended the definition of EBITDA to include earnings from discontinued operations subject to a sale agreement until such disposition actually occurs.</w:t>
      </w:r>
    </w:p>
    <w:p>
      <w:pPr>
        <w:spacing w:after="0" w:line="13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In May 2017, we repurchased aggregate principal of certain series of outstanding notes totaling $1,659.3 million. All costs associated with the repurchases were recorded as </w:t>
      </w:r>
      <w:r>
        <w:rPr>
          <w:rFonts w:ascii="Times New Roman" w:cs="Times New Roman" w:eastAsia="Times New Roman" w:hAnsi="Times New Roman"/>
          <w:sz w:val="18"/>
          <w:szCs w:val="18"/>
          <w:i w:val="1"/>
          <w:iCs w:val="1"/>
          <w:color w:val="auto"/>
        </w:rPr>
        <w:t>Loss on early extinguishment of debt,</w:t>
      </w:r>
      <w:r>
        <w:rPr>
          <w:rFonts w:ascii="Times New Roman" w:cs="Times New Roman" w:eastAsia="Times New Roman" w:hAnsi="Times New Roman"/>
          <w:sz w:val="18"/>
          <w:szCs w:val="18"/>
          <w:color w:val="auto"/>
        </w:rPr>
        <w:t xml:space="preserve"> including $6.5 million of unamortized deferred financing costs.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PFSA is authorized to sell short-term commercial paper notes to the extent availability exists under the Credit Facility. PFSA uses the Credit Facility as back-up liquidity to support 100% of commercial paper outstanding. As of December 31, 2017 and 2016, we had $34.0 million and $398.7 million, respectively, of commercial paper outstanding, all of which was classified as long-term as we have the intent and the ability to refinance such obligations on a long-term basis under the Credit Facility.</w:t>
      </w:r>
    </w:p>
    <w:p>
      <w:pPr>
        <w:spacing w:after="0" w:line="12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debt agreements contain certain financial covenants, the most restrictive of which are in the Credit Facility (as updated for the Amendments), including that we may not permit (i) the ratio of our consolidated debt plus synthetic lease obligations to our consolidated net income (excluding, among other things, non-cash gains and losses) before interest, taxes, depreciation, amortization, non-cash share-based compensation expense, and up to a lifetime maximum $25.0 million of costs, fees and expenses incurred in connection with certain acquisitions, investments, dispositions and the issuance, repayment or refinancing of debt, ("EBITDA") for the four consecutive fiscal quarters then ended (the "Leverage Ratio") to exceed 3.50 to 1.00 as of the last day of the period of four consecutive fiscal quarters and (ii) the ratio of our EBITDA for the four consecutive fiscal quarters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578" w:right="259" w:bottom="1440" w:gutter="0" w:footer="0" w:header="0"/>
        </w:sectPr>
      </w:pPr>
    </w:p>
    <w:bookmarkStart w:id="33" w:name="page34"/>
    <w:bookmarkEnd w:id="33"/>
    <w:p>
      <w:pPr>
        <w:spacing w:after="0" w:line="261" w:lineRule="auto"/>
        <w:rPr>
          <w:sz w:val="20"/>
          <w:szCs w:val="20"/>
          <w:color w:val="auto"/>
        </w:rPr>
      </w:pPr>
      <w:r>
        <w:rPr>
          <w:rFonts w:ascii="Times New Roman" w:cs="Times New Roman" w:eastAsia="Times New Roman" w:hAnsi="Times New Roman"/>
          <w:sz w:val="18"/>
          <w:szCs w:val="18"/>
          <w:color w:val="auto"/>
        </w:rPr>
        <w:t>then ended to our consolidated interest expense, including consolidated yield or discount accrued as to outstanding securitization obligations (if any), for the same period to be less than 3.00 to 1.00 as of the end of each fiscal quarter. For purposes of the Leverage Ratio, the Credit Facility provides for the calculation of EBITDA giving pro forma effect to certain acquisitions, divestitures and liquidations during the period to which such calculation relates. As of December 31, 2017, we were in compliance with all financial covenants in our debt agreements.</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Total availability under the Credit Facility was $2,437.6 million as of December 31, 2017, which was limited to $1,897.5 million by the Leverage Ratio in the Credit Facility's credit agreement.</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to the Credit Facility, we have various other credit facilities with an aggregate availability of $30.0 million, of which there were no outstanding borrowings at December 31, 2017. Borrowings under these credit facilities bear interest at variable rates.</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December 31, 2017, we had $65.1 million of cash held in certain countries in which the ability to repatriate is limited due to local regulations or significant potential tax consequences.</w:t>
      </w:r>
    </w:p>
    <w:p>
      <w:pPr>
        <w:spacing w:after="0" w:line="108"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We expect to continue to have cash requirements to support working capital needs and capital expenditures, to pay interest and service debt and to pay dividends to shareholders quarterly. We believe we have the ability and sufficient capacity to meet these cash requirements by using available cash and internally generated funds and to borrow under our committed and uncommitted credit facilities.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December 5, 2017, the Board of Directors declared a quarterly cash dividend of $0.35 that was paid on February 9, 2018 to shareholders of record at the close of business on January 26, 2018. Additionally, the Board of Director's approved a plan to increase the 2018 annual cash dividend to $1.40, which is intended to paid in four quarterly installments. The 2018 increase will mark the 42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consecutive year we have increased dividends.</w:t>
      </w:r>
    </w:p>
    <w:p>
      <w:pPr>
        <w:spacing w:after="0" w:line="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paid dividends in 2017 of $251.7 million, or $1.38 per ordinary share, compared with $243.6 million, or $1.34 per ordinary share, in 2016 and $231.7 million, or $1.28 per ordinary share, in 2015.</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On July 22, 2014, the Irish High Court approved Pentair plc's conversion of approximately $14.4 billion of share premium to distributable reserves. On July 29, 2014, following the approval of the Irish High Court, we made the required filing of Pentair plc's initial accounts with the Irish Companies Registration Office, which completed the process to allow us to pay future cash dividends and redeem and repurchase shares out of Pentair plc's "distributable reserves." Our distributable reserve balance was $9.0 billion and $9.4 billion as of December 31, 2017 and 2016,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share capital consists of 426.0 million ordinary shares with a par value of $0.01 per share.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 held in treasury</w:t>
      </w:r>
    </w:p>
    <w:p>
      <w:pPr>
        <w:spacing w:after="0" w:line="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August 2015, we canceled all of our ordinary shares held in treasury. At the time of the cancellation, we held 19.1 million ordinary shares in treasury at a cost of $1.2 billion.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December 2014, the Board of directors authorized the repurchase of our ordinary shares up to a maximum dollar limit of $1.0 billion. The authorization expires on December 31, 2019.</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2015, we repurchased 3.1 million of our ordinary shares for $200.0 million under the 2014 authorization.</w:t>
      </w:r>
    </w:p>
    <w:p>
      <w:pPr>
        <w:spacing w:after="0" w:line="17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2017, we repurchased 3.0 million of our ordinary shares for $200.0 million under the 2014 authorization. We have $600.0 million remaining availability for repurchases under the under the 2014 authorization.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742"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our significant contractual obligations that impact our liquidity: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32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1,447.5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obligations on fixed-rate debt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 net of sublease rentals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and marketing obligations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other post-retirement plan</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contributions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37"/>
        </w:trPr>
        <w:tc>
          <w:tcPr>
            <w:tcW w:w="3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contractual obligations, net</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3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1,827.4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majority of the purchase obligations represent commitments for raw materials to be utilized in the normal course of business. For purposes of the above table, arrangements are considered purchase obligations if a contract specifies all significant terms, including fixed or minimum quantities to be purchased, a pricing structure and approximate timing of the transaction.</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to the summary of significant contractual obligations, we will incur annual interest expense on outstanding variable rate debt. As of December 31, 2017, variable interest rate debt was $62.4 million at a weighted average interest rate of 2.67%.</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The total gross liability for uncertain tax positions at December 31, 2017 was estimated to be $36.6 million. We record penalties and interest related to unrecognized tax benefits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respectively, which is consistent with our past practices. As of December 31, 2017, we had recorded $2.3 million for the possible payment of penalties and $9.4 million related to the possible payment of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measures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measuring our cash flow generation or usage based upon operating, investing and financing classifications included in the Consolidated Statements of Cash Flows, we also measure our free cash flow. We have a long-term goal to consistently generate free cash flow that equals or exceeds 100 percent conversion of adjusted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free cash flow:</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Pr>
          <w:p>
            <w:pPr>
              <w:spacing w:after="0"/>
              <w:rPr>
                <w:sz w:val="21"/>
                <w:szCs w:val="21"/>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operating activities of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702.4</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7"/>
        </w:trPr>
        <w:tc>
          <w:tcPr>
            <w:tcW w:w="6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Free cash flow from continuing operations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611.0</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609.3</w:t>
            </w:r>
          </w:p>
        </w:tc>
        <w:tc>
          <w:tcPr>
            <w:tcW w:w="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511.0</w:t>
            </w:r>
          </w:p>
        </w:tc>
        <w:tc>
          <w:tcPr>
            <w:tcW w:w="0" w:type="dxa"/>
            <w:vAlign w:val="bottom"/>
          </w:tcPr>
          <w:p>
            <w:pPr>
              <w:spacing w:after="0"/>
              <w:rPr>
                <w:sz w:val="1"/>
                <w:szCs w:val="1"/>
                <w:color w:val="auto"/>
              </w:rPr>
            </w:pPr>
          </w:p>
        </w:tc>
      </w:tr>
      <w:tr>
        <w:trPr>
          <w:trHeight w:val="67"/>
        </w:trPr>
        <w:tc>
          <w:tcPr>
            <w:tcW w:w="69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operating activities of discontinued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159.0</w:t>
            </w: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 of discontinued operations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property and equipment of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7"/>
        </w:trPr>
        <w:tc>
          <w:tcPr>
            <w:tcW w:w="6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550.7</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769.8</w:t>
            </w:r>
          </w:p>
        </w:tc>
        <w:tc>
          <w:tcPr>
            <w:tcW w:w="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632.3</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2017, we had no off-balance sheet financing arrangements.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738" w:right="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been made parties to a number of actions filed or have been given notice of potential claims relating to the conduct of our business, including those pertaining to commercial disputes, product liability, asbestos, environmental, safety and health, patent infringement and employment matters.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ITEM 8, Note 17 of the Notes to Consolidated Financial Statements could change in the future.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are subject to various product liability lawsuits and personal injury claims. A substantial number of these lawsuits and claims are insured and accrued for by Penwald, our captive insurance subsidiary. See discussion in ITEM 1 and ITEM 8, Note 1 of the Notes to Consolidated Financial Statements —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bank guarantees and bonds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certain situations, Tyco guaranteed Flow Control's performance to third parties or provided financial guarantees for financial commitments of Flow Control. In situations where Flow Control and Tyco were unable to obtain a release from these guarantees in connection with the spin-off, we will indemnify Tyco for any losses it suffers as a result of such guarantees.</w:t>
      </w:r>
    </w:p>
    <w:p>
      <w:pPr>
        <w:spacing w:after="0" w:line="13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disposing of assets or businesses, we often provide representations, warranties and indemnities to cover various risks including unknown damage to the assets, environmental risks involved in the sale of real estate, liability to investigate and remediate environmental contamination at waste disposal sites and manufacturing facilities and unidentified tax liabilities and legal fees related to periods prior to disposition. We do not have the ability to reasonably estimate the potential liability due to the inchoate and unknown nature of these potential liabilities. However, we have no reason to believe that these uncertainties would have a material adverse effect on our financial position, results of operations or cash flows.</w:t>
      </w:r>
    </w:p>
    <w:p>
      <w:pPr>
        <w:spacing w:after="0" w:line="1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2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of December 31, 2017 and 2016, the outstanding value of bonds, letters of credit and bank guarantees totaled $201.5 million and $331.0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ITEM 8, Note 1 of the Notes to Consolidated Financial Statements, included in this Form 10-K, for information pertaining to recently adopted accounting standards or accounting standards to be adopted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adopted various accounting policies to prepare the consolidated financial statements in accordance with GAAP. Our significant accounting policies are more fully described in ITEM 8, Note 1 of the Notes to Consolidated Financial Statements.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observance of trends in the industry and information available from other outside sources, as appropriate. We consider an accounting estimate to be critical if:</w:t>
      </w:r>
    </w:p>
    <w:p>
      <w:pPr>
        <w:spacing w:after="0" w:line="130" w:lineRule="exact"/>
        <w:rPr>
          <w:sz w:val="20"/>
          <w:szCs w:val="20"/>
          <w:color w:val="auto"/>
        </w:rPr>
      </w:pPr>
    </w:p>
    <w:p>
      <w:pPr>
        <w:ind w:left="5620" w:right="2540" w:hanging="5288"/>
        <w:spacing w:after="0" w:line="564" w:lineRule="auto"/>
        <w:tabs>
          <w:tab w:leader="none" w:pos="65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requires us to make assumptions about matters that were uncertain at the time we were making the estimate; and 34</w:t>
      </w:r>
    </w:p>
    <w:p>
      <w:pPr>
        <w:sectPr>
          <w:pgSz w:w="11900" w:h="16838" w:orient="portrait"/>
          <w:cols w:equalWidth="0" w:num="1">
            <w:col w:w="11420"/>
          </w:cols>
          <w:pgMar w:left="240" w:top="576" w:right="239" w:bottom="1440" w:gutter="0" w:footer="0" w:header="0"/>
        </w:sectPr>
      </w:pPr>
    </w:p>
    <w:bookmarkStart w:id="36" w:name="page37"/>
    <w:bookmarkEnd w:id="36"/>
    <w:p>
      <w:pPr>
        <w:ind w:left="660" w:right="18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or different estimates that we could have selected would have had a material impact on our financial condition or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estimates include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indefinite-lived intangibles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cost of acquired businesses over the net of the fair value of identifiable tangible net assets and identifiable intangible assets purchased and liabilities assumed.</w:t>
      </w:r>
    </w:p>
    <w:p>
      <w:pPr>
        <w:spacing w:after="0" w:line="12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Goodwill is tested at least annually for impairment and is tested for impairment more frequently if events or changes in circumstances indicate that the asset might be impaired. The impairment test is performed using a two-step process. In the first step, the fair value of each reporting unit is compared with the carrying amount of the reporting unit, including goodwill. If the estimated fair value is less than the carrying amount of the reporting unit there is an indication that goodwill impairment exists and a second step must be completed in order to determine the amount of the goodwill impairment, if any that should be recorded. In the second step,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fair value of each reporting unit is determined using a discounted cash flow analysis and market approach. Projecting discounted future cash flows requires us to make significant estimates regarding future revenues and expenses, projected capital expenditures, changes in working capital and the appropriate discount rate. Use of the market approach consists of comparisons to comparable publicly-traded companies that are similar in size and industry. Actual results may differ from those used in our valuations. This non-recurring fair value measurement is a "Level 3" measurement under the fair value hierarchy described below.</w:t>
      </w:r>
    </w:p>
    <w:p>
      <w:pPr>
        <w:spacing w:after="0" w:line="13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developing our discounted cash flow analysis, assumptions about future revenues and expenses, capital expenditures and changes in working capital are based on our annual operating plan and long-term business plan for each of our reporting units. These plans take into consideration numerous factors including historical experience, anticipated future economic conditions, changes in raw material prices and growth expectations for the industries and end markets we participate in. These assumptions are determined over a six year long-term planning period. The six year growth rates for revenues and operating profits vary for each reporting unit being evaluated. Revenues and operating profit beyond 2023 are projected to grow at a perpetual growth rate of 3.0%.</w:t>
      </w:r>
    </w:p>
    <w:p>
      <w:pPr>
        <w:spacing w:after="0" w:line="13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Discount rate assumptions for each reporting unit take into consideration our assessment of risks inherent in the future cash flows of the respective reporting unit and our weighted-average cost of capital. We utilized discount rates ranging from 9.0% to 9.5% in determining the discounted cash flows in our fair value analysis.</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estimating fair value using the market approach, we identify a group of comparable publicly-traded companies for each reporting unit that are similar in terms of size and product offering. These groups of comparable companies are used to develop multiples based on total market-based invested capital as a multiple of earnings before interest, taxes, depreciation and amortization ("EBITDA"). We determine our estimated values by applying these comparable EBITDA multiples to the operating results of our reporting units. The ultimate fair value of each reporting unit is determined considering the results of both valuation methods.</w:t>
      </w:r>
    </w:p>
    <w:p>
      <w:pPr>
        <w:spacing w:after="0" w:line="13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completed step one of our annual goodwill impairment evaluation as of the first day of the fourth quarter of 2017, 2016 and 2015 with each of our reporting units' fair value in excess of its carrying value.</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latter part of the fourth quarter of 2015, the oil and gas industry continued to deteriorate, leading management to reconsider its estimates for future profitability of the reporting unit and thereby increasing the likelihood that the associated goodwill could be impaired. As such, we concluded that a triggering event occurred during the fourth quarter of 2015 requiring that we test the goodwill of our former Valves &amp; Controls business for impairment. As a result, we reperformed our step one analysis as of December 31, 2015. Consistent with our annual test, the fair value was estimated using both a discounted cash flow analysis and market approach.</w:t>
      </w:r>
    </w:p>
    <w:p>
      <w:pPr>
        <w:spacing w:after="0" w:line="1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results of our step one goodwill impairment testing as of December 31, 2015 indicated that the fair value of our former Valves &amp; Controls business was below its carrying value. Accordingly, we performed the step two test and concluded the goodwill of our former Valves &amp; Controls business was impaired. As a result, we recorded a non-cash goodwill impairment charge of $515.2 million for the year ended December 31, 2015. The impairment charge was recorded in </w:t>
      </w:r>
      <w:r>
        <w:rPr>
          <w:rFonts w:ascii="Times New Roman" w:cs="Times New Roman" w:eastAsia="Times New Roman" w:hAnsi="Times New Roman"/>
          <w:sz w:val="18"/>
          <w:szCs w:val="18"/>
          <w:i w:val="1"/>
          <w:iCs w:val="1"/>
          <w:color w:val="auto"/>
        </w:rPr>
        <w:t>Income (loss) from discontinued operations, net of tax</w:t>
      </w:r>
      <w:r>
        <w:rPr>
          <w:rFonts w:ascii="Times New Roman" w:cs="Times New Roman" w:eastAsia="Times New Roman" w:hAnsi="Times New Roman"/>
          <w:sz w:val="18"/>
          <w:szCs w:val="18"/>
          <w:color w:val="auto"/>
        </w:rPr>
        <w:t xml:space="preserve"> in our Consolidated Statements of Operations and Comprehensive Income (Loss).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742"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Our primary identifiable intangible assets include: customer relationships, trade names and trademarks, proprietary technology, backlog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We complete our annual impairment test during the fourth quarter each year for those identifiable assets not subject to amortization.</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impairment test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An impairment charge of $25.2 million was recorded in 2017 related to certain trade names in both Water and Electrical as a result of either lower forecasted sales volume or rebranding strategies implemented in the fourth quarter of 2017. An impairment charge of $13.3 million was recorded in 2016 related to a trade name in Electrical as the result of a rebranding strategy implemented in the fourth quarter of 2016. The trade name impairment charges were recorded in </w:t>
      </w: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in our Consolidated Statements of Operations and Comprehensive Income (Loss).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As noted above, during the latter part of the fourth quarter of 2015, the oil and gas industry continued to deteriorate, leading management to reconsider its estimates for future profitability of our former Valves &amp; Controls business and thereby increasing the likelihood that the associated intangible assets could be impaired. As such, we concluded that a triggering event occurred during the fourth quarter of 2015 requiring that we test Valves &amp; Controls trade names for impairment. As a result of this test, an impairment charge of $39.5 million was recorded in 2015 related to trade names in the Valves &amp; Controls business that was sold in 2017. The impairment charge was recorded in </w:t>
      </w:r>
      <w:r>
        <w:rPr>
          <w:rFonts w:ascii="Times New Roman" w:cs="Times New Roman" w:eastAsia="Times New Roman" w:hAnsi="Times New Roman"/>
          <w:sz w:val="18"/>
          <w:szCs w:val="18"/>
          <w:i w:val="1"/>
          <w:iCs w:val="1"/>
          <w:color w:val="auto"/>
        </w:rPr>
        <w:t>Income (loss) from discontinued operations, net of tax</w:t>
      </w:r>
      <w:r>
        <w:rPr>
          <w:rFonts w:ascii="Times New Roman" w:cs="Times New Roman" w:eastAsia="Times New Roman" w:hAnsi="Times New Roman"/>
          <w:sz w:val="18"/>
          <w:szCs w:val="18"/>
          <w:color w:val="auto"/>
        </w:rPr>
        <w:t xml:space="preserve"> in our Consolidated Statements of Operations and Comprehensive Income (Loss).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plans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sponsor U.S. and non-U.S. defined-benefit pension and other post-retirement plans. The amounts recognized in our consolidated financial statements related to our defined-benefit pension and other post-retirement plans are determined from actuarial valuations. Inherent in these valuations are assumptions, including: expected return on plan assets, discount rates, rate of increase in future compensation levels and health care cost trend rates. These assumptions are updated annually and are disclosed in ITEM 8, Note 13 to the Notes to Consolidated Financial Statements. Differences in actual experience or changes in assumptions may affect our pension and other post-retirement obligations and future expense.</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primary factors contributing to actuarial gains and losses each year are (1) changes in the discount rate used to value pension and other post-retirement benefit obligations as of the measurement date and (2) differences between the expected and the actual return on plan assets. This accounting method also results in the potential for volatile and difficult to forecast mark-to-market adjustments. Mark-to-market adjustments resulted in pre-tax charges of $1.6 million and $4.2 million in 2017 and 2016, respectively, and pre-tax income of $23.0 million in 2015. The remaining components of pension expense, including service and interest costs and the expected return on plan assets, are recorded on a quarterly basis as ongoing pension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9"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7"/>
          <w:szCs w:val="17"/>
          <w:color w:val="auto"/>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available in the marketplace rated AA or higher, adjusted to eliminate the effects of call provisions. This produced a weighted-average discount rate for our U.S. plans of</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3.39% in 2017, 4.02% in 2016 and 4.21% in 2015. The discount rates on our non-U.S. plans ranged from 0.50% to 3.50% in 2017, 0.50% to 4.00% in 2016 and 0.50% to 4.25% in 2015. There are no known or anticipated changes in our discount rate assumption that will impact our pension expense in 2018.</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rate of return</w:t>
      </w:r>
    </w:p>
    <w:p>
      <w:pPr>
        <w:spacing w:after="0" w:line="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expected rate of return on plan assets for our U.S. plans was 4.11% for 2017, 4.28% in 2016 and 3.65% in 2015. The expected rate of return on our non-U.S. plans ranged from 1.00% to 5.50% in 2017, 1.00% to 5.50% in 2016 and 1.00% to 6.00% in 2015. The expected rate of return is designed to be a long-term assumption that may be subject to considerable year-to-year variance from actual returns. In developing the expected long-term rate of return, we considered our historical returns,</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740" w:right="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with consideration given to forecasted economic conditions, our asset allocations, input from external consultants and broader longer-term market indices.</w:t>
      </w:r>
    </w:p>
    <w:p>
      <w:pPr>
        <w:spacing w:after="0" w:line="17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November 2017, our Board of Directors approved amendments to terminate the Pentair Salaried Plan (the "Salaried Plan"), a U.S. qualified pension plan. The Salaried Plan discontinued accruing benefits on December 31, 2017 and the termination was effective December 31, 2017. It is expected to take 18 to 24 months from the date of the approved amendment to complete the termination of the Salaried Plan.</w:t>
      </w:r>
    </w:p>
    <w:p>
      <w:pPr>
        <w:spacing w:after="0" w:line="284" w:lineRule="exact"/>
        <w:rPr>
          <w:sz w:val="20"/>
          <w:szCs w:val="20"/>
          <w:color w:val="auto"/>
        </w:rPr>
      </w:pPr>
    </w:p>
    <w:p>
      <w:pPr>
        <w:ind w:right="860"/>
        <w:spacing w:after="0" w:line="355" w:lineRule="auto"/>
        <w:rPr>
          <w:sz w:val="20"/>
          <w:szCs w:val="20"/>
          <w:color w:val="auto"/>
        </w:rPr>
      </w:pPr>
      <w:r>
        <w:rPr>
          <w:rFonts w:ascii="Times New Roman" w:cs="Times New Roman" w:eastAsia="Times New Roman" w:hAnsi="Times New Roman"/>
          <w:sz w:val="18"/>
          <w:szCs w:val="18"/>
          <w:color w:val="auto"/>
        </w:rPr>
        <w:t xml:space="preserve">See ITEM 8, Note 13 of the Notes to Consolidated Financial Statements for further information regarding pension and other post-retirement plans. </w:t>
      </w:r>
      <w:r>
        <w:rPr>
          <w:rFonts w:ascii="Times New Roman" w:cs="Times New Roman" w:eastAsia="Times New Roman" w:hAnsi="Times New Roman"/>
          <w:sz w:val="18"/>
          <w:szCs w:val="18"/>
          <w:b w:val="1"/>
          <w:bCs w:val="1"/>
          <w:i w:val="1"/>
          <w:iCs w:val="1"/>
          <w:color w:val="auto"/>
        </w:rPr>
        <w:t>Loss contingencies</w:t>
      </w:r>
    </w:p>
    <w:p>
      <w:pPr>
        <w:ind w:right="160"/>
        <w:spacing w:after="0" w:line="255" w:lineRule="auto"/>
        <w:rPr>
          <w:sz w:val="20"/>
          <w:szCs w:val="20"/>
          <w:color w:val="auto"/>
        </w:rPr>
      </w:pPr>
      <w:r>
        <w:rPr>
          <w:rFonts w:ascii="Times New Roman" w:cs="Times New Roman" w:eastAsia="Times New Roman" w:hAnsi="Times New Roman"/>
          <w:sz w:val="18"/>
          <w:szCs w:val="18"/>
          <w:color w:val="auto"/>
        </w:rPr>
        <w:t>Accruals are recorded for various contingencies including legal proceedings, self-insurance and other claims that arise in the normal course of business. The accruals are based on judgment, the probability of losses and, where applicable, the consideration of opinions of internal and/or external legal counsel and actuarially determined estimates. Additionally, we record receivables from third party insurers when recovery has been determined to be probable.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In determining taxable income for financial statement purposes,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 and expense. 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have recorded valuation allowances that we will maintain until when, in the opinion of management, it is more likely than not that some portion or all of the deferred tax assets will be realized. Our income tax expense recorded in the future may be reduced to the extent of decreases in our valuation allowances. The realization of our remaining deferred tax assets is primarily dependent on future taxable income in the appropriate jurisdiction. Any reduction in future taxable income including but not limited to any future restructuring activities may require that we record an additional valuation allowance against our deferred tax assets. An increase in the valuation allowance could result in additional income tax expense in such period and could have a significant impact on our future earnings.</w:t>
      </w:r>
    </w:p>
    <w:p>
      <w:pPr>
        <w:spacing w:after="0" w:line="13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Changes in tax laws and rates could also affect recorded deferred tax assets and liabilities in the future. Management records the effect of a tax rate or law change on the Company's deferred tax assets and liabilities in the period of enactment. Future tax rate or law changes could have a material effect on the Company's financial condition, results of operations or cash flows.</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the calculation of our tax liabilities involves dealing with uncertainties in the application of complex tax regulations in a multitude of jurisdictions across our global operations. We perform reviews of our income tax positions on a quarterly basis and accrue for uncertain tax positions. We recognize potential liabilities and record tax liabilities for anticipated tax audit issues in the tax jurisdictions in which we operate based on our estimate of whether, and the extent to which, additional taxes will be due. These tax liabilities are reflected net of related tax loss carryforwards. As events change or resolution occurs, these liabilities are adjusted, such as in the case of audit settlements with taxing authorities.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Market risk is the potential economic loss that may result from adverse changes in the fair value of financial instruments. We are exposed to various market risks, including changes in interest rates and foreign currency rates. Periodically, we use derivative financial instruments to manage or reduce the impact of changes in interest rates. Counterparties to all derivative contracts are major financial institutions. All instruments are entered into for other than trading purposes. The major accounting policies and utilization of these instruments is described more fully in ITEM 8, Note 1 of the Notes to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31"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Our debt portfolio as of December 31, 2017, was comprised of debt predominantly denominated in U.S. dollars. This debt portfolio is comprised of 96% fixed-rate debt and 4% variable-rate debt. Changes in interest rates have different impacts on the fixed and variable-rate portions of our debt portfolio. A change in interest rates on the fixed portion of the debt portfolio impacts the fair value, but has no impact on interest incurred or cash flows. A change in interest rates on the variable portion of the debt portfolio impacts the interest incurred and cash flows but does not impact the net financial instrument position.</w:t>
      </w:r>
    </w:p>
    <w:p>
      <w:pPr>
        <w:spacing w:after="0" w:line="13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fixed-rate debt included in our debt portfolio, as of December 31, 2017, a 100 basis point increase or decrease in interest rates would result in a $28.6 million decrease or a $29.3 million increase in fair value, respectively.</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the variable-rate debt included in our debt portfolio as of December 31, 2017, a 100 basis point increase or decrease in interest rates would result in a $0.6 million increase or decrease in interest incurred.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in relation to our reporting currency, the U.S. dollar. Periodically, we use derivative financial instruments to manage these risks. The functional currencies of our foreign operating locations are generally the local currency in the country of domicile. We manage these operating activities at the local level and revenues, costs, assets and liabilities are generally denominated in local currencies, thereby mitigating the risk associated with changes in foreign exchange. However, our results of operations and assets and liabilities are reported in U.S. dollars and thus will fluctuate with changes in exchange rates between such local currencies and the U.S. dollar.</w:t>
      </w:r>
    </w:p>
    <w:p>
      <w:pPr>
        <w:spacing w:after="0" w:line="1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From time to time, we may enter into short duration foreign currency contracts to hedge foreign currency risks. As the majority of our foreign currency contracts have an original maturity date of less than one year, there is no material foreign currency risk. At December 31, 2017 and 2016, we had outstanding foreign currency derivative contracts with gross notional U.S. dollar equivalent amounts of $481.4 million and $475.6 million, respectively. Changes in the fair value of all derivatives are recognized immediately in income unless the derivative qualifies as a hedge of future cash flows. Gains and losses related to a hedge are deferred and recorded in the Consolidated Balance Sheets as a component of AOCI and subsequently recognized in the Consolidated Statements of Operations and Comprehensive Income (Loss) when the hedged item affects earnings.</w:t>
      </w:r>
    </w:p>
    <w:p>
      <w:pPr>
        <w:spacing w:after="0" w:line="13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September 2015, we designated the €500.0 million 2.45% Senior Notes due 2019 (the "2019 Euro Notes") as a net investment hedge of our investments in certain international subsidiaries that use the Euro as their functional currency. The hedge is intended to reduce, but will not eliminate, the impact on our financial results of changes in the exchange rate between the Euro and the U.S. dollar. The currency risk related to the net investment hedge is measured by estimating the potential impact of a 10% change in the value of the U.S. dollar relative to the Euro. The rates used to perform this analysis were based on the market exchange rates in effect on December 31, 2017. A 10% appreciation of the U.S. dollar relative to the Euro would result in a $54.0 million net increase in Other comprehensive income. Conversely, a 10% depreciation of the U.S. dollar relative to the Euro would result in a $66.0 million net decrease in Other comprehensive income. However, these increases and decreases in Other comprehensive income would be offset by decreases or increases in the hedged net investments on our balance sheet due to currency translation.</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576" w:right="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of Pentair plc and its subsidiaries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2017. In making this assessment, management used the criteria for effective internal control over financial reporting described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assessment, management believes that, as of December 31, 2017, the Company's internal control over financial reporting was effective based on those criteria.</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has issued an attestation report on the Company's internal control over financial reporting as of December 31, 2017. That attestation report is set forth immediately following this management report.</w:t>
      </w:r>
    </w:p>
    <w:p>
      <w:pPr>
        <w:sectPr>
          <w:pgSz w:w="11900" w:h="16838" w:orient="portrait"/>
          <w:cols w:equalWidth="0" w:num="1">
            <w:col w:w="11360"/>
          </w:cols>
          <w:pgMar w:left="240" w:top="576" w:right="299" w:bottom="1440" w:gutter="0" w:footer="0" w:header="0"/>
        </w:sect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Randall J. Hogan</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L. Stauch</w:t>
      </w:r>
    </w:p>
    <w:p>
      <w:pPr>
        <w:spacing w:after="0" w:line="61" w:lineRule="exact"/>
        <w:rPr>
          <w:sz w:val="20"/>
          <w:szCs w:val="20"/>
          <w:color w:val="auto"/>
        </w:rPr>
      </w:pPr>
    </w:p>
    <w:p>
      <w:pPr>
        <w:sectPr>
          <w:pgSz w:w="11900" w:h="16838" w:orient="portrait"/>
          <w:cols w:equalWidth="0" w:num="2">
            <w:col w:w="5360" w:space="720"/>
            <w:col w:w="5280"/>
          </w:cols>
          <w:pgMar w:left="240" w:top="576" w:right="29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p>
      <w:pPr>
        <w:spacing w:after="0" w:line="200" w:lineRule="exact"/>
        <w:rPr>
          <w:sz w:val="20"/>
          <w:szCs w:val="20"/>
          <w:color w:val="auto"/>
        </w:rPr>
      </w:pPr>
    </w:p>
    <w:p>
      <w:pPr>
        <w:sectPr>
          <w:pgSz w:w="11900" w:h="16838" w:orient="portrait"/>
          <w:cols w:equalWidth="0" w:num="2">
            <w:col w:w="5360" w:space="720"/>
            <w:col w:w="5280"/>
          </w:cols>
          <w:pgMar w:left="240" w:top="576" w:right="299" w:bottom="1440" w:gutter="0" w:footer="0" w:header="0"/>
          <w:type w:val="continuous"/>
        </w:sect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60"/>
          </w:cols>
          <w:pgMar w:left="240" w:top="576" w:right="2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Pentair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Pentair plc and subsidiaries (the "Company") as of December 31, 2017,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2017,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and financial statement schedule listed in the Index at Item 15 as of and for the year ended December 31, 2017, of the Company and our report dated February 27, 2018 expressed an unqualified opinion on those financial statements and financial statement schedule.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6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7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2018</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76"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Pentair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Pentair plc and subsidiaries (the "Company") as of December 31, 2017 and 2016, the related consolidated statements of operations and comprehensive income (loss), changes in equity, and cash flows for each of the three years in the period ended December 31, 2017, the related notes, and the schedule listed in the Index at Item 15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29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20, 2018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1977.</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20"/>
          </w:cols>
          <w:pgMar w:left="240" w:top="576"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per-share data</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sales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4,936.5</w:t>
            </w:r>
          </w:p>
        </w:tc>
        <w:tc>
          <w:tcPr>
            <w:tcW w:w="4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4,890.0</w:t>
            </w:r>
          </w:p>
        </w:tc>
        <w:tc>
          <w:tcPr>
            <w:tcW w:w="3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4,616.4</w:t>
            </w:r>
          </w:p>
        </w:tc>
        <w:tc>
          <w:tcPr>
            <w:tcW w:w="0" w:type="dxa"/>
            <w:vAlign w:val="bottom"/>
          </w:tcPr>
          <w:p>
            <w:pPr>
              <w:spacing w:after="0"/>
              <w:rPr>
                <w:sz w:val="1"/>
                <w:szCs w:val="1"/>
                <w:color w:val="auto"/>
              </w:rPr>
            </w:pPr>
          </w:p>
        </w:tc>
      </w:tr>
      <w:tr>
        <w:trPr>
          <w:trHeight w:val="211"/>
        </w:trPr>
        <w:tc>
          <w:tcPr>
            <w:tcW w:w="6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Cost of goods sold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3,107.4</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3,095.9</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3,017.6</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1,829.1</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1,794.1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1,598.8</w:t>
            </w:r>
          </w:p>
        </w:tc>
        <w:tc>
          <w:tcPr>
            <w:tcW w:w="0" w:type="dxa"/>
            <w:vAlign w:val="bottom"/>
          </w:tcPr>
          <w:p>
            <w:pPr>
              <w:spacing w:after="0"/>
              <w:rPr>
                <w:sz w:val="1"/>
                <w:szCs w:val="1"/>
                <w:color w:val="auto"/>
              </w:rPr>
            </w:pPr>
          </w:p>
        </w:tc>
      </w:tr>
      <w:tr>
        <w:trPr>
          <w:trHeight w:val="211"/>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1,032.5</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979.3</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884.0</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114.1</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210"/>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680.8</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700.7</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616.1</w:t>
            </w:r>
          </w:p>
        </w:tc>
        <w:tc>
          <w:tcPr>
            <w:tcW w:w="0" w:type="dxa"/>
            <w:vAlign w:val="bottom"/>
          </w:tcPr>
          <w:p>
            <w:pPr>
              <w:spacing w:after="0"/>
              <w:rPr>
                <w:sz w:val="1"/>
                <w:szCs w:val="1"/>
                <w:color w:val="auto"/>
              </w:rPr>
            </w:pPr>
          </w:p>
        </w:tc>
      </w:tr>
      <w:tr>
        <w:trPr>
          <w:trHeight w:val="27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 on sale of businesses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21"/>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income of unconsolidated subsidiaries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8"/>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1"/>
        </w:trPr>
        <w:tc>
          <w:tcPr>
            <w:tcW w:w="6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148.4</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106.6</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561.0</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512.5</w:t>
            </w:r>
          </w:p>
        </w:tc>
        <w:tc>
          <w:tcPr>
            <w:tcW w:w="0" w:type="dxa"/>
            <w:vAlign w:val="bottom"/>
          </w:tcPr>
          <w:p>
            <w:pPr>
              <w:spacing w:after="0"/>
              <w:rPr>
                <w:sz w:val="1"/>
                <w:szCs w:val="1"/>
                <w:color w:val="auto"/>
              </w:rPr>
            </w:pPr>
          </w:p>
        </w:tc>
      </w:tr>
      <w:tr>
        <w:trPr>
          <w:trHeight w:val="211"/>
        </w:trPr>
        <w:tc>
          <w:tcPr>
            <w:tcW w:w="6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109.4</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115.4</w:t>
            </w: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from continuing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451.6</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397.1</w:t>
            </w:r>
          </w:p>
        </w:tc>
        <w:tc>
          <w:tcPr>
            <w:tcW w:w="0" w:type="dxa"/>
            <w:vAlign w:val="bottom"/>
          </w:tcPr>
          <w:p>
            <w:pPr>
              <w:spacing w:after="0"/>
              <w:rPr>
                <w:sz w:val="1"/>
                <w:szCs w:val="1"/>
                <w:color w:val="auto"/>
              </w:rPr>
            </w:pPr>
          </w:p>
        </w:tc>
      </w:tr>
      <w:tr>
        <w:trPr>
          <w:trHeight w:val="211"/>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(466.8)</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Gain (loss) from sale / impairment of discontinued operations, net of tax</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666.5</w:t>
            </w:r>
          </w:p>
        </w:tc>
        <w:tc>
          <w:tcPr>
            <w:tcW w:w="4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522.2</w:t>
            </w:r>
          </w:p>
        </w:tc>
        <w:tc>
          <w:tcPr>
            <w:tcW w:w="3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income (loss), net of tax</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666.5</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522.2</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158"/>
        </w:trPr>
        <w:tc>
          <w:tcPr>
            <w:tcW w:w="69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Changes in cumulative translation adjustment (inclusive of divestiture of business reclassified to gain from sale of</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497.5</w:t>
            </w:r>
          </w:p>
        </w:tc>
        <w:tc>
          <w:tcPr>
            <w:tcW w:w="4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$374.2 for the year ended December 31, 2017)</w:t>
            </w:r>
          </w:p>
        </w:tc>
        <w:tc>
          <w:tcPr>
            <w:tcW w:w="3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Changes in market value of derivative financial instruments, net of tax</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1,159.4</w:t>
            </w:r>
          </w:p>
        </w:tc>
        <w:tc>
          <w:tcPr>
            <w:tcW w:w="40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430.9</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Earnings (loss) per ordinary share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Basic</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Continuing operations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Discontinued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0.39</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Basic earnings (loss) per ordinary share</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4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2.88</w:t>
            </w:r>
          </w:p>
        </w:tc>
        <w:tc>
          <w:tcPr>
            <w:tcW w:w="3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Diluted</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Continuing operations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Discontinued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0.38</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Diluted earnings (loss) per ordinary share</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4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2.85</w:t>
            </w:r>
          </w:p>
        </w:tc>
        <w:tc>
          <w:tcPr>
            <w:tcW w:w="3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ordinary shares outstanding</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6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40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181.3</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180.3</w:t>
            </w:r>
          </w:p>
        </w:tc>
        <w:tc>
          <w:tcPr>
            <w:tcW w:w="0" w:type="dxa"/>
            <w:vAlign w:val="bottom"/>
          </w:tcPr>
          <w:p>
            <w:pPr>
              <w:spacing w:after="0"/>
              <w:rPr>
                <w:sz w:val="1"/>
                <w:szCs w:val="1"/>
                <w:color w:val="auto"/>
              </w:rPr>
            </w:pPr>
          </w:p>
        </w:tc>
      </w:tr>
      <w:tr>
        <w:trPr>
          <w:trHeight w:val="221"/>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183.1</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182.6</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76" w:right="239" w:bottom="1440" w:gutter="0" w:footer="0" w:header="0"/>
        </w:sectPr>
      </w:pPr>
    </w:p>
    <w:bookmarkStart w:id="44" w:name="page45"/>
    <w:bookmarkEnd w:id="44"/>
    <w:p>
      <w:pPr>
        <w:ind w:left="464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8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0" w:type="dxa"/>
            <w:vAlign w:val="bottom"/>
          </w:tcPr>
          <w:p>
            <w:pPr>
              <w:spacing w:after="0"/>
              <w:rPr>
                <w:sz w:val="1"/>
                <w:szCs w:val="1"/>
                <w:color w:val="auto"/>
              </w:rPr>
            </w:pPr>
          </w:p>
        </w:tc>
      </w:tr>
      <w:tr>
        <w:trPr>
          <w:trHeight w:val="34"/>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5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and notes receivable, net of allowances of $22.6 and $25.6, respectively</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831.6</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524.2</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222.9</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891.9</w:t>
            </w:r>
          </w:p>
        </w:tc>
        <w:tc>
          <w:tcPr>
            <w:tcW w:w="0" w:type="dxa"/>
            <w:vAlign w:val="bottom"/>
          </w:tcPr>
          <w:p>
            <w:pPr>
              <w:spacing w:after="0"/>
              <w:rPr>
                <w:sz w:val="1"/>
                <w:szCs w:val="1"/>
                <w:color w:val="auto"/>
              </w:rPr>
            </w:pPr>
          </w:p>
        </w:tc>
      </w:tr>
      <w:tr>
        <w:trPr>
          <w:trHeight w:val="237"/>
        </w:trPr>
        <w:tc>
          <w:tcPr>
            <w:tcW w:w="8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1,748.8</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2,672.0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545.5</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538.6</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4,351.1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4,217.4</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1,558.4</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1,631.8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2,292.9</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assets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6,339.4</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8,324.2</w:t>
            </w:r>
          </w:p>
        </w:tc>
        <w:tc>
          <w:tcPr>
            <w:tcW w:w="0" w:type="dxa"/>
            <w:vAlign w:val="bottom"/>
          </w:tcPr>
          <w:p>
            <w:pPr>
              <w:spacing w:after="0"/>
              <w:rPr>
                <w:sz w:val="1"/>
                <w:szCs w:val="1"/>
                <w:color w:val="auto"/>
              </w:rPr>
            </w:pPr>
          </w:p>
        </w:tc>
      </w:tr>
      <w:tr>
        <w:trPr>
          <w:trHeight w:val="237"/>
        </w:trPr>
        <w:tc>
          <w:tcPr>
            <w:tcW w:w="8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8,633.7</w:t>
            </w: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11,534.8</w:t>
            </w:r>
          </w:p>
        </w:tc>
        <w:tc>
          <w:tcPr>
            <w:tcW w:w="0" w:type="dxa"/>
            <w:vAlign w:val="bottom"/>
          </w:tcPr>
          <w:p>
            <w:pPr>
              <w:spacing w:after="0"/>
              <w:rPr>
                <w:sz w:val="1"/>
                <w:szCs w:val="1"/>
                <w:color w:val="auto"/>
              </w:rPr>
            </w:pPr>
          </w:p>
        </w:tc>
      </w:tr>
      <w:tr>
        <w:trPr>
          <w:trHeight w:val="67"/>
        </w:trPr>
        <w:tc>
          <w:tcPr>
            <w:tcW w:w="84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460" w:type="dxa"/>
            <w:vAlign w:val="bottom"/>
            <w:tcBorders>
              <w:bottom w:val="single" w:sz="8" w:color="CCEEFF"/>
            </w:tcBorders>
            <w:shd w:val="clear" w:color="auto" w:fill="CCEEFF"/>
          </w:tcPr>
          <w:p>
            <w:pPr>
              <w:ind w:left="48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maturities of long-term debt and short-term borrowings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186.6</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517.1</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356.2</w:t>
            </w:r>
          </w:p>
        </w:tc>
        <w:tc>
          <w:tcPr>
            <w:tcW w:w="0" w:type="dxa"/>
            <w:vAlign w:val="bottom"/>
          </w:tcPr>
          <w:p>
            <w:pPr>
              <w:spacing w:after="0"/>
              <w:rPr>
                <w:sz w:val="1"/>
                <w:szCs w:val="1"/>
                <w:color w:val="auto"/>
              </w:rPr>
            </w:pPr>
          </w:p>
        </w:tc>
      </w:tr>
      <w:tr>
        <w:trPr>
          <w:trHeight w:val="237"/>
        </w:trPr>
        <w:tc>
          <w:tcPr>
            <w:tcW w:w="8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1,199.4</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1,471.2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1,440.7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4,278.4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285.6</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394.8</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275.4</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505.9</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3,595.9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7,280.4</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Ordinary shares $0.01 par value, 426.0 authorized, 180.3 and 181.8 issued at December 31, 2017 and December 31,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2016,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2,797.7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2,920.8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2,481.7</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2,068.1</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5,037.8</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4,254.4</w:t>
            </w:r>
          </w:p>
        </w:tc>
        <w:tc>
          <w:tcPr>
            <w:tcW w:w="0" w:type="dxa"/>
            <w:vAlign w:val="bottom"/>
          </w:tcPr>
          <w:p>
            <w:pPr>
              <w:spacing w:after="0"/>
              <w:rPr>
                <w:sz w:val="1"/>
                <w:szCs w:val="1"/>
                <w:color w:val="auto"/>
              </w:rPr>
            </w:pPr>
          </w:p>
        </w:tc>
      </w:tr>
      <w:tr>
        <w:trPr>
          <w:trHeight w:val="237"/>
        </w:trPr>
        <w:tc>
          <w:tcPr>
            <w:tcW w:w="8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8,633.7</w:t>
            </w: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11,534.8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76"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Borders>
              <w:bottom w:val="single" w:sz="8" w:color="auto"/>
            </w:tcBorders>
          </w:tcPr>
          <w:p>
            <w:pPr>
              <w:spacing w:after="0"/>
              <w:rPr>
                <w:sz w:val="17"/>
                <w:szCs w:val="17"/>
                <w:color w:val="auto"/>
              </w:rPr>
            </w:pPr>
          </w:p>
        </w:tc>
      </w:tr>
      <w:tr>
        <w:trPr>
          <w:trHeight w:val="210"/>
        </w:trPr>
        <w:tc>
          <w:tcPr>
            <w:tcW w:w="7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8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82"/>
        </w:trPr>
        <w:tc>
          <w:tcPr>
            <w:tcW w:w="76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209"/>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666.5</w:t>
            </w:r>
          </w:p>
        </w:tc>
        <w:tc>
          <w:tcPr>
            <w:tcW w:w="30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522.2</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223"/>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466.8</w:t>
            </w:r>
          </w:p>
        </w:tc>
      </w:tr>
      <w:tr>
        <w:trPr>
          <w:trHeight w:val="209"/>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 loss from sale / impairment of discontinued operations, net of tax</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3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6.7</w:t>
            </w:r>
          </w:p>
        </w:tc>
      </w:tr>
      <w:tr>
        <w:trPr>
          <w:trHeight w:val="166"/>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 to reconcile net income (loss) from continuing operations to net cash provided by (used for) operating activities of</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2"/>
        </w:trPr>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bl>
    <w:p>
      <w:pPr>
        <w:spacing w:after="0" w:line="14" w:lineRule="exact"/>
        <w:rPr>
          <w:sz w:val="20"/>
          <w:szCs w:val="20"/>
          <w:color w:val="auto"/>
        </w:rPr>
      </w:pPr>
    </w:p>
    <w:p>
      <w:pPr>
        <w:sectPr>
          <w:pgSz w:w="11900" w:h="16838" w:orient="portrait"/>
          <w:cols w:equalWidth="0" w:num="1">
            <w:col w:w="11420"/>
          </w:cols>
          <w:pgMar w:left="240" w:top="576" w:right="239" w:bottom="1440" w:gutter="0" w:footer="0" w:header="0"/>
        </w:sectPr>
      </w:pPr>
    </w:p>
    <w:p>
      <w:pPr>
        <w:ind w:left="40"/>
        <w:spacing w:after="0"/>
        <w:rPr>
          <w:sz w:val="20"/>
          <w:szCs w:val="20"/>
          <w:color w:val="auto"/>
        </w:rPr>
      </w:pPr>
      <w:r>
        <w:rPr>
          <w:rFonts w:ascii="Times New Roman" w:cs="Times New Roman" w:eastAsia="Times New Roman" w:hAnsi="Times New Roman"/>
          <w:sz w:val="14"/>
          <w:szCs w:val="14"/>
          <w:color w:val="auto"/>
        </w:rPr>
        <w:t>Equity income of unconsolidated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Depreciation</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Loss on sale of businesses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Trade name and other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Loss on early extinguishment of debt</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Excess tax benefits from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Amortization of bridge financing debt issuance costs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Pension and other post-retirement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Pension and other post-retirement contributions</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Changes in assets and liabilities, net of effects of business acquisitions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8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(1.3)</w:t>
            </w: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(4.3)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6"/>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85.2</w:t>
            </w: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84.6</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r>
      <w:tr>
        <w:trPr>
          <w:trHeight w:val="216"/>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97.7</w:t>
            </w: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96.4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216"/>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4.2</w:t>
            </w: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3.9</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3"/>
        </w:trPr>
        <w:tc>
          <w:tcPr>
            <w:tcW w:w="8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w w:val="92"/>
              </w:rPr>
              <w:t>(159.7)</w:t>
            </w: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(16.1)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16"/>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39.6</w:t>
            </w: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34.2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216"/>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32.0</w:t>
            </w: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13.3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101.4</w:t>
            </w: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(8.0)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16"/>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216"/>
        </w:trPr>
        <w:tc>
          <w:tcPr>
            <w:tcW w:w="8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29.2</w:t>
            </w: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31.8</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03"/>
        </w:trPr>
        <w:tc>
          <w:tcPr>
            <w:tcW w:w="86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(15.7)</w:t>
            </w: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(13.5)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bl>
    <w:p>
      <w:pPr>
        <w:spacing w:after="0" w:line="284" w:lineRule="exact"/>
        <w:rPr>
          <w:sz w:val="20"/>
          <w:szCs w:val="20"/>
          <w:color w:val="auto"/>
        </w:rPr>
      </w:pPr>
    </w:p>
    <w:p>
      <w:pPr>
        <w:sectPr>
          <w:pgSz w:w="11900" w:h="16838" w:orient="portrait"/>
          <w:cols w:equalWidth="0" w:num="2">
            <w:col w:w="7760" w:space="720"/>
            <w:col w:w="2940"/>
          </w:cols>
          <w:pgMar w:left="24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and notes receivable</w:t>
            </w:r>
          </w:p>
        </w:tc>
        <w:tc>
          <w:tcPr>
            <w:tcW w:w="18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21.3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9"/>
        </w:trPr>
        <w:tc>
          <w:tcPr>
            <w:tcW w:w="6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Inventories</w:t>
            </w:r>
          </w:p>
        </w:tc>
        <w:tc>
          <w:tcPr>
            <w:tcW w:w="18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34.3</w:t>
            </w:r>
          </w:p>
        </w:tc>
        <w:tc>
          <w:tcPr>
            <w:tcW w:w="4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54.7</w:t>
            </w:r>
          </w:p>
        </w:tc>
      </w:tr>
      <w:tr>
        <w:trPr>
          <w:trHeight w:val="210"/>
        </w:trPr>
        <w:tc>
          <w:tcPr>
            <w:tcW w:w="6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current assets</w:t>
            </w:r>
          </w:p>
        </w:tc>
        <w:tc>
          <w:tcPr>
            <w:tcW w:w="18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209"/>
        </w:trPr>
        <w:tc>
          <w:tcPr>
            <w:tcW w:w="6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18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32.6</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38.0</w:t>
            </w:r>
          </w:p>
        </w:tc>
        <w:tc>
          <w:tcPr>
            <w:tcW w:w="4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10.6</w:t>
            </w:r>
          </w:p>
        </w:tc>
      </w:tr>
      <w:tr>
        <w:trPr>
          <w:trHeight w:val="223"/>
        </w:trPr>
        <w:tc>
          <w:tcPr>
            <w:tcW w:w="6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1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10.2</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7.0</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09"/>
        </w:trPr>
        <w:tc>
          <w:tcPr>
            <w:tcW w:w="6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51.6</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217"/>
        </w:trPr>
        <w:tc>
          <w:tcPr>
            <w:tcW w:w="62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18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34.1</w:t>
            </w: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17.8</w:t>
            </w:r>
          </w:p>
        </w:tc>
      </w:tr>
      <w:tr>
        <w:trPr>
          <w:trHeight w:val="209"/>
        </w:trPr>
        <w:tc>
          <w:tcPr>
            <w:tcW w:w="62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cash provided by (used for) operating activities of continuing operations</w:t>
            </w:r>
          </w:p>
        </w:tc>
        <w:tc>
          <w:tcPr>
            <w:tcW w:w="18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674.0</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702.4</w:t>
            </w:r>
          </w:p>
        </w:tc>
        <w:tc>
          <w:tcPr>
            <w:tcW w:w="4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597.7</w:t>
            </w:r>
          </w:p>
        </w:tc>
      </w:tr>
      <w:tr>
        <w:trPr>
          <w:trHeight w:val="217"/>
        </w:trPr>
        <w:tc>
          <w:tcPr>
            <w:tcW w:w="62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cash provided by (used for) operating activities of discontinued operations</w:t>
            </w:r>
          </w:p>
        </w:tc>
        <w:tc>
          <w:tcPr>
            <w:tcW w:w="18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159.0</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141.6</w:t>
            </w:r>
          </w:p>
        </w:tc>
      </w:tr>
      <w:tr>
        <w:trPr>
          <w:trHeight w:val="209"/>
        </w:trPr>
        <w:tc>
          <w:tcPr>
            <w:tcW w:w="62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tc>
        <w:tc>
          <w:tcPr>
            <w:tcW w:w="18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620.2</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861.4</w:t>
            </w:r>
          </w:p>
        </w:tc>
        <w:tc>
          <w:tcPr>
            <w:tcW w:w="4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739.3</w:t>
            </w:r>
          </w:p>
        </w:tc>
      </w:tr>
      <w:tr>
        <w:trPr>
          <w:trHeight w:val="196"/>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82"/>
        </w:trPr>
        <w:tc>
          <w:tcPr>
            <w:tcW w:w="624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r>
      <w:tr>
        <w:trPr>
          <w:trHeight w:val="196"/>
        </w:trPr>
        <w:tc>
          <w:tcPr>
            <w:tcW w:w="6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 expenditures</w:t>
            </w:r>
          </w:p>
        </w:tc>
        <w:tc>
          <w:tcPr>
            <w:tcW w:w="18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r>
      <w:tr>
        <w:trPr>
          <w:trHeight w:val="223"/>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7.9</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24.7</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4.6</w:t>
            </w:r>
          </w:p>
        </w:tc>
      </w:tr>
      <w:tr>
        <w:trPr>
          <w:trHeight w:val="209"/>
        </w:trPr>
        <w:tc>
          <w:tcPr>
            <w:tcW w:w="6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sale of businesses and other</w:t>
            </w:r>
          </w:p>
        </w:tc>
        <w:tc>
          <w:tcPr>
            <w:tcW w:w="18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2,759.4</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3"/>
        </w:trPr>
        <w:tc>
          <w:tcPr>
            <w:tcW w:w="6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18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4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(1,913.9)</w:t>
            </w:r>
          </w:p>
        </w:tc>
      </w:tr>
      <w:tr>
        <w:trPr>
          <w:trHeight w:val="209"/>
        </w:trPr>
        <w:tc>
          <w:tcPr>
            <w:tcW w:w="62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cash provided by (used for) investing activities of continuing operations</w:t>
            </w:r>
          </w:p>
        </w:tc>
        <w:tc>
          <w:tcPr>
            <w:tcW w:w="18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2,636.9</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(2,003.6)</w:t>
            </w:r>
          </w:p>
        </w:tc>
      </w:tr>
      <w:tr>
        <w:trPr>
          <w:trHeight w:val="217"/>
        </w:trPr>
        <w:tc>
          <w:tcPr>
            <w:tcW w:w="62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cash provided by (used for) investing activities of discontinued operations</w:t>
            </w:r>
          </w:p>
        </w:tc>
        <w:tc>
          <w:tcPr>
            <w:tcW w:w="18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38.1</w:t>
            </w:r>
          </w:p>
        </w:tc>
      </w:tr>
      <w:tr>
        <w:trPr>
          <w:trHeight w:val="209"/>
        </w:trPr>
        <w:tc>
          <w:tcPr>
            <w:tcW w:w="62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cash provided by (used for) investing activities</w:t>
            </w:r>
          </w:p>
        </w:tc>
        <w:tc>
          <w:tcPr>
            <w:tcW w:w="18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2,630.4</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(1,965.5)</w:t>
            </w:r>
          </w:p>
        </w:tc>
      </w:tr>
      <w:tr>
        <w:trPr>
          <w:trHeight w:val="196"/>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82"/>
        </w:trPr>
        <w:tc>
          <w:tcPr>
            <w:tcW w:w="624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r>
      <w:tr>
        <w:trPr>
          <w:trHeight w:val="209"/>
        </w:trPr>
        <w:tc>
          <w:tcPr>
            <w:tcW w:w="6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receipts (repayments) of short-term borrowings</w:t>
            </w:r>
          </w:p>
        </w:tc>
        <w:tc>
          <w:tcPr>
            <w:tcW w:w="18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0.8</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23"/>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receipts (repayments) of commercial paper and revolving long-term debt</w:t>
            </w:r>
          </w:p>
        </w:tc>
        <w:tc>
          <w:tcPr>
            <w:tcW w:w="1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(913.1)</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363.5</w:t>
            </w:r>
          </w:p>
        </w:tc>
      </w:tr>
      <w:tr>
        <w:trPr>
          <w:trHeight w:val="209"/>
        </w:trPr>
        <w:tc>
          <w:tcPr>
            <w:tcW w:w="6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18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1,714.8</w:t>
            </w:r>
          </w:p>
        </w:tc>
      </w:tr>
      <w:tr>
        <w:trPr>
          <w:trHeight w:val="210"/>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8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(2,009.3)</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w:t>
            </w:r>
          </w:p>
        </w:tc>
      </w:tr>
      <w:tr>
        <w:trPr>
          <w:trHeight w:val="209"/>
        </w:trPr>
        <w:tc>
          <w:tcPr>
            <w:tcW w:w="6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Debt issuance costs</w:t>
            </w:r>
          </w:p>
        </w:tc>
        <w:tc>
          <w:tcPr>
            <w:tcW w:w="18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223"/>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Premium paid on early extinguishment of debt</w:t>
            </w:r>
          </w:p>
        </w:tc>
        <w:tc>
          <w:tcPr>
            <w:tcW w:w="1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6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Excess tax benefits from share-based compensation</w:t>
            </w:r>
          </w:p>
        </w:tc>
        <w:tc>
          <w:tcPr>
            <w:tcW w:w="18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8.0</w:t>
            </w:r>
          </w:p>
        </w:tc>
        <w:tc>
          <w:tcPr>
            <w:tcW w:w="4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6.0</w:t>
            </w:r>
          </w:p>
        </w:tc>
      </w:tr>
      <w:tr>
        <w:trPr>
          <w:trHeight w:val="223"/>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Shares issued to employees, net of shares withheld</w:t>
            </w:r>
          </w:p>
        </w:tc>
        <w:tc>
          <w:tcPr>
            <w:tcW w:w="1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37.2</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20.7</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19.4</w:t>
            </w:r>
          </w:p>
        </w:tc>
      </w:tr>
      <w:tr>
        <w:trPr>
          <w:trHeight w:val="209"/>
        </w:trPr>
        <w:tc>
          <w:tcPr>
            <w:tcW w:w="6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Repurchases of ordinary shares</w:t>
            </w:r>
          </w:p>
        </w:tc>
        <w:tc>
          <w:tcPr>
            <w:tcW w:w="18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203"/>
        </w:trPr>
        <w:tc>
          <w:tcPr>
            <w:tcW w:w="6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paid</w:t>
            </w:r>
          </w:p>
        </w:tc>
        <w:tc>
          <w:tcPr>
            <w:tcW w:w="18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w:t>
            </w:r>
          </w:p>
        </w:tc>
        <w:tc>
          <w:tcPr>
            <w:tcW w:w="4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w:t>
            </w:r>
          </w:p>
        </w:tc>
      </w:tr>
      <w:tr>
        <w:trPr>
          <w:trHeight w:val="209"/>
        </w:trPr>
        <w:tc>
          <w:tcPr>
            <w:tcW w:w="62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cash provided by (used for) financing activities</w:t>
            </w:r>
          </w:p>
        </w:tc>
        <w:tc>
          <w:tcPr>
            <w:tcW w:w="18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(3,432.6)</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(600.1)</w:t>
            </w:r>
          </w:p>
        </w:tc>
        <w:tc>
          <w:tcPr>
            <w:tcW w:w="4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1,286.3</w:t>
            </w:r>
          </w:p>
        </w:tc>
      </w:tr>
      <w:tr>
        <w:trPr>
          <w:trHeight w:val="217"/>
        </w:trPr>
        <w:tc>
          <w:tcPr>
            <w:tcW w:w="6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w:t>
            </w:r>
          </w:p>
        </w:tc>
        <w:tc>
          <w:tcPr>
            <w:tcW w:w="18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56.8</w:t>
            </w: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r>
      <w:tr>
        <w:trPr>
          <w:trHeight w:val="209"/>
        </w:trPr>
        <w:tc>
          <w:tcPr>
            <w:tcW w:w="6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Change in cash and cash equivalents</w:t>
            </w:r>
          </w:p>
        </w:tc>
        <w:tc>
          <w:tcPr>
            <w:tcW w:w="18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46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112.2</w:t>
            </w:r>
          </w:p>
        </w:tc>
        <w:tc>
          <w:tcPr>
            <w:tcW w:w="4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15.9</w:t>
            </w:r>
          </w:p>
        </w:tc>
      </w:tr>
      <w:tr>
        <w:trPr>
          <w:trHeight w:val="217"/>
        </w:trPr>
        <w:tc>
          <w:tcPr>
            <w:tcW w:w="6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year</w:t>
            </w:r>
          </w:p>
        </w:tc>
        <w:tc>
          <w:tcPr>
            <w:tcW w:w="18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238.5</w:t>
            </w: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126.3</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110.4</w:t>
            </w:r>
          </w:p>
        </w:tc>
      </w:tr>
      <w:tr>
        <w:trPr>
          <w:trHeight w:val="202"/>
        </w:trPr>
        <w:tc>
          <w:tcPr>
            <w:tcW w:w="6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18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113.3</w:t>
            </w:r>
          </w:p>
        </w:tc>
        <w:tc>
          <w:tcPr>
            <w:tcW w:w="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238.5</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76" w:right="23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760" w:type="dxa"/>
            <w:vAlign w:val="bottom"/>
            <w:gridSpan w:val="4"/>
          </w:tcPr>
          <w:p>
            <w:pPr>
              <w:ind w:left="40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620" w:type="dxa"/>
            <w:vAlign w:val="bottom"/>
            <w:gridSpan w:val="3"/>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60" w:type="dxa"/>
            <w:vAlign w:val="bottom"/>
          </w:tcPr>
          <w:p>
            <w:pPr>
              <w:spacing w:after="0"/>
              <w:rPr>
                <w:sz w:val="16"/>
                <w:szCs w:val="16"/>
                <w:color w:val="auto"/>
              </w:rPr>
            </w:pPr>
          </w:p>
        </w:tc>
        <w:tc>
          <w:tcPr>
            <w:tcW w:w="72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8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 December 31, 2014</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(1,251.9)</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2,044.0</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(380.3)</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4,663.8</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4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(264.7)</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benefit of share-based compensation</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5.7</w:t>
            </w:r>
          </w:p>
        </w:tc>
        <w:tc>
          <w:tcPr>
            <w:tcW w:w="1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Dividends declared</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w:t>
            </w: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(174.4)</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 repurchase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Cancellation of treasury shares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19.1</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1,210.9</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(1,210.7)</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Exercise of options, net of shares tendered for payment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0.1</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0.7</w:t>
            </w:r>
          </w:p>
        </w:tc>
        <w:tc>
          <w:tcPr>
            <w:tcW w:w="1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34.6</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31.1</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Issuance of restricted shares, net of cancellations</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0.3</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0.2</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9.4</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Shares surrendered by employees to pay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272"/>
        </w:trPr>
        <w:tc>
          <w:tcPr>
            <w:tcW w:w="4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33.0</w:t>
            </w: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33.0</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Balance - December 31, 2015</w:t>
            </w:r>
          </w:p>
        </w:tc>
        <w:tc>
          <w:tcPr>
            <w:tcW w:w="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180.5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2,860.3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1,791.7</w:t>
            </w: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(645.0)</w:t>
            </w: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4,008.8</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522.2</w:t>
            </w: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522.2</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Tax benefit of share-based compensation</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5.5</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declared</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(245.8)</w:t>
            </w:r>
          </w:p>
        </w:tc>
        <w:tc>
          <w:tcPr>
            <w:tcW w:w="4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(245.8)</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Exercise of options, net of shares tendered for payment</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31.6</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31.6</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Issuance of restricted shares, net of cancellations</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0.5</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Shares surrendered by employees to pay taxes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34.2</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34.2</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 December 31, 2016</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2,920.8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2,068.1</w:t>
            </w:r>
          </w:p>
        </w:tc>
        <w:tc>
          <w:tcPr>
            <w:tcW w:w="4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(736.3)</w:t>
            </w: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4,254.4</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666.5</w:t>
            </w:r>
          </w:p>
        </w:tc>
        <w:tc>
          <w:tcPr>
            <w:tcW w:w="4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666.5</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492.9</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492.9</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declared</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(252.9)</w:t>
            </w:r>
          </w:p>
        </w:tc>
        <w:tc>
          <w:tcPr>
            <w:tcW w:w="4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(252.9)</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Share repurchases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Exercise of options, net of shares tendered for payment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45.6</w:t>
            </w:r>
          </w:p>
        </w:tc>
        <w:tc>
          <w:tcPr>
            <w:tcW w:w="1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45.6</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Issuance of restricted shares, net of cancellations</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0.4</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4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Shares surrendered by employees to pay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272"/>
        </w:trPr>
        <w:tc>
          <w:tcPr>
            <w:tcW w:w="4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39.6</w:t>
            </w: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39.6</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Balance - December 31, 2017</w:t>
            </w:r>
          </w:p>
        </w:tc>
        <w:tc>
          <w:tcPr>
            <w:tcW w:w="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180.3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2,797.7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2,481.7</w:t>
            </w: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5,037.8</w:t>
            </w: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76"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right="5380" w:firstLine="8"/>
        <w:spacing w:after="0" w:line="263" w:lineRule="auto"/>
        <w:tabs>
          <w:tab w:leader="none" w:pos="648"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b w:val="1"/>
          <w:bCs w:val="1"/>
          <w:i w:val="1"/>
          <w:iCs w:val="1"/>
          <w:color w:val="auto"/>
        </w:rPr>
        <w:t>Business</w:t>
      </w:r>
    </w:p>
    <w:p>
      <w:pPr>
        <w:ind w:right="6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Pentair plc and its consolidated subsidiaries (the "Company" or "Pentair") is a focused diversified industrial manufacturing company comprising two reporting segments: Water and Electrical.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separation</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May 9, 2017, we announced that our Board of Directors approved a plan to separate our Water business and Electrical business into two independent, publicly-traded companies (the "Proposed Separation"). The Proposed Separation is expected to occur through a tax-free spin-off of the Electrical business to Pentair shareholders.</w:t>
      </w:r>
    </w:p>
    <w:p>
      <w:pPr>
        <w:spacing w:after="0" w:line="1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Completion of the Proposed Separation is subject to certain customary conditions, including, among other things, final approval of the transaction by Pentair's Board of Directors, receipt of tax opinions and rulings and effectiveness of appropriate filings with the SEC. Upon completion of the Proposed Separation, it is anticipated that Electrical's jurisdiction of organization will be Ireland, but that it will manage its affairs so that it will be centrally managed and controlled in the United Kingdom (the "U.K.") and therefore will have its tax residency in the U.K.</w:t>
      </w:r>
    </w:p>
    <w:p>
      <w:pPr>
        <w:spacing w:after="0" w:line="12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targeting April 30, 2018 for the completion of the Proposed Separation; however, there can be no assurance regarding the ultimate timing of the Proposed Separation or that the Proposed Separation will be completed.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Pentair and all subsidiaries, both the United States ("U.S.") and non-U.S., which we control. Intercompany accounts and transactions have been eliminated. Investments in companies of which we own 20% to 50% of the voting stock or have the ability to exercise significant influence over operating and financial policies of the investee are accounted for using the equity method of accounting and as a result, our share of the earnings or losses of such equity affiliates is included in the Consolidated Statements of Operations and Comprehensive Income (Loss).</w:t>
      </w:r>
    </w:p>
    <w:p>
      <w:pPr>
        <w:spacing w:after="0" w:line="1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U.S. dollars ("USD") and in accordance with accounting principles generally accepted in the United States of America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fiscal year ends on December 31. Beginning with the first quarter of 2016, we report our interim quarterly periods on a calendar quarter basis. Prior to the first quarter of 2016, we reported our interim quarterly periods on a 13-week basis ending on a Saturday.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us to make estimates and assumptions that affect the amounts reported in these consolidated financial statements and accompanying notes, disclosures of contingent assets and liabilities at the date of the financial statements and the reported amounts of revenues and expenses during the reporting period. These estimates include our accounting for valuation of goodwill and indefinite lived intangible assets, estimated losses on accounts receivable, estimated realizable value on excess and obsolete inventory, percentage of completion revenue recognition, assets acquired and liabilities assumed in acquisitions, estimated selling proceeds from assets held for sale, contingent liabilities, income taxes and pension and other post-retirement benefits. Actual results could differ from our estimates.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ind w:right="500"/>
        <w:spacing w:after="0" w:line="255" w:lineRule="auto"/>
        <w:rPr>
          <w:sz w:val="20"/>
          <w:szCs w:val="20"/>
          <w:color w:val="auto"/>
        </w:rPr>
      </w:pPr>
      <w:r>
        <w:rPr>
          <w:rFonts w:ascii="Times New Roman" w:cs="Times New Roman" w:eastAsia="Times New Roman" w:hAnsi="Times New Roman"/>
          <w:sz w:val="18"/>
          <w:szCs w:val="18"/>
          <w:color w:val="auto"/>
        </w:rPr>
        <w:t>We recognize revenue when it is realized or realizable and has been earned. Revenue is recognized when persuasive evidence of an arrangement exists, shipment or delivery has occurred (depending on the terms of the sale), our price to the buyer is fixed or determinable, and collectability is reasonably assured.</w:t>
      </w:r>
    </w:p>
    <w:p>
      <w:pPr>
        <w:spacing w:after="0" w:line="13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Generally, there is no post-shipment obligation on product sold other than warranty obligations in the normal and ordinary course of business. In the event significant post-shipment obligations were to exist, revenue recognition would be deferred until substantially all obligations were satisfied.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117" w:right="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Percentage of completion</w:t>
      </w:r>
    </w:p>
    <w:p>
      <w:pPr>
        <w:spacing w:after="0" w:line="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Revenue from certain long-term contracts is recognized over the contractual period under the percentage of completion method of accounting. Under this method, sales and gross profit are recognized as work is performed either based on the relationship between the actual costs incurred and the total estimated costs at completion ("the cost-to-cost method") or based on efforts for measuring progress towards completion in situations in which this approach is more representative of the progress on the contract than the cost-to-cost method. Changes to the original estimates may be required during the life of the contract and such estimates are reviewed on a regular basis. Sales and gross profit are adjusted using the cumulative catch-up method for revisions in estimated total contract costs. These reviews have not resulted in adjustments that were significant to our results of operations. Estimated losses are recorded when identified. Claims against customers are recognized as revenue upon settlement.</w:t>
      </w:r>
    </w:p>
    <w:p>
      <w:pPr>
        <w:spacing w:after="0" w:line="133"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color w:val="auto"/>
        </w:rPr>
        <w:t xml:space="preserve">We record costs and earnings in excess of billings on uncompleted contracts within </w:t>
      </w:r>
      <w:r>
        <w:rPr>
          <w:rFonts w:ascii="Times New Roman" w:cs="Times New Roman" w:eastAsia="Times New Roman" w:hAnsi="Times New Roman"/>
          <w:sz w:val="18"/>
          <w:szCs w:val="18"/>
          <w:i w:val="1"/>
          <w:iCs w:val="1"/>
          <w:color w:val="auto"/>
        </w:rPr>
        <w:t>Other current assets</w:t>
      </w:r>
      <w:r>
        <w:rPr>
          <w:rFonts w:ascii="Times New Roman" w:cs="Times New Roman" w:eastAsia="Times New Roman" w:hAnsi="Times New Roman"/>
          <w:sz w:val="18"/>
          <w:szCs w:val="18"/>
          <w:color w:val="auto"/>
        </w:rPr>
        <w:t xml:space="preserve"> and billings in excess of costs and earnings on uncompleted contracts within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right of return may exist explicitly or implicitly with our customers. Our return policy allows for customer returns only upon our authorization. Goods returned must be product we continue to market and must be in salable condition. At the time of sale, we reduce revenue for the estimated effect of returns. Estimated sales returns include consideration of historical sales levels, the timing and magnitude of historical sales return levels as a percent of sales, type of product, type of customer and a projection of this experience into the future.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record estimated reductions to revenue for customer programs and incentive offerings including pricing arrangements, promotions and other volume-based incentives at the later of the date revenue is recognized or the incentive is offered. Sales incentives given to our customers are recorded as a reduction of revenue unless we (1) receive an identifiable benefit for the goods or services in exchange for the consideration and (2) we can reasonably estimate the fair value of the benefit received.</w:t>
      </w:r>
    </w:p>
    <w:p>
      <w:pPr>
        <w:spacing w:after="0" w:line="132" w:lineRule="exact"/>
        <w:rPr>
          <w:sz w:val="20"/>
          <w:szCs w:val="20"/>
          <w:color w:val="auto"/>
        </w:rPr>
      </w:pPr>
    </w:p>
    <w:p>
      <w:pPr>
        <w:ind w:left="60"/>
        <w:spacing w:after="0" w:line="261"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However, we allow customers to apply for a refund of a percentage of the original purchase price if they can demonstrate sales to a qualifying end customer. At the time of sale, we estimate the anticipated refund to be paid based on historical experience and reduce sales for the probable cost of the discount. The cost of these refunds is recorded as a reduction in gross sales.</w:t>
      </w:r>
    </w:p>
    <w:p>
      <w:pPr>
        <w:spacing w:after="0" w:line="126" w:lineRule="exact"/>
        <w:rPr>
          <w:sz w:val="20"/>
          <w:szCs w:val="20"/>
          <w:color w:val="auto"/>
        </w:rPr>
      </w:pPr>
    </w:p>
    <w:p>
      <w:pPr>
        <w:ind w:left="60" w:right="20"/>
        <w:spacing w:after="0" w:line="281" w:lineRule="auto"/>
        <w:rPr>
          <w:sz w:val="20"/>
          <w:szCs w:val="20"/>
          <w:color w:val="auto"/>
        </w:rPr>
      </w:pPr>
      <w:r>
        <w:rPr>
          <w:rFonts w:ascii="Times New Roman" w:cs="Times New Roman" w:eastAsia="Times New Roman" w:hAnsi="Times New Roman"/>
          <w:sz w:val="17"/>
          <w:szCs w:val="17"/>
          <w:color w:val="auto"/>
        </w:rPr>
        <w:t>Volume-based incentives involve rebates that are negotiated at or prior to the time of sale with the customer and are redeemable only if the customer achieves a specified cumulative level of sales or sales increase. Under these incentive programs, at the time of sale, we estimate the anticipated rebate to be paid based on forecasted sales levels. These forecasts are updated at least quarterly for each customer and sales are reduced for the anticipated cost of the rebate. If the forecasted sales for a customer changes, the accrual for rebates is adjusted to reflect the new amount of rebates expected to be earned by the customer.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Amounts billed to customers for shipping and handling are recorded in </w:t>
      </w: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xml:space="preserve"> in the accompanying Consolidated Statements of Operations and Comprehensive Income (Loss). Shipping and handling costs incurred by Pentair for the delivery of goods to customers are included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accompanying Consolidated Statements of Operations and Comprehensive Income (Loss).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conduct research and development ("R&amp;D") activities primarily in our own facilities, which consist primarily of the development of new products, product applications and manufacturing processes. We expense R&amp;D costs as incurred. R&amp;D expenditures during 2017, 2016 and 2015 were $115.8 million, $114.1 million and $98.7 million,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highly liquid investments with original maturities of three months or less at the date of acquisition to be cash equivalents.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and concentration of credit risk</w:t>
      </w:r>
    </w:p>
    <w:p>
      <w:pPr>
        <w:spacing w:after="0" w:line="3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We record an allowance for doubtful accounts, reducing our receivables balance to an amount we estimate is collectible from our customers. Estimates used in determining the allowance for doubtful accounts are based on current trends, aging of accounts receivable, periodic credit evaluations of our customers' financial condition, and historical collection experience. We generally do not require collateral. No customer receivable balances exceeded 10% of total net receivable balances as of December 31, 2017 or December 31, 2016.</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market with substantially all inventories recorded using the first-in, first-out ("FIFO") cost method.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is stated at historical cost. We compute depreciation by the straight-line method based on the following estimated useful lives: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r>
      <w:tr>
        <w:trPr>
          <w:trHeight w:val="34"/>
        </w:trPr>
        <w:tc>
          <w:tcPr>
            <w:tcW w:w="10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improvements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20</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50</w:t>
            </w:r>
          </w:p>
        </w:tc>
      </w:tr>
      <w:tr>
        <w:trPr>
          <w:trHeight w:val="27"/>
        </w:trPr>
        <w:tc>
          <w:tcPr>
            <w:tcW w:w="10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10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15</w:t>
            </w:r>
          </w:p>
        </w:tc>
      </w:tr>
      <w:tr>
        <w:trPr>
          <w:trHeight w:val="27"/>
        </w:trPr>
        <w:tc>
          <w:tcPr>
            <w:tcW w:w="10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Significant improvements that add to productive capacity or extend the lives of properties are capitalized. Costs for repairs and maintenance are charged to expense as incurred. When property is retired or otherwise disposed of, the recorded cost of the assets and their related accumulated depreciation are removed from the Consolidated Balance Sheets and any related gains or losses are included in income.</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review the recoverability of long-lived assets to be held and used, such as property, plant and equipment, when events or changes in circumstances occur that indicate the carrying value of the asset or asset group may not be recoverable. The assessment of possible impairment is based on our ability to recover the carrying value of the asset or asset group from the expected future pre-tax cash flows (undiscounted and without interest charges) of the related operations. If these cash flows are less than the carrying value of such asset or asset group, an impairment loss is recognized for the difference between estimated fair value and carrying value. Impairment losses on long-lived assets held for sale are determined in a similar manner, except that fair values are reduced for the cost to dispose of the assets. The measurement of impairment requires us to estimate future cash flows and the fair value of long-lived assets. We recorded no impairment charges in 2017 or 2016 in conjunction with restructuring activities. During 2015 we recorded $5.1 million of asset impairment in conjunction with restructuring activities.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identifiable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cost of acquired businesses over the net of the fair value of identifiable tangible net assets and identifiable intangible assets purchased and liabilities assumed.</w:t>
      </w:r>
    </w:p>
    <w:p>
      <w:pPr>
        <w:spacing w:after="0" w:line="12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Goodwill is tested at least annually for impairment and is tested for impairment more frequently if events or changes in circumstances indicate that the asset might be impaired. The impairment test is performed using a two-step process. In the first step, the fair value of each reporting unit is compared with the carrying amount of the reporting unit, including goodwill. If the estimated fair value is less than the carrying amount of the reporting unit there is an indication that goodwill impairment exists and a second step must be completed in order to determine the amount of the goodwill impairment, if any, that should be recorded. In the second step, an impairment loss is recognized for any excess of the carrying amount of the reporting unit's goodwill over the implied fair value of that goodwill. The implied fair value of goodwill is determined by allocating the fair value of the reporting unit in a manner similar to a purchase price allocation.</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fair value of each reporting unit is determined using a discounted cash flow analysis and market approach. Projecting discounted future cash flows requires us to make significant estimates regarding future revenues and expenses, projected capital expenditures, changes in working capital and the appropriate discount rate. Use of the market approach consists of comparisons to comparable publicly-traded companies that are similar in size and industry. Actual results may differ from those used in our valuations. This non-recurring fair value measurement is a "Level 3" measurement under the fair value hierarchy described below.</w:t>
      </w:r>
    </w:p>
    <w:p>
      <w:pPr>
        <w:spacing w:after="0" w:line="13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developing our discounted cash flow analysis, assumptions about future revenues and expenses, capital expenditures and changes in working capital, are based on our annual operating plan and long-term business plan for each of our reporting units. These plans take into consideration numerous factors including historical experience, anticipated future economic conditions, changes in raw material prices and growth expectations for the industries and end markets we participate in. These assumptions are determined over a six year long-term planning period. The six year growth rates for revenues and operating profits vary for each reporting unit being evaluated. Revenues and operating profit beyond 2023 are projected to grow at a perpetual growth rate of 3.0%.</w:t>
      </w:r>
    </w:p>
    <w:p>
      <w:pPr>
        <w:spacing w:after="0" w:line="13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Discount rate assumptions for each reporting unit take into consideration our assessment of risks inherent in the future cash flows of the respective reporting unit and our weighted-average cost of capital. We utilized discount rates ranging from 9.0% to 9.5% in determining the discounted cash flows in our fair value analysis.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7"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estimating fair value using the market approach, we identify a group of comparable publicly-traded companies for each reporting unit that are similar in terms of size and product offering. These groups of comparable companies are used to develop multiples based on total market-based invested capital as a multiple of earnings before interest, taxes, depreciation and amortization ("EBITDA"). We determine our estimated values by applying these comparable EBITDA multiples to the operating results of our reporting units. The ultimate fair value of each reporting unit is determined considering the results of both valuation methods.</w:t>
      </w:r>
    </w:p>
    <w:p>
      <w:pPr>
        <w:spacing w:after="0" w:line="13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completed step one of our annual goodwill impairment evaluation as of the first day of the fourth quarter of 2017, 2016 and 2015 with each reporting unit's fair value in excess of its carrying value.</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latter part of the fourth quarter of 2015, the oil and gas industry continued to deteriorate, leading management to reconsider its estimates for future profitability of our former Valves &amp; Controls business and thereby increasing the likelihood that the associated goodwill could be impaired. As such, we concluded that a triggering event occurred during the fourth quarter of 2015 requiring that we test Valves &amp; Controls goodwill for impairment. As a result, we reperformed our step one analysis as of December 31, 2015. Consistent with our annual test, the fair value was estimated using both a discounted cash flow analysis and market approach.</w:t>
      </w:r>
    </w:p>
    <w:p>
      <w:pPr>
        <w:spacing w:after="0" w:line="13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The results of our step one goodwill impairment testing as of December 31, 2015 indicated that the fair value of Valves &amp; Controls was below its carrying value. Accordingly, we performed the step two test and concluded the goodwill of Valves &amp; Controls was impaired. As a result, we recorded a non-cash goodwill impairment charge of $515.2 million for the year ended December 31, 2015. The impairment is included in </w:t>
      </w:r>
      <w:r>
        <w:rPr>
          <w:rFonts w:ascii="Times New Roman" w:cs="Times New Roman" w:eastAsia="Times New Roman" w:hAnsi="Times New Roman"/>
          <w:sz w:val="18"/>
          <w:szCs w:val="18"/>
          <w:i w:val="1"/>
          <w:iCs w:val="1"/>
          <w:color w:val="auto"/>
        </w:rPr>
        <w:t>Income (loss) from 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net of tax </w:t>
      </w:r>
      <w:r>
        <w:rPr>
          <w:rFonts w:ascii="Times New Roman" w:cs="Times New Roman" w:eastAsia="Times New Roman" w:hAnsi="Times New Roman"/>
          <w:sz w:val="18"/>
          <w:szCs w:val="18"/>
          <w:color w:val="auto"/>
        </w:rPr>
        <w:t>in our Consolidated Statements of Operations and Comprehensive Income (Loss).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We complete our annual impairment test during the fourth quarter each year for those identifiable assets not subject to amortization.</w:t>
      </w:r>
    </w:p>
    <w:p>
      <w:pPr>
        <w:spacing w:after="0" w:line="1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described below.</w:t>
      </w:r>
    </w:p>
    <w:p>
      <w:pPr>
        <w:spacing w:after="0" w:line="12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An impairment charge of $25.2 million was recorded in 2017 related to certain trade names in Water and Electrical as a result of lower forecasted sales volume or rebranding strategies implemented in the fourth quarter of 2017. An impairment charge of $13.3 million was recorded in 2016 related to a trade name in Electrical as a result of a rebranding strategy implemented in the fourth quarter of 2016. The trade name impairment charges were recorded in </w:t>
      </w: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in our Consolidated Statements of Operations and Comprehensive Income (Loss).</w:t>
      </w:r>
    </w:p>
    <w:p>
      <w:pPr>
        <w:spacing w:after="0" w:line="2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As noted above, during the latter part of the fourth quarter of 2015, the oil and gas industry continued to deteriorate, leading management to reconsider its estimates for future profitability of our former Valves &amp; Controls business and thereby increasing the likelihood that the associated intangible assets could be impaired. As such, we concluded that a triggering event occurred during the fourth quarter of 2015 requiring that we test Valves &amp; Controls trade names for impairment. As a result of this test, an impairment charge of $39.5 million was recorded in 2015 related to trade names in the Valves &amp; Controls business classified as held for sale. The impairment is included in </w:t>
      </w:r>
      <w:r>
        <w:rPr>
          <w:rFonts w:ascii="Times New Roman" w:cs="Times New Roman" w:eastAsia="Times New Roman" w:hAnsi="Times New Roman"/>
          <w:sz w:val="18"/>
          <w:szCs w:val="18"/>
          <w:i w:val="1"/>
          <w:iCs w:val="1"/>
          <w:color w:val="auto"/>
        </w:rPr>
        <w:t>Income (loss) from discontinued operations, net of tax</w:t>
      </w:r>
      <w:r>
        <w:rPr>
          <w:rFonts w:ascii="Times New Roman" w:cs="Times New Roman" w:eastAsia="Times New Roman" w:hAnsi="Times New Roman"/>
          <w:sz w:val="18"/>
          <w:szCs w:val="18"/>
          <w:color w:val="auto"/>
        </w:rPr>
        <w:t xml:space="preserve"> in our Consolidated Statements of Operations and Comprehensive Income (Loss).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use the asset and liability approach to account for income taxes. Under this method, deferred tax assets and liabilities are recognized for the expected future tax consequences of differences between the carrying amounts of assets and liabilities and their respective tax bases using enacted tax rates in effect for the year in which the differences are expected to reverse. The effect on deferred tax assets and liabilities of a change in tax rates is recognized in income in the period when the change is enacted. We maintain valuation allowances unless it is more likely than not that all or a portion of the deferred tax assets will be realized. Changes in valuation allowances from period to period are included in our tax provision in the period of change.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7"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plans</w:t>
      </w:r>
    </w:p>
    <w:p>
      <w:pPr>
        <w:spacing w:after="0" w:line="31"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We sponsor U.S. and non-U.S. defined-benefit pension and other post-retirement plans. The pension and other post-retirement benefit costs for company-sponsored benefit plans are determined from actuarial assumptions and methodologies, including discount rates and expected returns on plan assets. These assumptions are updated annually and are disclosed in Note 13.</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remaining components of pension expense, including service and interest costs and estimated return on plan assets, are recorded on a quarterly basis.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subsidiary</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We insure certain general and product liability, property, workers' compensation and automobile liability risks through our regulated wholly-owned captive insurance subsidiary, Penwald Insurance Company ("Penwald"). Reserves for policy claims are established based on actuarial projections of ultimate losses. As of December 31, 2017 and 2016, reserves for policy claims were $61.5 million ($13.2 million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and $48.3 million included in </w:t>
      </w:r>
      <w:r>
        <w:rPr>
          <w:rFonts w:ascii="Times New Roman" w:cs="Times New Roman" w:eastAsia="Times New Roman" w:hAnsi="Times New Roman"/>
          <w:sz w:val="18"/>
          <w:szCs w:val="18"/>
          <w:i w:val="1"/>
          <w:iCs w:val="1"/>
          <w:color w:val="auto"/>
        </w:rPr>
        <w:t>Other non-current liabilities</w:t>
      </w:r>
      <w:r>
        <w:rPr>
          <w:rFonts w:ascii="Times New Roman" w:cs="Times New Roman" w:eastAsia="Times New Roman" w:hAnsi="Times New Roman"/>
          <w:sz w:val="18"/>
          <w:szCs w:val="18"/>
          <w:color w:val="auto"/>
        </w:rPr>
        <w:t xml:space="preserve">) and $63.0 million ($13.2 million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and $49.8 million included in </w:t>
      </w:r>
      <w:r>
        <w:rPr>
          <w:rFonts w:ascii="Times New Roman" w:cs="Times New Roman" w:eastAsia="Times New Roman" w:hAnsi="Times New Roman"/>
          <w:sz w:val="18"/>
          <w:szCs w:val="18"/>
          <w:i w:val="1"/>
          <w:iCs w:val="1"/>
          <w:color w:val="auto"/>
        </w:rPr>
        <w:t>Other non-current liabilities</w:t>
      </w:r>
      <w:r>
        <w:rPr>
          <w:rFonts w:ascii="Times New Roman" w:cs="Times New Roman" w:eastAsia="Times New Roman" w:hAnsi="Times New Roman"/>
          <w:sz w:val="18"/>
          <w:szCs w:val="18"/>
          <w:color w:val="auto"/>
        </w:rPr>
        <w:t>),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account for share-based compensation awards on a fair value basis. The estimated grant date fair value of each option award is recognized in income on an accelerated basis over the requisite service period (generally the vesting period). The estimated fair value of each option award is calculated using the Black-Scholes option-pricing model. From time to time, we have elected to modify the terms of the original grant. These modified grants are accounted for as a new award and measured using the fair value method, resulting in the inclusion of additional compensation expense in our Consolidated Statements of Operations and Comprehensive Income (Loss). Restricted share awards and units are recorded as compensation cost on an accelerated basis over the requisite service periods based on the market value on the date of grant.</w:t>
      </w:r>
    </w:p>
    <w:p>
      <w:pPr>
        <w:spacing w:after="0" w:line="13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Performance share units ("PSUs") are stock awards where the ultimate number of shares issued will be contingent on the Company's performance against certain financial performance targets. The fair value of each PSU is based on the market value on the date of grant. We recognize expense related to the estimated vesting of our PSUs granted. The estimated vesting of the PSUs is based on the probability of achieving certain financial performance thresholds over the specified performance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ordinary share</w:t>
      </w:r>
    </w:p>
    <w:p>
      <w:pPr>
        <w:spacing w:after="0" w:line="31"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Basic earnings (loss) per share are computed by dividing net income (loss) attributable to Pentair plc by the weighted-average number of ordinary shares outstanding. Diluted earnings (loss) per share are computed by dividing net income (loss) attributable to Pentair plc by the weighted-average number of ordinary shares outstanding including the dilutive effects of ordinary share equivalents.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We recognize all derivatives, including those embedded in other contracts, as either assets or liabilities at fair value in our Consolidated Balance Sheets. If the derivative is designated and is effective as a cash-flow hedge, the effective portion of changes in the fair value of the derivative are recorded in </w:t>
      </w:r>
      <w:r>
        <w:rPr>
          <w:rFonts w:ascii="Times New Roman" w:cs="Times New Roman" w:eastAsia="Times New Roman" w:hAnsi="Times New Roman"/>
          <w:sz w:val="18"/>
          <w:szCs w:val="18"/>
          <w:i w:val="1"/>
          <w:iCs w:val="1"/>
          <w:color w:val="auto"/>
        </w:rPr>
        <w:t>Accumulated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comprehensive income (loss) </w:t>
      </w:r>
      <w:r>
        <w:rPr>
          <w:rFonts w:ascii="Times New Roman" w:cs="Times New Roman" w:eastAsia="Times New Roman" w:hAnsi="Times New Roman"/>
          <w:sz w:val="18"/>
          <w:szCs w:val="18"/>
          <w:color w:val="auto"/>
        </w:rPr>
        <w:t>("AOCI") as a separate component of equity in the Consolidated Balance Sheets and are recognized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and Comprehensive Income (Loss) when the hedged item affects earnings. If the underlying hedged transaction ceases to exist or if the hedge becomes ineffective, all changes in fair value of the related derivatives that have not been settled are recognized in current earnings. For a derivative that is not designated as or does not qualify as a hedge, changes in fair value are reported in earnings immediately.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and losses on net investment hedges are included in AOCI as a separate component of equity in the Consolidated Balance Sheets.</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use derivative instruments for the purpose of hedging interest rate and currency exposures, which exist as part of ongoing business operations. We do not hold or issue derivative financial instruments for trading or speculative purposes. All other contracts that contain provisions meeting the definition of a derivative also meet the requirements of and have been designated as, normal purchases or sales. Our policy is not to enter into contracts with terms that cannot be designated as normal purchases or sales. From time to time, we may enter into short duration foreign currency contracts to hedge foreign currency risks.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80"/>
          </w:cols>
          <w:pgMar w:left="240" w:top="117" w:right="2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on observable inputs such as quoted market prices (unadjusted) for identical assets or liabilities in active markets.</w:t>
      </w:r>
    </w:p>
    <w:p>
      <w:pPr>
        <w:spacing w:after="0" w:line="171" w:lineRule="exact"/>
        <w:rPr>
          <w:sz w:val="20"/>
          <w:szCs w:val="20"/>
          <w:color w:val="auto"/>
        </w:rPr>
      </w:pPr>
    </w:p>
    <w:p>
      <w:pPr>
        <w:ind w:left="980" w:right="100" w:hanging="64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on inputs such as quoted market prices for similar assets or liabilities in active markets or other inputs that are observable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 or liability, either directly or indirectly, for substantially the full term of the financial instrument.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based upon other unobservable inputs that are significant to the fair value measurement.</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3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financial statements of subsidiaries located outside of the U.S. are generally measured using the local currency as the functional currency, except for certain corporate entities outside of the U.S. which are measured using USD. Assets and liabilities of these subsidiaries are translated at the rates of exchange at the balance sheet date. Income and expense items are translated at average monthly rates of exchange. The resultant translation adjustments are included in AOCI, a separate component of equity.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In March 2017, the Financial Accounting Standards Board ("FASB") issued a new accounting standard which requires the presentation of all components of net periodic benefit cost other than service costs outside of operating income. Only the service cost component will be included in operating income and eligible for capitalization in assets. The new guidance related to the presentation of the components of net periodic benefit cost within the Consolidated Statement of Operations will be applied retrospectively. The new guidance limiting the capitalization of net periodic benefit cost in assets to the service cost component will be applied prospectively. The new standard is effective for fiscal years beginning after December 15, 2017, and interim periods within that reporting period. We adopted this standard on January 1, 2018. As a result of adoption, $10.7 million and $13.3 million of pension and post-retirement expense and $12.7 million of pension and post-retirement benefit will be reclassified out of operating income for the years ended December 31, 2017, 2016 and 2015, respectively.</w:t>
      </w:r>
    </w:p>
    <w:p>
      <w:pPr>
        <w:spacing w:after="0" w:line="13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March 2016, the FASB issued a new accounting standard for share-based payments. The guidance simplifies several aspects of the accounting for employee share-based payment transactions, including the accounting for income taxes, forfeitures, and statutory tax withholding requirements, as well as classification of excess tax benefits in the Consolidated Statements of Cash Flows. We adopted the new standard in the first quarter of 2017. The impact of the adoption resulted in the following:</w:t>
      </w:r>
    </w:p>
    <w:p>
      <w:pPr>
        <w:spacing w:after="0" w:line="126" w:lineRule="exact"/>
        <w:rPr>
          <w:sz w:val="20"/>
          <w:szCs w:val="20"/>
          <w:color w:val="auto"/>
        </w:rPr>
      </w:pPr>
    </w:p>
    <w:p>
      <w:pPr>
        <w:ind w:left="660" w:right="1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excess tax benefits and deficiencies arising from employee share-based payment awards, and dividends on those awards, will be recognized within income taxes in the period in which they occur rather than within additional paid-in-capital. Our adoption of this requirement under the new standard had no material impact for the year ended December 31, 2017.</w:t>
      </w:r>
    </w:p>
    <w:p>
      <w:pPr>
        <w:spacing w:after="0" w:line="122"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no longer presents excess tax benefits within cash flows from financing activities in the Consolidated Statements of Cash Flows; instead these are now reflected within cash flows from operating activities. The Company elected to apply this change prospectively.</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elected not to change its policy on accounting for forfeitures and continues to estimate the total number of awards for which the requisite service period will not be rendered.</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excluded the excess tax benefits from the assumed proceeds available to repurchase shares in the computation of our diluted earnings per share for the year ended December 31, 2017. This increased diluted weighted average common shares outstanding by less than 300,000 shares for the year ended December 31, 2017.</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new accounting requirements regarding accounting for leases, which require an entity to recognize both assets and liabilities arising from financing and operating leases, along with additional qualitative and quantitative disclosures. The new requirements are effective for annual reporting periods beginning after December 15, 2018, including interim periods within that reporting period, and early adoption is permitted. We have not yet determined the potential effects on our financial condition or results of operations.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17" w:right="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May 2014, the FASB issued new accounting requirements for the recognition of revenue from contracts with customers. The new rules require entities to recognize revenue when they transfer control of promised goods or services in an amount that reflects the consideration to which the entity expects to be entitled to in exchange for those goods or services. The new requirements also include additional disclosure about the nature, amount, timing and uncertainty of revenue and cash flows arising from customer contracts, including significant judgments and changes in judgments and assets recognized from costs incurred to obtain or fulfill a contract. The requirements are effective for annual reporting periods beginning after December 15, 2017, including interim periods within that reporting period. We adopted the new revenue guidance as of January 1, 2018, using the modified retrospective transition method of adoption applied to those contracts which were not completed as of that date. An adjustment will be recorded to our 2018 beginning retained earnings for the cumulative effect of the change. In preparation for adoption of the new guidance, we have implemented appropriate changes to our business processes, systems and controls to support preparation of financial information and have reached conclusions on key accounting assessments related to the standard. As a result of these assessments, the adoption of the new standard will not have a material impact on our consolidated financial statements, including the presentation of revenues in our consolidated statements of operations.</w:t>
      </w:r>
    </w:p>
    <w:p>
      <w:pPr>
        <w:spacing w:after="0" w:line="297" w:lineRule="exact"/>
        <w:rPr>
          <w:sz w:val="20"/>
          <w:szCs w:val="20"/>
          <w:color w:val="auto"/>
        </w:rPr>
      </w:pPr>
    </w:p>
    <w:p>
      <w:pPr>
        <w:ind w:right="9820" w:firstLine="8"/>
        <w:spacing w:after="0" w:line="263" w:lineRule="auto"/>
        <w:tabs>
          <w:tab w:leader="none" w:pos="64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b w:val="1"/>
          <w:bCs w:val="1"/>
          <w:i w:val="1"/>
          <w:iCs w:val="1"/>
          <w:color w:val="auto"/>
        </w:rPr>
        <w:t>Material acquisition</w:t>
      </w:r>
    </w:p>
    <w:p>
      <w:pPr>
        <w:ind w:right="1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18, 2015, we acquired, as part of Electrical, all of the outstanding shares of capital stock of ERICO Global Company ("ERICO") for approximately $1.8 billion of cash (the "ERICO Acquisition"). ERICO is a leading global manufacturer and marketer of engineered electrical and fastening products for electrical, mechanical and civil applications. ERICO has employees in 30 countries across the world with recognized brands including CADDY fixing, fastening and support products and ERICO electrical grounding, bonding and connectivity products.</w:t>
      </w:r>
    </w:p>
    <w:p>
      <w:pPr>
        <w:spacing w:after="0" w:line="13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purchase price has been allocated based on the fair value of assets acquired and liabilities assumed at the date of the ERICO Acquisition. The purchase price allocation was completed in the third quarter of 2016.</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estimates of the fair values of the assets acquired and liabilities assumed in the ERICO Acquisition as previously reported at December 31, 2015 and as revised for adjustments made during 2016: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80" w:type="dxa"/>
            <w:vAlign w:val="bottom"/>
          </w:tcPr>
          <w:p>
            <w:pPr>
              <w:spacing w:after="0"/>
              <w:rPr>
                <w:sz w:val="20"/>
                <w:szCs w:val="20"/>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As Originally Reported</w:t>
            </w:r>
          </w:p>
        </w:tc>
        <w:tc>
          <w:tcPr>
            <w:tcW w:w="360" w:type="dxa"/>
            <w:vAlign w:val="bottom"/>
          </w:tcPr>
          <w:p>
            <w:pPr>
              <w:spacing w:after="0"/>
              <w:rPr>
                <w:sz w:val="20"/>
                <w:szCs w:val="20"/>
                <w:color w:val="auto"/>
              </w:rPr>
            </w:pPr>
          </w:p>
        </w:tc>
        <w:tc>
          <w:tcPr>
            <w:tcW w:w="17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34"/>
        </w:trPr>
        <w:tc>
          <w:tcPr>
            <w:tcW w:w="5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22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3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r>
      <w:tr>
        <w:trPr>
          <w:trHeight w:val="27"/>
        </w:trPr>
        <w:tc>
          <w:tcPr>
            <w:tcW w:w="5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22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2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5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2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1,033.8</w:t>
            </w:r>
          </w:p>
        </w:tc>
        <w:tc>
          <w:tcPr>
            <w:tcW w:w="3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1,033.8</w:t>
            </w:r>
          </w:p>
        </w:tc>
      </w:tr>
      <w:tr>
        <w:trPr>
          <w:trHeight w:val="27"/>
        </w:trPr>
        <w:tc>
          <w:tcPr>
            <w:tcW w:w="5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1,061.9</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7"/>
        </w:trPr>
        <w:tc>
          <w:tcPr>
            <w:tcW w:w="5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including current</w:t>
            </w:r>
          </w:p>
        </w:tc>
        <w:tc>
          <w:tcPr>
            <w:tcW w:w="22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2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5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price</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1,818.1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1,818.1</w:t>
            </w: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excess of purchase price over tangible net assets and identified intangible assets acquired was allocated to goodwill in the amount of $1,031.0 million, none of which is deductible for income tax purposes. Identifiable intangible assets acquired as part of the ERICO Acquisition included $228.4 million of indefinite-lived trade name intangible assets and $805.4 million of definite-lived customer relationships with an estimated useful life of 21 years.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7"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consolidated condensed financial results of operations for the year ended December 31, 2015 is presented as if the ERICO Acquisition was consummated on January 1, 2015, the beginning of the comparable prior annual reporting period: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34"/>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 except share and per-share data</w:t>
            </w:r>
          </w:p>
        </w:tc>
        <w:tc>
          <w:tcPr>
            <w:tcW w:w="1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9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5,002.6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income from continuing operations</w:t>
            </w:r>
          </w:p>
        </w:tc>
        <w:tc>
          <w:tcPr>
            <w:tcW w:w="180" w:type="dxa"/>
            <w:vAlign w:val="bottom"/>
          </w:tcPr>
          <w:p>
            <w:pPr>
              <w:spacing w:after="0"/>
              <w:rPr>
                <w:sz w:val="21"/>
                <w:szCs w:val="21"/>
                <w:color w:val="auto"/>
              </w:rPr>
            </w:pP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 forma earnings per ordinary share -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21"/>
                <w:szCs w:val="21"/>
                <w:color w:val="auto"/>
              </w:rPr>
            </w:pPr>
          </w:p>
        </w:tc>
        <w:tc>
          <w:tcPr>
            <w:tcW w:w="2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7"/>
        </w:trPr>
        <w:tc>
          <w:tcPr>
            <w:tcW w:w="9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unaudited pro forma net income from continuing operations for the year ended December 31, 2015 excludes the impact of $24.6 million of non-recurring transaction related and bridge financing costs.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 forma condensed consolidated financial information has been prepared for comparative purposes only and includes certain adjustments, as noted above. The adjustments are estimates based on currently available information and actual amounts may differ materially from these estimates. They do not reflect the effect of costs or synergies that would have been expected to result from the integration of the ERICO Acquisition. The pro forma information does not purport to be indicative of the results of operations that actually would have resulted had the ERICO Acquisition occurred on January 1, 2015.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3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During 2017, we completed acquisitions with purchase prices totaling $59.5 million in cash, net of cash acquired. Identifiable intangible assets acquired included $19.1 million of definite-lived customer relationships with an estimated useful life of 11 years.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2016, we completed an acquisition as part of Water with a purchase price of $25.0 million in cash, net of cash acquired.</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April 2015, we acquired, as part of Electrical, all of the outstanding shares of capital stock of Nuheat Industries Limited ("Nuheat") for $96.0 million in cash (120.5 million Canadian dollars translated at the April 2, 2015 exchange rate), net of cash acquired. In November 2015, cash of $0.9 million (1.2 million Canadian dollars translated at the average monthly exchange rate) was paid to Nuheat in settlement of a working capital adjustment. Based in Canada, Nuheat is a leading manufacturer of electric floor heating systems that are distributed across North America. Total goodwill recorded as part of the purchase allocation was $43.2 million, none of which is tax deductible. Definite-lived intangible assets acquired consisted of customer relationships of $53.3 million, with an estimated useful life of 17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impact of these acquisitions was not material.</w:t>
      </w:r>
    </w:p>
    <w:p>
      <w:pPr>
        <w:spacing w:after="0" w:line="329"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3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April 28, 2017 we completed the sale of the Valves &amp; Controls business to Emerson Electric Co. for $3.15 billion in cash. The sale resulted in a gain of $181.1 million, net of tax.</w:t>
      </w:r>
    </w:p>
    <w:p>
      <w:pPr>
        <w:spacing w:after="0" w:line="12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The results of the Valves &amp; Controls business have been presented as discontinued operations and the related assets and liabilities have been reclassified as held for sale for all periods presented. The Valves &amp; Controls business was previously disclosed as a stand-alone reporting segment. Transaction costs of $56.4 million related to the sale of Valves &amp; Controls were incurred during the year ended December 31, 2017 and were recorded within </w:t>
      </w:r>
      <w:r>
        <w:rPr>
          <w:rFonts w:ascii="Times New Roman" w:cs="Times New Roman" w:eastAsia="Times New Roman" w:hAnsi="Times New Roman"/>
          <w:sz w:val="18"/>
          <w:szCs w:val="18"/>
          <w:i w:val="1"/>
          <w:iCs w:val="1"/>
          <w:color w:val="auto"/>
        </w:rPr>
        <w:t>Gain (loss)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sale/impairment of discontinued operations before income taxes </w:t>
      </w:r>
      <w:r>
        <w:rPr>
          <w:rFonts w:ascii="Times New Roman" w:cs="Times New Roman" w:eastAsia="Times New Roman" w:hAnsi="Times New Roman"/>
          <w:sz w:val="18"/>
          <w:szCs w:val="18"/>
          <w:color w:val="auto"/>
        </w:rPr>
        <w:t>presented below.</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7"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2015, we sold the remainder of our Water Transport business, of which a portion was sold in 2014, and received cash proceeds of $59.0 million. The results of the Water Transport business have been presented as discontinued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Operating results of discontinued operations are summarized below:</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7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0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1"/>
                <w:szCs w:val="21"/>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7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1,639.4</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1,858.6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339.7</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1,271.2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of goodwill and trade names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0" w:type="dxa"/>
            <w:vAlign w:val="bottom"/>
          </w:tcPr>
          <w:p>
            <w:pPr>
              <w:spacing w:after="0"/>
              <w:rPr>
                <w:sz w:val="1"/>
                <w:szCs w:val="1"/>
                <w:color w:val="auto"/>
              </w:rPr>
            </w:pP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0" w:type="dxa"/>
            <w:vAlign w:val="bottom"/>
          </w:tcPr>
          <w:p>
            <w:pPr>
              <w:spacing w:after="0"/>
              <w:rPr>
                <w:sz w:val="1"/>
                <w:szCs w:val="1"/>
                <w:color w:val="auto"/>
              </w:rPr>
            </w:pP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from sale / impairment of discontinued operations before income taxes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from sale / impairment of discontinued operations, net of tax</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major classes of assets and liabilities that were classified as held for sale on the Consolidated Balance Sheets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8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0" w:type="dxa"/>
            <w:vAlign w:val="bottom"/>
          </w:tcPr>
          <w:p>
            <w:pPr>
              <w:spacing w:after="0"/>
              <w:rPr>
                <w:sz w:val="1"/>
                <w:szCs w:val="1"/>
                <w:color w:val="auto"/>
              </w:rPr>
            </w:pPr>
          </w:p>
        </w:tc>
      </w:tr>
      <w:tr>
        <w:trPr>
          <w:trHeight w:val="34"/>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365.4</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1"/>
                <w:szCs w:val="21"/>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7"/>
        </w:trPr>
        <w:tc>
          <w:tcPr>
            <w:tcW w:w="8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891.9</w:t>
            </w:r>
          </w:p>
        </w:tc>
        <w:tc>
          <w:tcPr>
            <w:tcW w:w="0" w:type="dxa"/>
            <w:vAlign w:val="bottom"/>
          </w:tcPr>
          <w:p>
            <w:pPr>
              <w:spacing w:after="0"/>
              <w:rPr>
                <w:sz w:val="1"/>
                <w:szCs w:val="1"/>
                <w:color w:val="auto"/>
              </w:rPr>
            </w:pPr>
          </w:p>
        </w:tc>
      </w:tr>
      <w:tr>
        <w:trPr>
          <w:trHeight w:val="67"/>
        </w:trPr>
        <w:tc>
          <w:tcPr>
            <w:tcW w:w="84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361.5</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703.5</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Asbestos-related insurance receivable</w:t>
            </w:r>
          </w:p>
        </w:tc>
        <w:tc>
          <w:tcPr>
            <w:tcW w:w="340" w:type="dxa"/>
            <w:vAlign w:val="bottom"/>
          </w:tcPr>
          <w:p>
            <w:pPr>
              <w:spacing w:after="0"/>
              <w:rPr>
                <w:sz w:val="21"/>
                <w:szCs w:val="21"/>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37"/>
        </w:trPr>
        <w:tc>
          <w:tcPr>
            <w:tcW w:w="8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2,292.9</w:t>
            </w:r>
          </w:p>
        </w:tc>
        <w:tc>
          <w:tcPr>
            <w:tcW w:w="0" w:type="dxa"/>
            <w:vAlign w:val="bottom"/>
          </w:tcPr>
          <w:p>
            <w:pPr>
              <w:spacing w:after="0"/>
              <w:rPr>
                <w:sz w:val="1"/>
                <w:szCs w:val="1"/>
                <w:color w:val="auto"/>
              </w:rPr>
            </w:pPr>
          </w:p>
        </w:tc>
      </w:tr>
      <w:tr>
        <w:trPr>
          <w:trHeight w:val="67"/>
        </w:trPr>
        <w:tc>
          <w:tcPr>
            <w:tcW w:w="84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40" w:type="dxa"/>
            <w:vAlign w:val="bottom"/>
          </w:tcPr>
          <w:p>
            <w:pPr>
              <w:spacing w:after="0"/>
              <w:rPr>
                <w:sz w:val="21"/>
                <w:szCs w:val="21"/>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37"/>
        </w:trPr>
        <w:tc>
          <w:tcPr>
            <w:tcW w:w="8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356.2</w:t>
            </w:r>
          </w:p>
        </w:tc>
        <w:tc>
          <w:tcPr>
            <w:tcW w:w="0" w:type="dxa"/>
            <w:vAlign w:val="bottom"/>
          </w:tcPr>
          <w:p>
            <w:pPr>
              <w:spacing w:after="0"/>
              <w:rPr>
                <w:sz w:val="1"/>
                <w:szCs w:val="1"/>
                <w:color w:val="auto"/>
              </w:rPr>
            </w:pPr>
          </w:p>
        </w:tc>
      </w:tr>
      <w:tr>
        <w:trPr>
          <w:trHeight w:val="67"/>
        </w:trPr>
        <w:tc>
          <w:tcPr>
            <w:tcW w:w="84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1"/>
                <w:szCs w:val="21"/>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Asbestos-related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Pr>
          <w:p>
            <w:pPr>
              <w:spacing w:after="0"/>
              <w:rPr>
                <w:sz w:val="21"/>
                <w:szCs w:val="21"/>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505.9</w:t>
            </w:r>
          </w:p>
        </w:tc>
        <w:tc>
          <w:tcPr>
            <w:tcW w:w="0" w:type="dxa"/>
            <w:vAlign w:val="bottom"/>
          </w:tcPr>
          <w:p>
            <w:pPr>
              <w:spacing w:after="0"/>
              <w:rPr>
                <w:sz w:val="1"/>
                <w:szCs w:val="1"/>
                <w:color w:val="auto"/>
              </w:rPr>
            </w:pP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7" w:right="2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(loss) per share were calculated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Pr>
          <w:p>
            <w:pPr>
              <w:spacing w:after="0"/>
              <w:rPr>
                <w:sz w:val="21"/>
                <w:szCs w:val="21"/>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7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67"/>
        </w:trPr>
        <w:tc>
          <w:tcPr>
            <w:tcW w:w="7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4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impact of stock options and restricted stock awards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7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67"/>
        </w:trPr>
        <w:tc>
          <w:tcPr>
            <w:tcW w:w="7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(loss) per ordinary share</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(loss) per ordinary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67"/>
        </w:trPr>
        <w:tc>
          <w:tcPr>
            <w:tcW w:w="7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(loss) per ordinary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Anti-dilutive stock options excluded from the calculation of diluted earnings per share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During 2017, 2016 and 2015, we initiated and continued execution of certain business restructuring initiatives aimed at reducing our fixed cost structure and realigning our business, specifically in 2017 as part of the contemplation of the Proposed Separation. The 2017 initiatives included a reduction in hourly and salaried headcount of approximately 500 employees, which included 250 in Water and 250 in Electrical. The 2016 initiatives included the reduction in hourly and salaried headcount of approximately 650 employees, which included 300 in Water and 350 in Electrical. The 2015 initiatives included the reduction in hourly and salaried headcount of approximately 500 employees, which included 300 in Water and 200 in Electrical.</w:t>
      </w:r>
    </w:p>
    <w:p>
      <w:pPr>
        <w:spacing w:after="0" w:line="131"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color w:val="auto"/>
        </w:rPr>
        <w:t xml:space="preserve">Restructuring related costs included in </w:t>
      </w: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xml:space="preserve"> expenses in the Consolidated Statements of Operations and Comprehensive Income (Loss) included costs for severance and other restructuring costs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restructuring costs primarily consist of asset impairment and various contract termination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 by reportable segment were as follows: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Electrical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7"/>
        </w:trPr>
        <w:tc>
          <w:tcPr>
            <w:tcW w:w="6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3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7" w:right="2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Activity related to accrued severance and related costs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Consolidated Balance Sheets is summarized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34"/>
        </w:trPr>
        <w:tc>
          <w:tcPr>
            <w:tcW w:w="8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6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34"/>
        </w:trPr>
        <w:tc>
          <w:tcPr>
            <w:tcW w:w="8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incurred</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7"/>
        </w:trPr>
        <w:tc>
          <w:tcPr>
            <w:tcW w:w="8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Goodwill and Other Identifiable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2017 and 2016 by reportable segment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280" w:type="dxa"/>
            <w:vAlign w:val="bottom"/>
          </w:tcPr>
          <w:p>
            <w:pPr>
              <w:spacing w:after="0"/>
              <w:rPr>
                <w:sz w:val="18"/>
                <w:szCs w:val="18"/>
                <w:color w:val="auto"/>
              </w:rPr>
            </w:pPr>
          </w:p>
        </w:tc>
        <w:tc>
          <w:tcPr>
            <w:tcW w:w="1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8"/>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60" w:type="dxa"/>
            <w:vAlign w:val="bottom"/>
          </w:tcPr>
          <w:p>
            <w:pPr>
              <w:spacing w:after="0"/>
              <w:rPr>
                <w:sz w:val="20"/>
                <w:szCs w:val="20"/>
                <w:color w:val="auto"/>
              </w:rPr>
            </w:pPr>
          </w:p>
        </w:tc>
        <w:tc>
          <w:tcPr>
            <w:tcW w:w="2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40" w:type="dxa"/>
            <w:vAlign w:val="bottom"/>
          </w:tcPr>
          <w:p>
            <w:pPr>
              <w:spacing w:after="0"/>
              <w:rPr>
                <w:sz w:val="20"/>
                <w:szCs w:val="20"/>
                <w:color w:val="auto"/>
              </w:rPr>
            </w:pPr>
          </w:p>
        </w:tc>
        <w:tc>
          <w:tcPr>
            <w:tcW w:w="16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divestitures</w:t>
            </w:r>
          </w:p>
        </w:tc>
        <w:tc>
          <w:tcPr>
            <w:tcW w:w="280" w:type="dxa"/>
            <w:vAlign w:val="bottom"/>
          </w:tcPr>
          <w:p>
            <w:pPr>
              <w:spacing w:after="0"/>
              <w:rPr>
                <w:sz w:val="20"/>
                <w:szCs w:val="20"/>
                <w:color w:val="auto"/>
              </w:rPr>
            </w:pPr>
          </w:p>
        </w:tc>
        <w:tc>
          <w:tcPr>
            <w:tcW w:w="1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translation/other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December 31, 2017</w:t>
            </w:r>
          </w:p>
        </w:tc>
      </w:tr>
      <w:tr>
        <w:trPr>
          <w:trHeight w:val="34"/>
        </w:trPr>
        <w:tc>
          <w:tcPr>
            <w:tcW w:w="2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Water</w:t>
            </w:r>
          </w:p>
        </w:tc>
        <w:tc>
          <w:tcPr>
            <w:tcW w:w="10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2,112.9</w:t>
            </w:r>
          </w:p>
        </w:tc>
      </w:tr>
      <w:tr>
        <w:trPr>
          <w:trHeight w:val="243"/>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Electrical</w:t>
            </w:r>
          </w:p>
        </w:tc>
        <w:tc>
          <w:tcPr>
            <w:tcW w:w="10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2,238.2</w:t>
            </w:r>
          </w:p>
        </w:tc>
      </w:tr>
      <w:tr>
        <w:trPr>
          <w:trHeight w:val="27"/>
        </w:trPr>
        <w:tc>
          <w:tcPr>
            <w:tcW w:w="2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2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goodwill</w:t>
            </w:r>
          </w:p>
        </w:tc>
        <w:tc>
          <w:tcPr>
            <w:tcW w:w="10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4,351.1</w:t>
            </w:r>
          </w:p>
        </w:tc>
      </w:tr>
      <w:tr>
        <w:trPr>
          <w:trHeight w:val="20"/>
        </w:trPr>
        <w:tc>
          <w:tcPr>
            <w:tcW w:w="20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336"/>
        </w:trPr>
        <w:tc>
          <w:tcPr>
            <w:tcW w:w="2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240" w:type="dxa"/>
            <w:vAlign w:val="bottom"/>
          </w:tcPr>
          <w:p>
            <w:pPr>
              <w:spacing w:after="0"/>
              <w:rPr>
                <w:sz w:val="18"/>
                <w:szCs w:val="18"/>
                <w:color w:val="auto"/>
              </w:rPr>
            </w:pPr>
          </w:p>
        </w:tc>
        <w:tc>
          <w:tcPr>
            <w:tcW w:w="12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8"/>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6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December 31, 2015</w:t>
            </w:r>
          </w:p>
        </w:tc>
        <w:tc>
          <w:tcPr>
            <w:tcW w:w="16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divestitures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translation/other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34"/>
        </w:trPr>
        <w:tc>
          <w:tcPr>
            <w:tcW w:w="2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Water</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2,003.8</w:t>
            </w:r>
          </w:p>
        </w:tc>
        <w:tc>
          <w:tcPr>
            <w:tcW w:w="92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1,994.6</w:t>
            </w:r>
          </w:p>
        </w:tc>
      </w:tr>
      <w:tr>
        <w:trPr>
          <w:trHeight w:val="243"/>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Electrical</w:t>
            </w:r>
          </w:p>
        </w:tc>
        <w:tc>
          <w:tcPr>
            <w:tcW w:w="10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2,255.2</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2,222.8</w:t>
            </w:r>
          </w:p>
        </w:tc>
      </w:tr>
      <w:tr>
        <w:trPr>
          <w:trHeight w:val="27"/>
        </w:trPr>
        <w:tc>
          <w:tcPr>
            <w:tcW w:w="2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2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goodwill</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4,259.0</w:t>
            </w:r>
          </w:p>
        </w:tc>
        <w:tc>
          <w:tcPr>
            <w:tcW w:w="92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4,217.4</w:t>
            </w:r>
          </w:p>
        </w:tc>
      </w:tr>
      <w:tr>
        <w:trPr>
          <w:trHeight w:val="20"/>
        </w:trPr>
        <w:tc>
          <w:tcPr>
            <w:tcW w:w="20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goodwill impairment losses were $200.5 million as of December 31, 2017 and 2016.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
        </w:trPr>
        <w:tc>
          <w:tcPr>
            <w:tcW w:w="2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1"/>
        </w:trPr>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8"/>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36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Net</w:t>
            </w: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36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34"/>
        </w:trPr>
        <w:tc>
          <w:tcPr>
            <w:tcW w:w="2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Definite-life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1,131.3</w:t>
            </w: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Proprietary technology and</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2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3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2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finite-life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1,647.3</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1,172.7</w:t>
            </w: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Indefinite-life intangibles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459.1</w:t>
            </w:r>
          </w:p>
        </w:tc>
      </w:tr>
      <w:tr>
        <w:trPr>
          <w:trHeight w:val="237"/>
        </w:trPr>
        <w:tc>
          <w:tcPr>
            <w:tcW w:w="2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intangibles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1,558.4</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2,080.2</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1,631.8</w:t>
            </w:r>
          </w:p>
        </w:tc>
      </w:tr>
      <w:tr>
        <w:trPr>
          <w:trHeight w:val="27"/>
        </w:trPr>
        <w:tc>
          <w:tcPr>
            <w:tcW w:w="2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 amortization expense in 2017, 2016 and 2015 was $97.7 million, $96.4 million and $68.1 million, respectively.</w:t>
      </w:r>
    </w:p>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2017, we recorded an impairment charge for trade name intangible assets of $25.2 million in Water and Electrical. In 2016, we recorded an impairment charge for trade name intangible assets of $13.3 million in Electrical.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identifiable intangible assets during the next five years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3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84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31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7" w:right="2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Balance Sheet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8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0" w:type="dxa"/>
            <w:vAlign w:val="bottom"/>
          </w:tcPr>
          <w:p>
            <w:pPr>
              <w:spacing w:after="0"/>
              <w:rPr>
                <w:sz w:val="1"/>
                <w:szCs w:val="1"/>
                <w:color w:val="auto"/>
              </w:rPr>
            </w:pPr>
          </w:p>
        </w:tc>
      </w:tr>
      <w:tr>
        <w:trPr>
          <w:trHeight w:val="34"/>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524.2</w:t>
            </w:r>
          </w:p>
        </w:tc>
        <w:tc>
          <w:tcPr>
            <w:tcW w:w="0" w:type="dxa"/>
            <w:vAlign w:val="bottom"/>
          </w:tcPr>
          <w:p>
            <w:pPr>
              <w:spacing w:after="0"/>
              <w:rPr>
                <w:sz w:val="1"/>
                <w:szCs w:val="1"/>
                <w:color w:val="auto"/>
              </w:rPr>
            </w:pP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in excess of billings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932.5</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1,402.3</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863.7</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538.6</w:t>
            </w:r>
          </w:p>
        </w:tc>
        <w:tc>
          <w:tcPr>
            <w:tcW w:w="0" w:type="dxa"/>
            <w:vAlign w:val="bottom"/>
          </w:tcPr>
          <w:p>
            <w:pPr>
              <w:spacing w:after="0"/>
              <w:rPr>
                <w:sz w:val="1"/>
                <w:szCs w:val="1"/>
                <w:color w:val="auto"/>
              </w:rPr>
            </w:pP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warranty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rebates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Billings in excess of cost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restructuring</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37"/>
        </w:trPr>
        <w:tc>
          <w:tcPr>
            <w:tcW w:w="8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5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511.5</w:t>
            </w:r>
          </w:p>
        </w:tc>
        <w:tc>
          <w:tcPr>
            <w:tcW w:w="0" w:type="dxa"/>
            <w:vAlign w:val="bottom"/>
          </w:tcPr>
          <w:p>
            <w:pPr>
              <w:spacing w:after="0"/>
              <w:rPr>
                <w:sz w:val="1"/>
                <w:szCs w:val="1"/>
                <w:color w:val="auto"/>
              </w:rPr>
            </w:pPr>
          </w:p>
        </w:tc>
      </w:tr>
      <w:tr>
        <w:trPr>
          <w:trHeight w:val="67"/>
        </w:trPr>
        <w:tc>
          <w:tcPr>
            <w:tcW w:w="84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5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0"/>
        </w:trPr>
        <w:tc>
          <w:tcPr>
            <w:tcW w:w="8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7" w:right="2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interest,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4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6860" w:firstLine="8"/>
        <w:spacing w:after="0" w:line="286" w:lineRule="auto"/>
        <w:tabs>
          <w:tab w:leader="none" w:pos="6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Accumulated Other Comprehensive Income (Loss) </w:t>
      </w:r>
      <w:r>
        <w:rPr>
          <w:rFonts w:ascii="Times New Roman" w:cs="Times New Roman" w:eastAsia="Times New Roman" w:hAnsi="Times New Roman"/>
          <w:sz w:val="18"/>
          <w:szCs w:val="18"/>
          <w:color w:val="auto"/>
        </w:rPr>
        <w:t>Components of AOCI consist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40" w:type="dxa"/>
            <w:vAlign w:val="bottom"/>
            <w:gridSpan w:val="2"/>
            <w:vMerge w:val="continue"/>
          </w:tcPr>
          <w:p>
            <w:pPr>
              <w:spacing w:after="0"/>
              <w:rPr>
                <w:sz w:val="21"/>
                <w:szCs w:val="21"/>
                <w:color w:val="auto"/>
              </w:rPr>
            </w:pPr>
          </w:p>
        </w:tc>
        <w:tc>
          <w:tcPr>
            <w:tcW w:w="1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34"/>
        </w:trPr>
        <w:tc>
          <w:tcPr>
            <w:tcW w:w="52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0" w:type="dxa"/>
            <w:vAlign w:val="bottom"/>
          </w:tcPr>
          <w:p>
            <w:pPr>
              <w:spacing w:after="0"/>
              <w:rPr>
                <w:sz w:val="1"/>
                <w:szCs w:val="1"/>
                <w:color w:val="auto"/>
              </w:rPr>
            </w:pPr>
          </w:p>
        </w:tc>
      </w:tr>
      <w:tr>
        <w:trPr>
          <w:trHeight w:val="243"/>
        </w:trPr>
        <w:tc>
          <w:tcPr>
            <w:tcW w:w="5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 in market value of derivative financial instruments, net of tax</w:t>
            </w:r>
          </w:p>
        </w:tc>
        <w:tc>
          <w:tcPr>
            <w:tcW w:w="1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46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and the average interest rates on debt outstanding were as follows:</w:t>
            </w: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5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gridSpan w:val="3"/>
            <w:vMerge w:val="restart"/>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59"/>
        </w:trPr>
        <w:tc>
          <w:tcPr>
            <w:tcW w:w="56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8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c>
          <w:tcPr>
            <w:tcW w:w="12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12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34"/>
        </w:trPr>
        <w:tc>
          <w:tcPr>
            <w:tcW w:w="52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80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2.340%</w:t>
            </w:r>
          </w:p>
        </w:tc>
        <w:tc>
          <w:tcPr>
            <w:tcW w:w="120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2019</w:t>
            </w: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43"/>
        </w:trPr>
        <w:tc>
          <w:tcPr>
            <w:tcW w:w="5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8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3.064%</w:t>
            </w:r>
          </w:p>
        </w:tc>
        <w:tc>
          <w:tcPr>
            <w:tcW w:w="12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7"/>
        </w:trPr>
        <w:tc>
          <w:tcPr>
            <w:tcW w:w="524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5"/>
                <w:szCs w:val="25"/>
                <w:color w:val="auto"/>
                <w:vertAlign w:val="superscript"/>
              </w:rPr>
              <w:t>(1)</w:t>
            </w:r>
          </w:p>
        </w:tc>
        <w:tc>
          <w:tcPr>
            <w:tcW w:w="18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1.875%</w:t>
            </w:r>
          </w:p>
        </w:tc>
        <w:tc>
          <w:tcPr>
            <w:tcW w:w="12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2017</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70"/>
        </w:trPr>
        <w:tc>
          <w:tcPr>
            <w:tcW w:w="52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5"/>
                <w:szCs w:val="25"/>
                <w:color w:val="auto"/>
                <w:vertAlign w:val="superscript"/>
              </w:rPr>
              <w:t>(1)</w:t>
            </w:r>
          </w:p>
        </w:tc>
        <w:tc>
          <w:tcPr>
            <w:tcW w:w="18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2.900%</w:t>
            </w:r>
          </w:p>
        </w:tc>
        <w:tc>
          <w:tcPr>
            <w:tcW w:w="12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2018</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255.3</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0"/>
        </w:trPr>
        <w:tc>
          <w:tcPr>
            <w:tcW w:w="52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5"/>
                <w:szCs w:val="25"/>
                <w:color w:val="auto"/>
                <w:vertAlign w:val="superscript"/>
              </w:rPr>
              <w:t>(1)</w:t>
            </w:r>
          </w:p>
        </w:tc>
        <w:tc>
          <w:tcPr>
            <w:tcW w:w="18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2.650%</w:t>
            </w:r>
          </w:p>
        </w:tc>
        <w:tc>
          <w:tcPr>
            <w:tcW w:w="12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70"/>
        </w:trPr>
        <w:tc>
          <w:tcPr>
            <w:tcW w:w="52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Senior notes - fixed rate - Euro </w:t>
            </w:r>
            <w:r>
              <w:rPr>
                <w:rFonts w:ascii="Times New Roman" w:cs="Times New Roman" w:eastAsia="Times New Roman" w:hAnsi="Times New Roman"/>
                <w:sz w:val="25"/>
                <w:szCs w:val="25"/>
                <w:color w:val="auto"/>
                <w:vertAlign w:val="superscript"/>
              </w:rPr>
              <w:t>(1)</w:t>
            </w:r>
          </w:p>
        </w:tc>
        <w:tc>
          <w:tcPr>
            <w:tcW w:w="18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2.450%</w:t>
            </w:r>
          </w:p>
        </w:tc>
        <w:tc>
          <w:tcPr>
            <w:tcW w:w="12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594.4</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520.7</w:t>
            </w:r>
          </w:p>
        </w:tc>
        <w:tc>
          <w:tcPr>
            <w:tcW w:w="0" w:type="dxa"/>
            <w:vAlign w:val="bottom"/>
          </w:tcPr>
          <w:p>
            <w:pPr>
              <w:spacing w:after="0"/>
              <w:rPr>
                <w:sz w:val="1"/>
                <w:szCs w:val="1"/>
                <w:color w:val="auto"/>
              </w:rPr>
            </w:pPr>
          </w:p>
        </w:tc>
      </w:tr>
      <w:tr>
        <w:trPr>
          <w:trHeight w:val="270"/>
        </w:trPr>
        <w:tc>
          <w:tcPr>
            <w:tcW w:w="52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5"/>
                <w:szCs w:val="25"/>
                <w:color w:val="auto"/>
                <w:vertAlign w:val="superscript"/>
              </w:rPr>
              <w:t>(1)</w:t>
            </w:r>
          </w:p>
        </w:tc>
        <w:tc>
          <w:tcPr>
            <w:tcW w:w="18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3.625%</w:t>
            </w:r>
          </w:p>
        </w:tc>
        <w:tc>
          <w:tcPr>
            <w:tcW w:w="12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70"/>
        </w:trPr>
        <w:tc>
          <w:tcPr>
            <w:tcW w:w="52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5"/>
                <w:szCs w:val="25"/>
                <w:color w:val="auto"/>
                <w:vertAlign w:val="superscript"/>
              </w:rPr>
              <w:t>(1)</w:t>
            </w:r>
          </w:p>
        </w:tc>
        <w:tc>
          <w:tcPr>
            <w:tcW w:w="18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5.000%</w:t>
            </w:r>
          </w:p>
        </w:tc>
        <w:tc>
          <w:tcPr>
            <w:tcW w:w="12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0"/>
        </w:trPr>
        <w:tc>
          <w:tcPr>
            <w:tcW w:w="52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5"/>
                <w:szCs w:val="25"/>
                <w:color w:val="auto"/>
                <w:vertAlign w:val="superscript"/>
              </w:rPr>
              <w:t>(1)</w:t>
            </w:r>
          </w:p>
        </w:tc>
        <w:tc>
          <w:tcPr>
            <w:tcW w:w="18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3.150%</w:t>
            </w:r>
          </w:p>
        </w:tc>
        <w:tc>
          <w:tcPr>
            <w:tcW w:w="12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70"/>
        </w:trPr>
        <w:tc>
          <w:tcPr>
            <w:tcW w:w="52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5"/>
                <w:szCs w:val="25"/>
                <w:color w:val="auto"/>
                <w:vertAlign w:val="superscript"/>
              </w:rPr>
              <w:t>(1)</w:t>
            </w:r>
          </w:p>
        </w:tc>
        <w:tc>
          <w:tcPr>
            <w:tcW w:w="18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4.650%</w:t>
            </w:r>
          </w:p>
        </w:tc>
        <w:tc>
          <w:tcPr>
            <w:tcW w:w="12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6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5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Unamortized issuance costs and discounts</w:t>
            </w:r>
          </w:p>
        </w:tc>
        <w:tc>
          <w:tcPr>
            <w:tcW w:w="18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52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1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4,279.2</w:t>
            </w:r>
          </w:p>
        </w:tc>
        <w:tc>
          <w:tcPr>
            <w:tcW w:w="0" w:type="dxa"/>
            <w:vAlign w:val="bottom"/>
          </w:tcPr>
          <w:p>
            <w:pPr>
              <w:spacing w:after="0"/>
              <w:rPr>
                <w:sz w:val="1"/>
                <w:szCs w:val="1"/>
                <w:color w:val="auto"/>
              </w:rPr>
            </w:pPr>
          </w:p>
        </w:tc>
      </w:tr>
      <w:tr>
        <w:trPr>
          <w:trHeight w:val="243"/>
        </w:trPr>
        <w:tc>
          <w:tcPr>
            <w:tcW w:w="5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Current maturities and short-term borrowings</w:t>
            </w:r>
          </w:p>
        </w:tc>
        <w:tc>
          <w:tcPr>
            <w:tcW w:w="1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52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4,278.4</w:t>
            </w: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46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3" w:lineRule="exact"/>
        <w:rPr>
          <w:sz w:val="20"/>
          <w:szCs w:val="20"/>
          <w:color w:val="auto"/>
        </w:rPr>
      </w:pPr>
    </w:p>
    <w:p>
      <w:pPr>
        <w:ind w:left="220" w:hanging="185"/>
        <w:spacing w:after="0"/>
        <w:tabs>
          <w:tab w:leader="none" w:pos="220"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Senior notes guaranteed as to payment by Pentair plc and PISG ("the Notes")</w:t>
      </w:r>
    </w:p>
    <w:p>
      <w:pPr>
        <w:spacing w:after="0" w:line="1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October 2014, Pentair plc, Pentair Investments Switzerland GmbH ("PISG"), Pentair Finance S.à r.l. ("PFSA") and Pentair, Inc. entered into an amended and restated credit agreement (the "Credit Facility"), with Pentair plc and PISG as guarantors and PFSA and Pentair, Inc. as borrowers. The Credit Facility had a maximum aggregate availability of $2,100.0 million and a maturity date of October 3, 2019. Borrowings under the Credit Facility generally bear interest at a variable rate equal to the London Interbank Offered Rate ("LIBOR") plus a specified margin based upon PFSA's credit ratings. PFSA must pay a facility fee ranging from 9.0 to 25.0 basis points per annum (based upon PFSA's credit ratings) on the amount of each lender's commitment and letter of credit fee for each letter of credit issued and outstanding under the Credit Facility.</w:t>
      </w:r>
    </w:p>
    <w:p>
      <w:pPr>
        <w:spacing w:after="0" w:line="1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August 2015, Pentair plc, PISG and PFSA entered into a First Amendment to the Credit Facility (the "First Amendment"), which, among other things, increased the Leverage Ratio (as defined below). In September 2015, Pentair plc, PISG and PFSA entered into a Second Amendment to the Credit Facility (the "Second Amendment"), which, among other things, increased the maximum aggregate availability to $2,500.0 million. Additionally, in September 2016, Pentair plc, PISG and PFSA entered into</w:t>
      </w:r>
    </w:p>
    <w:p>
      <w:pPr>
        <w:sectPr>
          <w:pgSz w:w="11900" w:h="16838" w:orient="portrait"/>
          <w:cols w:equalWidth="0" w:num="1">
            <w:col w:w="11420"/>
          </w:cols>
          <w:pgMar w:left="240" w:top="117"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7" w:right="2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Third Amendment to the Credit Facility (the "Third Amendment," and collectively with the First Amendment and Second Amendment, the "Amendments"), which, among other things, increased the Leverage Ratio to the amounts specified below, and amended the definition of EBITDA to include earnings from discontinued operations subject to a sale agreement until such disposition actually occurs.</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In May 2017, we repurchased aggregate principal of certain series of outstanding notes totaling $1,659.3 million. All costs associated with the repurchases were recorded as </w:t>
      </w:r>
      <w:r>
        <w:rPr>
          <w:rFonts w:ascii="Times New Roman" w:cs="Times New Roman" w:eastAsia="Times New Roman" w:hAnsi="Times New Roman"/>
          <w:sz w:val="18"/>
          <w:szCs w:val="18"/>
          <w:i w:val="1"/>
          <w:iCs w:val="1"/>
          <w:color w:val="auto"/>
        </w:rPr>
        <w:t>Loss on early extinguishment of debt,</w:t>
      </w:r>
      <w:r>
        <w:rPr>
          <w:rFonts w:ascii="Times New Roman" w:cs="Times New Roman" w:eastAsia="Times New Roman" w:hAnsi="Times New Roman"/>
          <w:sz w:val="18"/>
          <w:szCs w:val="18"/>
          <w:color w:val="auto"/>
        </w:rPr>
        <w:t xml:space="preserve"> including $6.5 million of unamortized deferred financing costs.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PFSA is authorized to sell short-term commercial paper notes to the extent availability exists under the Credit Facility. PFSA uses the Credit Facility as back-up liquidity to support 100% of commercial paper outstanding. As of December 31, 2017 and 2016, we had $34.0 million and $398.7 million, respectively, of commercial paper outstanding, all of which was classified as long-term as we have the intent and ability to refinance such obligations on a long-term basis under the Credit Facility.</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debt agreements contain certain financial covenants, the most restrictive of which are in the Credit Facility (as updated for the Amendments), including that we may not permit (i) the ratio of our consolidated debt plus synthetic lease obligations to our consolidated net income (excluding, among other things, non-cash gains and losses) before interest, taxes, depreciation, amortization, non-cash share-based compensation expense, up to a lifetime maximum $25.0 million of costs, fees and expenses incurred in connection with certain acquisitions, investments, dispositions and the issuance, repayment or refinancing of debt, ("EBITDA") for the four consecutive fiscal quarters then ended (the "Leverage Ratio") to exceed 3.50 to 1.00 as of the last day of the period of four consecutive fiscal quarters and (ii) the ratio of our EBITDA for the four consecutive fiscal quarters then ended to our consolidated interest expense, including consolidated yield or discount accrued as to outstanding securitization obligations (if any), for the same period to be less than 3.00 to 1.00 as of the end of each fiscal quarter. For purposes of the Leverage Ratio, the Credit Facility provides for the calculation of EBITDA giving pro forma effect to certain acquisitions, divestitures and liquidations during the period to which such calculation relates. As of December 31, 2017, we were in compliance with all financial covenants in our debt agreements.</w:t>
      </w:r>
    </w:p>
    <w:p>
      <w:pPr>
        <w:spacing w:after="0" w:line="13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Total availability under the Credit Facility was $2,437.6 million as of December 31, 2017, which was limited to $1,897.5 million by the Leverage Ratio in the Credit Facility's credit agreement.</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to the Credit Facility, we have various other credit facilities with an aggregate availability of $30.0 million, of which there were no outstanding borrowings at December 31, 2017. Borrowings under these credit facilities bear interest at variable rates.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$255.3 million of fixed rate senior notes maturing in September 2018. We classified this debt as long-term as of December 31, 2017 as we have the intent and ability to refinance such obligation on a long-term basis under the Credit Facility.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outstanding, excluding unamortized issuance costs and discounts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 December 31, 2017 matures on a calendar year basis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80" w:type="dxa"/>
            <w:vAlign w:val="bottom"/>
          </w:tcPr>
          <w:p>
            <w:pPr>
              <w:spacing w:after="0"/>
              <w:rPr>
                <w:sz w:val="20"/>
                <w:szCs w:val="20"/>
                <w:color w:val="auto"/>
              </w:rPr>
            </w:pPr>
          </w:p>
        </w:tc>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3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debt obligation maturities</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1,447.5</w:t>
            </w:r>
          </w:p>
        </w:tc>
      </w:tr>
      <w:tr>
        <w:trPr>
          <w:trHeight w:val="27"/>
        </w:trPr>
        <w:tc>
          <w:tcPr>
            <w:tcW w:w="3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ind w:right="7800" w:firstLine="8"/>
        <w:spacing w:after="0" w:line="263" w:lineRule="auto"/>
        <w:tabs>
          <w:tab w:leader="none" w:pos="648"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Derivatives and Financial Instruments </w:t>
      </w:r>
      <w:r>
        <w:rPr>
          <w:rFonts w:ascii="Times New Roman" w:cs="Times New Roman" w:eastAsia="Times New Roman" w:hAnsi="Times New Roman"/>
          <w:sz w:val="18"/>
          <w:szCs w:val="18"/>
          <w:b w:val="1"/>
          <w:bCs w:val="1"/>
          <w:i w:val="1"/>
          <w:iCs w:val="1"/>
          <w:color w:val="auto"/>
        </w:rPr>
        <w:t>Derivative financial instruments</w:t>
      </w:r>
    </w:p>
    <w:p>
      <w:pPr>
        <w:ind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 The derivative contracts contain credit risk to the extent that our bank counterparties may be unable to meet the terms of the agreements. The amount of</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7"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such credit risk is generally limited to the unrealized gains, if any, in such contracts. Such risk is minimized by limiting those counterparties to major financial institutions of high credit quality.</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December 31, 2017 and 2016, we had outstanding foreign currency derivative contracts with gross notional U.S. dollar equivalent amounts of $481.4 million and $475.6 million, respectively. The impact of these contracts on the Consolidated Statements of Operations and Comprehensive Income (Loss) was not material for any period presented.</w:t>
      </w:r>
    </w:p>
    <w:p>
      <w:pPr>
        <w:spacing w:after="0" w:line="120"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color w:val="auto"/>
        </w:rPr>
        <w:t xml:space="preserve">Gains or losses on foreign currency contracts designated as hedges are reclassified out of AOCI and into </w:t>
      </w: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xml:space="preserve"> in the Consolidated Statements of Operations and Comprehensive Income (Loss) when the hedged item affects earnings. Such reclassifications during 2017, 2016 and 2015 were not material.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net investments in foreign subsidiaries that are subject to changes in the foreign currency exchange rate. In September 2015, we designated the €500 million 2.45% Senior Notes due 2019 (the "2019 Euro Notes") as a net investment hedge for a portion of our net investment in our Euro denominated subsidiaries. The gains/losses on the 2019 Euro Notes have been included as a component of the cumulative translation adjustment account within AOCI. As of December 31, 2017 and 2016, we had a deferred foreign currency loss of $29.6 million and a gain of $44.2 million, respectively, in AOCI associated with the net investment hedge activity.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292" w:lineRule="exact"/>
        <w:rPr>
          <w:sz w:val="20"/>
          <w:szCs w:val="20"/>
          <w:color w:val="auto"/>
        </w:rPr>
      </w:pPr>
    </w:p>
    <w:p>
      <w:pPr>
        <w:ind w:left="80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560" w:right="580" w:hanging="759"/>
        <w:spacing w:after="0" w:line="282" w:lineRule="auto"/>
        <w:tabs>
          <w:tab w:leader="none" w:pos="154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121" w:lineRule="exact"/>
        <w:rPr>
          <w:sz w:val="20"/>
          <w:szCs w:val="20"/>
          <w:color w:val="auto"/>
        </w:rPr>
      </w:pPr>
    </w:p>
    <w:p>
      <w:pPr>
        <w:ind w:left="80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Valuation is based upon other unobservable inputs that are significant to the fair value measurement.</w:t>
      </w:r>
    </w:p>
    <w:p>
      <w:pPr>
        <w:spacing w:after="0" w:line="2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values of each class of financial instrument:</w:t>
      </w:r>
    </w:p>
    <w:p>
      <w:pPr>
        <w:spacing w:after="0" w:line="153" w:lineRule="exact"/>
        <w:rPr>
          <w:sz w:val="20"/>
          <w:szCs w:val="20"/>
          <w:color w:val="auto"/>
        </w:rPr>
      </w:pPr>
    </w:p>
    <w:p>
      <w:pPr>
        <w:ind w:left="660" w:right="28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financial instruments (cash and cash equivalents, accounts and notes receivable, accounts and notes payable and variable-rate debt) — recorded amount approximates fair value because of the short maturity period;</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fixed-rate debt, including current maturities — fair value is based on market quotes available for issuance of debt with similar terms, which are inputs that are classified as Level 2 in the valuation hierarchy defined by the accounting guidance;</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contract agreements — fair values are determined through the use of models that consider various assumptions, including time value, yield curves, as well as other relevant economic measures, which are inputs that are classified as Level 2 in the valuation hierarchy defined by the accounting guidance; and</w:t>
      </w:r>
    </w:p>
    <w:p>
      <w:pPr>
        <w:spacing w:after="0" w:line="122"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plan assets (mutual funds, common/collective trusts and cash equivalents for payment of certain non-qualified benefits for retired, terminated and active employees) — fair value of mutual funds and cash equivalents are based on quoted market prices in active markets that are classified as Level 1 in the valuation hierarchy defined by the accounting guidance; fair value of common/collective trusts are based on observable inputs that are classified as Level 2 in the valuation hierarchy defined by the accounting guidance.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117" w:right="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recorded amounts and estimated fair values of total debt, excluding unamortized issuance costs and discounts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at December 31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0" w:type="dxa"/>
            <w:vAlign w:val="bottom"/>
          </w:tcPr>
          <w:p>
            <w:pPr>
              <w:spacing w:after="0"/>
              <w:rPr>
                <w:sz w:val="20"/>
                <w:szCs w:val="20"/>
                <w:color w:val="auto"/>
              </w:rPr>
            </w:pPr>
          </w:p>
        </w:tc>
      </w:tr>
      <w:tr>
        <w:trPr>
          <w:trHeight w:val="34"/>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1"/>
        </w:trPr>
        <w:tc>
          <w:tcPr>
            <w:tcW w:w="5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8"/>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34"/>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Variable rate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976.3</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rate debt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3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3,320.7</w:t>
            </w:r>
          </w:p>
        </w:tc>
        <w:tc>
          <w:tcPr>
            <w:tcW w:w="3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3,427.1</w:t>
            </w:r>
          </w:p>
        </w:tc>
      </w:tr>
      <w:tr>
        <w:trPr>
          <w:trHeight w:val="27"/>
        </w:trPr>
        <w:tc>
          <w:tcPr>
            <w:tcW w:w="5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4,403.4</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and nonrecurring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1"/>
                <w:szCs w:val="21"/>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5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10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r>
      <w:tr>
        <w:trPr>
          <w:trHeight w:val="237"/>
        </w:trPr>
        <w:tc>
          <w:tcPr>
            <w:tcW w:w="5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67"/>
        </w:trPr>
        <w:tc>
          <w:tcPr>
            <w:tcW w:w="54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51"/>
        </w:trPr>
        <w:tc>
          <w:tcPr>
            <w:tcW w:w="5480" w:type="dxa"/>
            <w:vAlign w:val="bottom"/>
            <w:shd w:val="clear" w:color="auto" w:fill="CCEEFF"/>
          </w:tcPr>
          <w:p>
            <w:pPr>
              <w:ind w:left="40"/>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Nonrecurring fair value measurements </w:t>
            </w:r>
            <w:r>
              <w:rPr>
                <w:rFonts w:ascii="Times New Roman" w:cs="Times New Roman" w:eastAsia="Times New Roman" w:hAnsi="Times New Roman"/>
                <w:sz w:val="25"/>
                <w:szCs w:val="25"/>
                <w:b w:val="1"/>
                <w:bCs w:val="1"/>
                <w:color w:val="auto"/>
                <w:vertAlign w:val="superscript"/>
              </w:rPr>
              <w:t>(1)</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bl>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Pr>
          <w:p>
            <w:pPr>
              <w:spacing w:after="0"/>
              <w:rPr>
                <w:sz w:val="21"/>
                <w:szCs w:val="21"/>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1"/>
                <w:szCs w:val="21"/>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5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tcPr>
          <w:p>
            <w:pPr>
              <w:spacing w:after="0"/>
              <w:rPr>
                <w:sz w:val="21"/>
                <w:szCs w:val="2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r>
      <w:tr>
        <w:trPr>
          <w:trHeight w:val="237"/>
        </w:trPr>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Nonrecurring fair value measurements </w:t>
      </w:r>
      <w:r>
        <w:rPr>
          <w:rFonts w:ascii="Times New Roman" w:cs="Times New Roman" w:eastAsia="Times New Roman" w:hAnsi="Times New Roman"/>
          <w:sz w:val="25"/>
          <w:szCs w:val="25"/>
          <w:b w:val="1"/>
          <w:bCs w:val="1"/>
          <w:color w:val="auto"/>
          <w:vertAlign w:val="superscript"/>
        </w:rPr>
        <w:t>(1)</w:t>
      </w:r>
    </w:p>
    <w:p>
      <w:pPr>
        <w:spacing w:after="0" w:line="122" w:lineRule="exact"/>
        <w:rPr>
          <w:sz w:val="20"/>
          <w:szCs w:val="20"/>
          <w:color w:val="auto"/>
        </w:rPr>
      </w:pPr>
    </w:p>
    <w:p>
      <w:pPr>
        <w:ind w:left="660" w:right="20" w:hanging="328"/>
        <w:spacing w:after="0" w:line="273" w:lineRule="auto"/>
        <w:tabs>
          <w:tab w:leader="none" w:pos="66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fourth quarter of 2017, we completed our annual intangible assets impairment review. As a result, we recorded a pre-tax non-cash impairment charge of $25.2 million for trade name intangibles in 2017. The impairment charge reduced the total carrying value of the impacted trade name intangibles to $27.0 million. During the fourth quarter of 2016, we completed our annual intangible assets impairment review. As a result, we recorded a pre-tax non-cash impairment charge of $13.3 million for a trade name intangible in 2016. The impairment charge reduced the carrying value of the impacted trade name intangible to zero. The fair value of trade names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w:t>
      </w:r>
    </w:p>
    <w:p>
      <w:pPr>
        <w:spacing w:after="0" w:line="276"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9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0"/>
        </w:trPr>
        <w:tc>
          <w:tcPr>
            <w:tcW w:w="6960" w:type="dxa"/>
            <w:vAlign w:val="bottom"/>
            <w:tcBorders>
              <w:bottom w:val="single" w:sz="8" w:color="auto"/>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5"/>
                <w:szCs w:val="25"/>
                <w:color w:val="auto"/>
                <w:vertAlign w:val="superscript"/>
              </w:rPr>
              <w:t>(2)</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522.0</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586.6</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534.3</w:t>
            </w:r>
          </w:p>
        </w:tc>
        <w:tc>
          <w:tcPr>
            <w:tcW w:w="0" w:type="dxa"/>
            <w:vAlign w:val="bottom"/>
          </w:tcPr>
          <w:p>
            <w:pPr>
              <w:spacing w:after="0"/>
              <w:rPr>
                <w:sz w:val="1"/>
                <w:szCs w:val="1"/>
                <w:color w:val="auto"/>
              </w:rPr>
            </w:pPr>
          </w:p>
        </w:tc>
      </w:tr>
      <w:tr>
        <w:trPr>
          <w:trHeight w:val="269"/>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0"/>
        </w:trPr>
        <w:tc>
          <w:tcPr>
            <w:tcW w:w="6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reflects United Kingdom ("U.K.") income from continuing operations before income taxes.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reflects non-U.K. income from continuing operations before income taxes.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7"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1"/>
                <w:szCs w:val="21"/>
                <w:color w:val="auto"/>
              </w:rPr>
            </w:pPr>
          </w:p>
        </w:tc>
        <w:tc>
          <w:tcPr>
            <w:tcW w:w="11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Currently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25"/>
                <w:szCs w:val="25"/>
                <w:color w:val="auto"/>
                <w:vertAlign w:val="superscript"/>
              </w:rPr>
              <w:t>(1)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60" w:type="dxa"/>
            <w:vAlign w:val="bottom"/>
            <w:tcBorders>
              <w:bottom w:val="single" w:sz="8" w:color="auto"/>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5"/>
                <w:szCs w:val="25"/>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183.8</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125.6</w:t>
            </w: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37"/>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taxes</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184.3</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125.5</w:t>
            </w:r>
          </w:p>
        </w:tc>
        <w:tc>
          <w:tcPr>
            <w:tcW w:w="4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6960" w:type="dxa"/>
            <w:vAlign w:val="bottom"/>
            <w:tcBorders>
              <w:bottom w:val="single" w:sz="8" w:color="auto"/>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5"/>
                <w:szCs w:val="25"/>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0"/>
        </w:trPr>
        <w:tc>
          <w:tcPr>
            <w:tcW w:w="6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 "Federal" represents U.K. taxes.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 "International" represents non-U.K. taxes.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Reconciliations of the federal statutory income tax rate to our effective tax rate were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Percentages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1"/>
                <w:szCs w:val="21"/>
                <w:color w:val="auto"/>
              </w:rPr>
            </w:pPr>
          </w:p>
        </w:tc>
        <w:tc>
          <w:tcPr>
            <w:tcW w:w="11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9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Federal statutory income tax rate </w:t>
            </w:r>
            <w:r>
              <w:rPr>
                <w:rFonts w:ascii="Times New Roman" w:cs="Times New Roman" w:eastAsia="Times New Roman" w:hAnsi="Times New Roman"/>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0"/>
        </w:trPr>
        <w:tc>
          <w:tcPr>
            <w:tcW w:w="69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effect of international operations </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Withholding taxes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limitations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benefits on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effect of U.S. tax reform</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effect of early extinguishment of debt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rate for 2017, 2016 and 2015 reflects the U.K. statutory rate of 19.3%, 20.0% and 20.3%, respectively.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international operations consists of non-U.K. jurisdictions.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Reconciliations of the beginning and ending gross unrecognized tax benefits were as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increases for tax positions in prior periods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decreases for tax positions in prior periods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increases based on tax positions related to the current year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decreases related to settlements with taxing authorities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Reductions due to statute expiration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(decreases) increases due to currency fluctuations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increases due to acquisitions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6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record gross unrecognized tax benefits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non-current liabilities</w:t>
      </w:r>
      <w:r>
        <w:rPr>
          <w:rFonts w:ascii="Times New Roman" w:cs="Times New Roman" w:eastAsia="Times New Roman" w:hAnsi="Times New Roman"/>
          <w:sz w:val="18"/>
          <w:szCs w:val="18"/>
          <w:color w:val="auto"/>
        </w:rPr>
        <w:t xml:space="preserve"> in the Consolidated Balance Sheets. Included in the $36.6 million of total gross unrecognized tax benefits as of December 31, 2017 was $34.9 million of tax benefits that, if recognized, would impact the effective tax rate. It is reasonably possible that the gross unrecognized tax benefits as of December 31, 2017 may decrease by a range of zero to $16.9 million during 2018, primarily as</w:t>
      </w:r>
    </w:p>
    <w:p>
      <w:pPr>
        <w:sectPr>
          <w:pgSz w:w="11900" w:h="16838" w:orient="portrait"/>
          <w:cols w:equalWidth="0" w:num="1">
            <w:col w:w="11400"/>
          </w:cols>
          <w:pgMar w:left="240" w:top="117" w:right="25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17" w:right="2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result of the resolution of non-U.K. examinations, including U.S. federal and state examinations, and the expiration of various statutes of limitations. The $35.7 million gross decrease during 2017 for settlements with taxing authorities consists primarily of a settlement with the Internal Revenue Service ("IRS") related to the value of certain intellectual property sold from the U.S. to a non-U.S. affiliate. The decrease related to settlements with taxing authorities had no impact on our effective tax rate.</w:t>
      </w:r>
    </w:p>
    <w:p>
      <w:pPr>
        <w:spacing w:after="0" w:line="12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our financial statements. During 2017, the IRS completed their examination of the Panthro Acquisition Co. U.S. federal income tax returns for tax years ending December 31, 2012 and December 31, 2013. A number of tax periods from 2003 to present are under audit by tax authorities in various jurisdictions, including Canada, China, Germany, India, the Netherlands and New Zealand. We anticipate that several of these audits may be concluded in the foreseeable future.</w:t>
      </w:r>
    </w:p>
    <w:p>
      <w:pPr>
        <w:spacing w:after="0" w:line="13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We record penalties and interest related to unrecognized tax benefits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respectively, in the Consolidated Statements of Operations and Comprehensive Income (Loss). As of December 31, 2017 and 2016, we have liabilities of $2.3 million and $2.4 million, respectively, for the possible payment of penalties and $9.4 million and $11.0 million, respectively, for the possible payment of interest expense, which are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Consolidated Balance Sheets.</w:t>
      </w:r>
    </w:p>
    <w:p>
      <w:pPr>
        <w:spacing w:after="0" w:line="12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Deferred taxes arise because of different treatment between financial statement accounting and tax accounting, known as "temporary differences." We record the tax effect of these temporary differences as "deferred tax assets" (generally items that can be used as a tax deduction or credit in future periods) and "deferred tax liabilities" (generally items for which we received a tax deduction but the tax impact has not yet been recorded in the Consolidated Statements of Operations and Comprehensive Income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were recorded in the Consolidated Balance Sheets as follows: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0" w:type="dxa"/>
            <w:vAlign w:val="bottom"/>
          </w:tcPr>
          <w:p>
            <w:pPr>
              <w:spacing w:after="0"/>
              <w:rPr>
                <w:sz w:val="1"/>
                <w:szCs w:val="1"/>
                <w:color w:val="auto"/>
              </w:rPr>
            </w:pPr>
          </w:p>
        </w:tc>
      </w:tr>
      <w:tr>
        <w:trPr>
          <w:trHeight w:val="34"/>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7"/>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5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r>
        <w:trPr>
          <w:trHeight w:val="20"/>
        </w:trPr>
        <w:tc>
          <w:tcPr>
            <w:tcW w:w="8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The tax effects of the major items recorded as deferred tax assets and liabilities were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Pr>
          <w:p>
            <w:pPr>
              <w:spacing w:after="0"/>
              <w:rPr>
                <w:sz w:val="21"/>
                <w:szCs w:val="21"/>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0" w:type="dxa"/>
            <w:vAlign w:val="bottom"/>
          </w:tcPr>
          <w:p>
            <w:pPr>
              <w:spacing w:after="0"/>
              <w:rPr>
                <w:sz w:val="1"/>
                <w:szCs w:val="1"/>
                <w:color w:val="auto"/>
              </w:rPr>
            </w:pPr>
          </w:p>
        </w:tc>
      </w:tr>
      <w:tr>
        <w:trPr>
          <w:trHeight w:val="34"/>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loss and credit carryforwards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37"/>
        </w:trPr>
        <w:tc>
          <w:tcPr>
            <w:tcW w:w="8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5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599.7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37"/>
        </w:trPr>
        <w:tc>
          <w:tcPr>
            <w:tcW w:w="8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5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733.7</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5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5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789.4</w:t>
            </w:r>
          </w:p>
        </w:tc>
        <w:tc>
          <w:tcPr>
            <w:tcW w:w="0" w:type="dxa"/>
            <w:vAlign w:val="bottom"/>
          </w:tcPr>
          <w:p>
            <w:pPr>
              <w:spacing w:after="0"/>
              <w:rPr>
                <w:sz w:val="1"/>
                <w:szCs w:val="1"/>
                <w:color w:val="auto"/>
              </w:rPr>
            </w:pPr>
          </w:p>
        </w:tc>
      </w:tr>
      <w:tr>
        <w:trPr>
          <w:trHeight w:val="237"/>
        </w:trPr>
        <w:tc>
          <w:tcPr>
            <w:tcW w:w="8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5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r>
        <w:trPr>
          <w:trHeight w:val="27"/>
        </w:trPr>
        <w:tc>
          <w:tcPr>
            <w:tcW w:w="8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Included in tax loss and credit carryforwards in the table above is a deferred tax asset of $28.7 million as of December 31, 2017 related to foreign tax credit carryover from the tax period ended December 31, 2017 and related to transition taxes. The entire amount is subject to a valuation allowance. The foreign tax credit is eligible for carryforward until the tax period ending December 31, 2027.</w:t>
      </w:r>
    </w:p>
    <w:p>
      <w:pPr>
        <w:sectPr>
          <w:pgSz w:w="11900" w:h="16838" w:orient="portrait"/>
          <w:cols w:equalWidth="0" w:num="1">
            <w:col w:w="11400"/>
          </w:cols>
          <w:pgMar w:left="240" w:top="117" w:right="25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117" w:right="2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2017, tax loss carryforwards of $4,052.9 million were available to offset future income. A valuation allowance of $762.2 million exists for deferred income tax benefits related to the tax loss carryforwards which may not be realized. The increase in tax loss carryforwards and valuation allowance from 2016 to 2017 were primarily related to internal restructuring transactions and interest expense. We believe sufficient taxable income will be generated in the respective jurisdictions to allow us to fully recover the remainder of the tax losses. The tax losses primarily relate to non-U.S. carryforwards of $3,961.0 million which are subject to varying expiration periods. Non-U.S. carryforwards of $2,253.0 million are located in jurisdictions with unlimited tax loss carryforward periods, while the remainder will begin to expire in 2018. In addition, there were $91.9 million of state tax loss carryforwards as of December 31, 2017, which will expire in future years through 2037.</w:t>
      </w:r>
    </w:p>
    <w:p>
      <w:pPr>
        <w:spacing w:after="0" w:line="135"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Given the significance of the Act,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Act. SAB 118 allows registrants to record provisional amounts during a one year “measurement period.”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calculated its best estimate of the impact of the Act in its year end income tax provision in accordance with its understanding of the Act and guidance available as of the date of this filing and as a result has recorded a provisional income tax benefit of $84.8 million in the fourth quarter of 2017, the period in which the legislation was enacted. The provisional amount related to the remeasurement of certain deferred tax assets and liabilities based on the rates at which they are expected to reverse in the future was a decrease to income tax expense of $147.7 million. The remeasurement of deferred taxes requires further analysis regarding the state tax impacts of the remeasurement, the impact of the Act on the taxation of executive compensation arrangements, changes to tax capitalization provisions and other aspects of the Act that may impact our tax balances.</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amount related to the one-time transition tax on the mandatory deemed repatriation of foreign earnings was an increase to income tax expense of $62.9 million. The determination of the transition tax requires additional analysis regarding the amount and composition of the company’s historical foreign earnings and foreign tax credit position, which is expected to be completed in the second half of 2018. No additional 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288"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Benefit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plans</w:t>
      </w:r>
    </w:p>
    <w:p>
      <w:pPr>
        <w:spacing w:after="0" w:line="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sponsor U.S. and non-U.S. defined-benefit pension and other post-retirement plans. Pension benefits are based principally on an employee's years of service and/or compensation levels near retirement. In addition, we provide certain post-retirement health care and life insurance benefits. Generally, the post-retirement health care and life insurance plans require contributions from retirees. In December 2007, we announced that we would freeze certain U.S. pension plans as of December 31, 2017. As such, employees in these U.S. pension plans will no longer earn service credits and the Company will no longer incur service cost related to these plans.</w:t>
      </w:r>
    </w:p>
    <w:p>
      <w:pPr>
        <w:spacing w:after="0" w:line="13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November 2017, our Board of Directors approved amendments to terminate the Pentair Salaried Plan (the "Salaried Plan"), a U.S. qualified pension plan. The Salaried Plan discontinued accruing benefits on December 31, 2017 and the termination was effective December 31, 2017. It is expected to take 18 to 24 months from the date of the approved amendment to complete the termination of the Salaried Plan.</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7"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At December 31, 2017, the projected benefit obligation of the Salaried Plan was $369.0 million and the plan assets were $355.4 million. There were approximately 2,610 active participants in the Salaried Plan, of which 2,048 were either active employees or terminated vested participants who had not yet begun to receive their benefits as of December 31, 2017. The Salaried Plan participants will not be adversely affected by the plan termination. Those participants whose plan benefits are not in pay status by July 1, 2018 will be given the opportunity to elect a lump sum (or monthly annuity) during a special election window. For all participants whose Salaried Plan benefits are not paid in a lump sum, Pentair will purchase an annuity for them with an annuity provider after the special election window and after all required government approvals for the termination of the pension plan are received.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herein relates to defined-benefit pension and other post-retirement plans of our continuing operations only.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Obligations and funded status</w:t>
      </w:r>
    </w:p>
    <w:p>
      <w:pPr>
        <w:spacing w:after="0" w:line="31"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The following tables present reconciliations of plan benefit obligations, fair value of plan assets and the funded status of pension plans and other post-retirement plans as of and for the years ended December 31, 2017 and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U.S. pension plans</w:t>
            </w:r>
          </w:p>
        </w:tc>
        <w:tc>
          <w:tcPr>
            <w:tcW w:w="300" w:type="dxa"/>
            <w:vAlign w:val="bottom"/>
          </w:tcPr>
          <w:p>
            <w:pPr>
              <w:spacing w:after="0"/>
              <w:rPr>
                <w:sz w:val="20"/>
                <w:szCs w:val="20"/>
                <w:color w:val="auto"/>
              </w:rPr>
            </w:pPr>
          </w:p>
        </w:tc>
        <w:tc>
          <w:tcPr>
            <w:tcW w:w="25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Non-U.S. pension plans</w:t>
            </w:r>
          </w:p>
        </w:tc>
        <w:tc>
          <w:tcPr>
            <w:tcW w:w="30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34"/>
        </w:trPr>
        <w:tc>
          <w:tcPr>
            <w:tcW w:w="2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benefit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413.3</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Actuarial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2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463.0</w:t>
            </w:r>
          </w:p>
        </w:tc>
        <w:tc>
          <w:tcPr>
            <w:tcW w:w="3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413.3</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3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3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plan assets beginning of</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344.4</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contributions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374.5</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obligations in excess of the fair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value of plan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recorded in the Consolidated Balance Sheets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U.S. pension plans</w:t>
            </w:r>
          </w:p>
        </w:tc>
        <w:tc>
          <w:tcPr>
            <w:tcW w:w="300" w:type="dxa"/>
            <w:vAlign w:val="bottom"/>
          </w:tcPr>
          <w:p>
            <w:pPr>
              <w:spacing w:after="0"/>
              <w:rPr>
                <w:sz w:val="20"/>
                <w:szCs w:val="20"/>
                <w:color w:val="auto"/>
              </w:rPr>
            </w:pPr>
          </w:p>
        </w:tc>
        <w:tc>
          <w:tcPr>
            <w:tcW w:w="25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Non-U.S. pension plans</w:t>
            </w:r>
          </w:p>
        </w:tc>
        <w:tc>
          <w:tcPr>
            <w:tcW w:w="300" w:type="dxa"/>
            <w:vAlign w:val="bottom"/>
          </w:tcPr>
          <w:p>
            <w:pPr>
              <w:spacing w:after="0"/>
              <w:rPr>
                <w:sz w:val="20"/>
                <w:szCs w:val="20"/>
                <w:color w:val="auto"/>
              </w:rPr>
            </w:pPr>
          </w:p>
        </w:tc>
        <w:tc>
          <w:tcPr>
            <w:tcW w:w="1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34"/>
        </w:trPr>
        <w:tc>
          <w:tcPr>
            <w:tcW w:w="2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8"/>
        </w:trPr>
        <w:tc>
          <w:tcPr>
            <w:tcW w:w="2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Benefit obligations in excess of the fair</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value of plan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for all defined benefit plans was $656.7 million and $585.9 million at December 31, 2017 and 2016,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7"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Information for pension plans with an accumulated benefit obligation or projected benefit obligation in excess of plan assets as of December 31 was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18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 benefit</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obligation</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exceeds the fair value</w:t>
            </w:r>
          </w:p>
        </w:tc>
        <w:tc>
          <w:tcPr>
            <w:tcW w:w="180" w:type="dxa"/>
            <w:vAlign w:val="bottom"/>
          </w:tcPr>
          <w:p>
            <w:pPr>
              <w:spacing w:after="0"/>
              <w:rPr>
                <w:sz w:val="18"/>
                <w:szCs w:val="18"/>
                <w:color w:val="auto"/>
              </w:rPr>
            </w:pPr>
          </w:p>
        </w:tc>
        <w:tc>
          <w:tcPr>
            <w:tcW w:w="27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exceeds the fair value of</w:t>
            </w: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of plan assets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plan assets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Pr>
          <w:p>
            <w:pPr>
              <w:spacing w:after="0"/>
              <w:rPr>
                <w:sz w:val="21"/>
                <w:szCs w:val="21"/>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Pr>
          <w:p>
            <w:pPr>
              <w:spacing w:after="0"/>
              <w:rPr>
                <w:sz w:val="21"/>
                <w:szCs w:val="21"/>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34"/>
        </w:trPr>
        <w:tc>
          <w:tcPr>
            <w:tcW w:w="5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U.S. pension plans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5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Non-U.S. pension plans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5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expense for our pension plans for the years ended December 31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U.S. pension plans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Non-U.S. pension plans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8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8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actuarial (gain) loss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expense for our other post-retirement plans for the years ended December 31 2017, 2016 and 2015, were not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assumptions used to determine benefit obligations as of December 31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post-retirement</w:t>
            </w: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U.S. pension plans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Non-U.S. pension plans</w:t>
            </w:r>
          </w:p>
        </w:tc>
        <w:tc>
          <w:tcPr>
            <w:tcW w:w="108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Percentages</w:t>
            </w: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tcPr>
          <w:p>
            <w:pPr>
              <w:jc w:val="right"/>
              <w:ind w:right="21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2017 </w:t>
            </w:r>
            <w:r>
              <w:rPr>
                <w:rFonts w:ascii="Times New Roman" w:cs="Times New Roman" w:eastAsia="Times New Roman" w:hAnsi="Times New Roman"/>
                <w:sz w:val="25"/>
                <w:szCs w:val="25"/>
                <w:b w:val="1"/>
                <w:bCs w:val="1"/>
                <w:color w:val="auto"/>
                <w:vertAlign w:val="superscript"/>
              </w:rPr>
              <w:t>(1)</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3.39%</w:t>
            </w:r>
          </w:p>
        </w:tc>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2.18%</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3.40%</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right="120" w:hanging="328"/>
        <w:spacing w:after="0" w:line="313" w:lineRule="auto"/>
        <w:tabs>
          <w:tab w:leader="none" w:pos="6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benefit obligation for the Salaried Plan as of December 31, 2017 was determined using assumptions reflecting the termination of the plan. As a result, the weighted-average assumptions for U.S. pension plans as December 31, 2017 reflected in the table above do not include the Salaried Plan.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7"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assumptions used to determine net periodic benefit expense (income) for years ended December 31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post-retirement</w:t>
            </w: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U.S. pension plans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Non-U.S. pension plans</w:t>
            </w:r>
          </w:p>
        </w:tc>
        <w:tc>
          <w:tcPr>
            <w:tcW w:w="108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Percentages</w:t>
            </w: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40" w:type="dxa"/>
            <w:vAlign w:val="bottom"/>
            <w:vMerge w:val="continue"/>
          </w:tcPr>
          <w:p>
            <w:pPr>
              <w:spacing w:after="0"/>
              <w:rPr>
                <w:sz w:val="21"/>
                <w:szCs w:val="21"/>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Pr>
          <w:p>
            <w:pPr>
              <w:spacing w:after="0"/>
              <w:rPr>
                <w:sz w:val="21"/>
                <w:szCs w:val="21"/>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0" w:type="dxa"/>
            <w:vAlign w:val="bottom"/>
          </w:tcPr>
          <w:p>
            <w:pPr>
              <w:spacing w:after="0"/>
              <w:rPr>
                <w:sz w:val="1"/>
                <w:szCs w:val="1"/>
                <w:color w:val="auto"/>
              </w:rPr>
            </w:pPr>
          </w:p>
        </w:tc>
      </w:tr>
      <w:tr>
        <w:trPr>
          <w:trHeight w:val="34"/>
        </w:trPr>
        <w:tc>
          <w:tcPr>
            <w:tcW w:w="2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4.02%</w:t>
            </w:r>
          </w:p>
        </w:tc>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3.80%</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5"/>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long-term return on plan</w:t>
            </w: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4.11%</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3.02%</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2.91%</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Uncertainty in the securities markets and U.S. economy could result in investment returns less than those assumed. Should the securities markets decline or medical and prescription drug costs increase at a rate greater than assumed, we would expect increasing annual combined net pension and other post-retirement costs for the next several years. Should actual experience differ from actuarial assumptions, the projected pension benefit obligation and net pension cost and accumulated other post-retirement benefit obligation and other post-retirement benefit cost would be affected in future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rates</w:t>
      </w:r>
    </w:p>
    <w:p>
      <w:pPr>
        <w:spacing w:after="0" w:line="2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rated AA or higher available in the marketplace, adjusted to eliminate the effects of call provisions. This produced a weighted-average discount rate for our U.S. pension plans of 3.39%, 4.02% and 4.21% in 2017, 2016 and 2015, respectively. The discount rates on our non-U.S. pension plans ranged from 0.50% to 3.50%, 0.50% to</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4.00% and 0.50% to 4.25% in 2017, 2016 and 2015, respectively. There are no known or anticipated changes in our discount rate assumptions that will impact our pension expense in 2018.</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rates of return</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expected rates of return on U.S. pension plan assets were 4.11%, 4.28% and 3.65% for 2017, 2016 and 2015, respectively. The expected rates of return on non-U.S. pension plan assets ranged from 1.00% to 5.50%, 1.00% to 5.50% and 1.00% to 6.00% in 2017, 2016 and 2015, respectively. 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longer-term market indices. U.S. pension plan assets yielded returns of 12.30%, 7.50% and (3.20)% in 2017, 2016 and 2015, respectively. As a result of our de-risking strategy to reduce U.S. pension plan liability, we anticipate the expected rate of return on our U.S. funded pension plans will continue to be consistent with the discount rate utilized. Any difference in the expected rate and actual returns will be included with the actuarial gain or loss recorded in the fourth quarter when our plans are remeasured.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cost trend rates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assumed healthcare cost trend rates for other post-retirement plans as of December 31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84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34"/>
        </w:trPr>
        <w:tc>
          <w:tcPr>
            <w:tcW w:w="9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Healthcare cost trend rate assumed for following year</w:t>
            </w:r>
          </w:p>
        </w:tc>
        <w:tc>
          <w:tcPr>
            <w:tcW w:w="8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9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(the ultimate trend rate)</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9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9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the cost trend rate reaches the ultimate trend rate</w:t>
            </w:r>
          </w:p>
        </w:tc>
        <w:tc>
          <w:tcPr>
            <w:tcW w:w="8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9"/>
              </w:rPr>
              <w:t>2038</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2038</w:t>
            </w:r>
          </w:p>
        </w:tc>
      </w:tr>
      <w:tr>
        <w:trPr>
          <w:trHeight w:val="27"/>
        </w:trPr>
        <w:tc>
          <w:tcPr>
            <w:tcW w:w="9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assumed healthcare cost trend rates can have a significant effect on the amounts reported for healthcare plans. A one-percentage-point change in the assumed healthcare cost trend rates would have the following effects as of and for the year ended December 31, 2017:</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One Percentage Point</w:t>
            </w:r>
          </w:p>
        </w:tc>
        <w:tc>
          <w:tcPr>
            <w:tcW w:w="0" w:type="dxa"/>
            <w:vAlign w:val="bottom"/>
          </w:tcPr>
          <w:p>
            <w:pPr>
              <w:spacing w:after="0"/>
              <w:rPr>
                <w:sz w:val="1"/>
                <w:szCs w:val="1"/>
                <w:color w:val="auto"/>
              </w:rPr>
            </w:pPr>
          </w:p>
        </w:tc>
      </w:tr>
      <w:tr>
        <w:trPr>
          <w:trHeight w:val="34"/>
        </w:trPr>
        <w:tc>
          <w:tcPr>
            <w:tcW w:w="5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vMerge w:val="continue"/>
          </w:tcPr>
          <w:p>
            <w:pPr>
              <w:spacing w:after="0"/>
              <w:rPr>
                <w:sz w:val="21"/>
                <w:szCs w:val="21"/>
                <w:color w:val="auto"/>
              </w:rPr>
            </w:pPr>
          </w:p>
        </w:tc>
        <w:tc>
          <w:tcPr>
            <w:tcW w:w="3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300" w:type="dxa"/>
            <w:vAlign w:val="bottom"/>
          </w:tcPr>
          <w:p>
            <w:pPr>
              <w:spacing w:after="0"/>
              <w:rPr>
                <w:sz w:val="21"/>
                <w:szCs w:val="21"/>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34"/>
        </w:trPr>
        <w:tc>
          <w:tcPr>
            <w:tcW w:w="50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(decrease) in annual service and interest cost</w:t>
            </w:r>
          </w:p>
        </w:tc>
        <w:tc>
          <w:tcPr>
            <w:tcW w:w="3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other post-retirement benefit obligations</w:t>
            </w:r>
          </w:p>
        </w:tc>
        <w:tc>
          <w:tcPr>
            <w:tcW w:w="3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486"/>
        </w:trPr>
        <w:tc>
          <w:tcPr>
            <w:tcW w:w="5080" w:type="dxa"/>
            <w:vAlign w:val="bottom"/>
          </w:tcPr>
          <w:p>
            <w:pPr>
              <w:spacing w:after="0"/>
              <w:rPr>
                <w:sz w:val="24"/>
                <w:szCs w:val="24"/>
                <w:color w:val="auto"/>
              </w:rPr>
            </w:pPr>
          </w:p>
        </w:tc>
        <w:tc>
          <w:tcPr>
            <w:tcW w:w="3380" w:type="dxa"/>
            <w:vAlign w:val="bottom"/>
          </w:tcPr>
          <w:p>
            <w:pPr>
              <w:jc w:val="right"/>
              <w:ind w:right="2570"/>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plans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Objective</w:t>
      </w:r>
    </w:p>
    <w:p>
      <w:pPr>
        <w:spacing w:after="0" w:line="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primary objective of our investment strategy is to meet the pension obligation to our employees at a reasonable cost to us. This is primarily accomplished through growth of capital and safety of the funds invested.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allocation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actual overall asset allocation for our U.S. and non-U.S. pension plans as compared to our investment policy goals as of December 31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16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U.S. pension plans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2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Percentages</w:t>
            </w: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vMerge w:val="continue"/>
          </w:tcPr>
          <w:p>
            <w:pPr>
              <w:spacing w:after="0"/>
              <w:rPr>
                <w:sz w:val="21"/>
                <w:szCs w:val="21"/>
                <w:color w:val="auto"/>
              </w:rPr>
            </w:pPr>
          </w:p>
        </w:tc>
        <w:tc>
          <w:tcPr>
            <w:tcW w:w="196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196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34"/>
        </w:trPr>
        <w:tc>
          <w:tcPr>
            <w:tcW w:w="5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Alternative</w:t>
            </w: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67"/>
        </w:trPr>
        <w:tc>
          <w:tcPr>
            <w:tcW w:w="5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160" w:type="dxa"/>
            <w:vAlign w:val="bottom"/>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Non-U.S. pension plans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2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Percentages</w:t>
            </w: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vMerge w:val="continue"/>
          </w:tcPr>
          <w:p>
            <w:pPr>
              <w:spacing w:after="0"/>
              <w:rPr>
                <w:sz w:val="21"/>
                <w:szCs w:val="21"/>
                <w:color w:val="auto"/>
              </w:rPr>
            </w:pPr>
          </w:p>
        </w:tc>
        <w:tc>
          <w:tcPr>
            <w:tcW w:w="196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1"/>
                <w:szCs w:val="21"/>
                <w:color w:val="auto"/>
              </w:rPr>
            </w:pPr>
          </w:p>
        </w:tc>
        <w:tc>
          <w:tcPr>
            <w:tcW w:w="196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34"/>
        </w:trPr>
        <w:tc>
          <w:tcPr>
            <w:tcW w:w="5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Alternative</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86"/>
        </w:trPr>
        <w:tc>
          <w:tcPr>
            <w:tcW w:w="5200" w:type="dxa"/>
            <w:vAlign w:val="bottom"/>
          </w:tcPr>
          <w:p>
            <w:pPr>
              <w:spacing w:after="0"/>
              <w:rPr>
                <w:sz w:val="24"/>
                <w:szCs w:val="24"/>
                <w:color w:val="auto"/>
              </w:rPr>
            </w:pPr>
          </w:p>
        </w:tc>
        <w:tc>
          <w:tcPr>
            <w:tcW w:w="19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fair values of our pension plan assets and their respective levels in the fair value hierarchy as of December 31, 2017 and December 31, 2016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1"/>
                <w:szCs w:val="21"/>
                <w:color w:val="auto"/>
              </w:rPr>
            </w:pP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and non U.S. government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treasuries</w:t>
            </w:r>
          </w:p>
        </w:tc>
        <w:tc>
          <w:tcPr>
            <w:tcW w:w="2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Small cap equity</w:t>
            </w:r>
          </w:p>
        </w:tc>
        <w:tc>
          <w:tcPr>
            <w:tcW w:w="2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 equity</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2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fair value of plan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12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425.7</w:t>
            </w:r>
          </w:p>
        </w:tc>
        <w:tc>
          <w:tcPr>
            <w:tcW w:w="0" w:type="dxa"/>
            <w:vAlign w:val="bottom"/>
          </w:tcPr>
          <w:p>
            <w:pPr>
              <w:spacing w:after="0"/>
              <w:rPr>
                <w:sz w:val="1"/>
                <w:szCs w:val="1"/>
                <w:color w:val="auto"/>
              </w:rPr>
            </w:pP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1"/>
                <w:szCs w:val="21"/>
                <w:color w:val="auto"/>
              </w:rPr>
            </w:pP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and non U.S. government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treasuries</w:t>
            </w:r>
          </w:p>
        </w:tc>
        <w:tc>
          <w:tcPr>
            <w:tcW w:w="2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Large cap equity</w:t>
            </w:r>
          </w:p>
        </w:tc>
        <w:tc>
          <w:tcPr>
            <w:tcW w:w="2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International equity</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280" w:type="dxa"/>
            <w:vAlign w:val="bottom"/>
          </w:tcPr>
          <w:p>
            <w:pPr>
              <w:spacing w:after="0"/>
              <w:rPr>
                <w:sz w:val="21"/>
                <w:szCs w:val="21"/>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fair value of plan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12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390.1</w:t>
            </w:r>
          </w:p>
        </w:tc>
        <w:tc>
          <w:tcPr>
            <w:tcW w:w="0" w:type="dxa"/>
            <w:vAlign w:val="bottom"/>
          </w:tcPr>
          <w:p>
            <w:pPr>
              <w:spacing w:after="0"/>
              <w:rPr>
                <w:sz w:val="1"/>
                <w:szCs w:val="1"/>
                <w:color w:val="auto"/>
              </w:rPr>
            </w:pP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Valuation methodologies used for investments measured at fair value were as follows:</w:t>
      </w:r>
    </w:p>
    <w:p>
      <w:pPr>
        <w:spacing w:after="0" w:line="181" w:lineRule="exact"/>
        <w:rPr>
          <w:sz w:val="20"/>
          <w:szCs w:val="20"/>
          <w:color w:val="auto"/>
        </w:rPr>
      </w:pPr>
    </w:p>
    <w:p>
      <w:pPr>
        <w:ind w:left="660" w:right="260" w:hanging="328"/>
        <w:spacing w:after="0" w:line="28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Cash consists of cash held in bank accounts and was classified as Level 1. Cash equivalents consist of investments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commingled funds valued based on observable market data. Such investments were classified as Level 2.</w:t>
      </w:r>
    </w:p>
    <w:p>
      <w:pPr>
        <w:spacing w:after="0" w:line="100" w:lineRule="exact"/>
        <w:rPr>
          <w:rFonts w:ascii="Times New Roman" w:cs="Times New Roman" w:eastAsia="Times New Roman" w:hAnsi="Times New Roman"/>
          <w:sz w:val="18"/>
          <w:szCs w:val="18"/>
          <w:color w:val="auto"/>
        </w:rPr>
      </w:pPr>
    </w:p>
    <w:p>
      <w:pPr>
        <w:jc w:val="both"/>
        <w:ind w:left="660" w:right="40" w:hanging="328"/>
        <w:spacing w:after="0" w:line="26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Fixed income: </w:t>
      </w:r>
      <w:r>
        <w:rPr>
          <w:rFonts w:ascii="Times New Roman" w:cs="Times New Roman" w:eastAsia="Times New Roman" w:hAnsi="Times New Roman"/>
          <w:sz w:val="18"/>
          <w:szCs w:val="18"/>
          <w:color w:val="auto"/>
        </w:rPr>
        <w:t>Investments in corporate bonds, government securities, mortgages and asset backed securities were valued based upon quoted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prices for similar securities and other observable market data. Investments in commingled funds were generally valued at the net asset value of units held at the end of the period based upon the value of the underlying investments as determined by quoted market prices or by a pricing service. Such investments were classified as Level 2.</w:t>
      </w:r>
    </w:p>
    <w:p>
      <w:pPr>
        <w:spacing w:after="0" w:line="122" w:lineRule="exact"/>
        <w:rPr>
          <w:rFonts w:ascii="Times New Roman" w:cs="Times New Roman" w:eastAsia="Times New Roman" w:hAnsi="Times New Roman"/>
          <w:sz w:val="18"/>
          <w:szCs w:val="18"/>
          <w:color w:val="auto"/>
        </w:rPr>
      </w:pPr>
    </w:p>
    <w:p>
      <w:pPr>
        <w:ind w:left="660" w:right="240" w:hanging="328"/>
        <w:spacing w:after="0" w:line="317" w:lineRule="auto"/>
        <w:tabs>
          <w:tab w:leader="none" w:pos="6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Global equity securities: </w:t>
      </w:r>
      <w:r>
        <w:rPr>
          <w:rFonts w:ascii="Times New Roman" w:cs="Times New Roman" w:eastAsia="Times New Roman" w:hAnsi="Times New Roman"/>
          <w:sz w:val="17"/>
          <w:szCs w:val="17"/>
          <w:color w:val="auto"/>
        </w:rPr>
        <w:t>Investments in commingled funds were valued at the net asset value of units held at the end of the period based upon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of the underlying investments as determined by quoted market prices or by a pricing service. Such investments were classified as Level 2.</w:t>
      </w:r>
    </w:p>
    <w:p>
      <w:pPr>
        <w:spacing w:after="0" w:line="77" w:lineRule="exact"/>
        <w:rPr>
          <w:rFonts w:ascii="Times New Roman" w:cs="Times New Roman" w:eastAsia="Times New Roman" w:hAnsi="Times New Roman"/>
          <w:sz w:val="17"/>
          <w:szCs w:val="17"/>
          <w:color w:val="auto"/>
        </w:rPr>
      </w:pPr>
    </w:p>
    <w:p>
      <w:pPr>
        <w:ind w:left="660" w:right="20" w:hanging="328"/>
        <w:spacing w:after="0" w:line="26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investments: </w:t>
      </w:r>
      <w:r>
        <w:rPr>
          <w:rFonts w:ascii="Times New Roman" w:cs="Times New Roman" w:eastAsia="Times New Roman" w:hAnsi="Times New Roman"/>
          <w:sz w:val="18"/>
          <w:szCs w:val="18"/>
          <w:color w:val="auto"/>
        </w:rPr>
        <w:t>Other investments include investments in commingled funds with diversified investment strategies. Investments in commingled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funds that were valued at the net asset value of units held at the end of the period based upon the value of the underlying investments as determined by quoted market prices or by a pricing service were classified as Level 2. Investments in commingled funds that were valued based on unobservable inputs due to liquidation restrictions were classified as Level 3.</w:t>
      </w:r>
    </w:p>
    <w:p>
      <w:pPr>
        <w:sectPr>
          <w:pgSz w:w="11900" w:h="16838" w:orient="portrait"/>
          <w:cols w:equalWidth="0" w:num="1">
            <w:col w:w="11420"/>
          </w:cols>
          <w:pgMar w:left="240" w:top="117"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7" w:right="2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for our Level 3 pension plan assets held during the years ended December 31, 2017 and 2016 was not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9" w:lineRule="exact"/>
        <w:rPr>
          <w:sz w:val="20"/>
          <w:szCs w:val="20"/>
          <w:color w:val="auto"/>
        </w:rPr>
      </w:pPr>
    </w:p>
    <w:p>
      <w:pPr>
        <w:ind w:right="1000"/>
        <w:spacing w:after="0" w:line="261" w:lineRule="auto"/>
        <w:rPr>
          <w:sz w:val="20"/>
          <w:szCs w:val="20"/>
          <w:color w:val="auto"/>
        </w:rPr>
      </w:pPr>
      <w:r>
        <w:rPr>
          <w:rFonts w:ascii="Times New Roman" w:cs="Times New Roman" w:eastAsia="Times New Roman" w:hAnsi="Times New Roman"/>
          <w:sz w:val="18"/>
          <w:szCs w:val="18"/>
          <w:color w:val="auto"/>
        </w:rPr>
        <w:t>Pension contributions totaled $12.8 million and $10.0 million in 2017 and 2016, respectively. Our 2018 pension contributions are expected to be approximately $18.0 million to $21.0 million. The 2018 expected contributions will equal or exceed our minimum funding requirements.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future benefit payments</w:t>
      </w:r>
    </w:p>
    <w:p>
      <w:pPr>
        <w:spacing w:after="0" w:line="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benefit payments, which reflect expected future service or payout from termination, as appropriate, are expected to be paid by the plans for the years ended December 31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Other post-</w:t>
            </w:r>
          </w:p>
        </w:tc>
      </w:tr>
      <w:tr>
        <w:trPr>
          <w:trHeight w:val="216"/>
        </w:trPr>
        <w:tc>
          <w:tcPr>
            <w:tcW w:w="39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 pension</w:t>
            </w:r>
          </w:p>
        </w:tc>
        <w:tc>
          <w:tcPr>
            <w:tcW w:w="20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Non-U.S.</w:t>
            </w:r>
          </w:p>
        </w:tc>
        <w:tc>
          <w:tcPr>
            <w:tcW w:w="26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retirement</w:t>
            </w:r>
          </w:p>
        </w:tc>
      </w:tr>
      <w:tr>
        <w:trPr>
          <w:trHeight w:val="238"/>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8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2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26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34"/>
        </w:trPr>
        <w:tc>
          <w:tcPr>
            <w:tcW w:w="39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3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3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Savings plan</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have a 401(k) plan (the "401(k) plan") with an employee share ownership ("ESOP") bonus component, which covers certain union and all non-union U.S. employees who met certain age requirements. Under the 401(k) plan, eligible U.S. employees could voluntarily contribute a percentage of their eligible compensation. We matched contributions made by employees who met certain eligibility and service requirements. During 2017, 2016 and 2015, our matching contribution was 100% of eligible employee contributions for the first 1% of eligible compensation and 50% of the next 5% of eligible compensation.</w:t>
      </w:r>
    </w:p>
    <w:p>
      <w:pPr>
        <w:spacing w:after="0" w:line="1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to the matching contribution, all employees who met certain service requirements received a discretionary ESOP contribution equal to 1.5% of annual eligible compensation.</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January 1, 2018, the 401(k) company match contribution was changed to a dollar-for-dollar (100%) matching contribution on up to 5% of employee eligible earnings, contributed as before-tax contributions. This change will replace the ESOP component discussed above and offers the same 5% total company match.</w:t>
      </w:r>
    </w:p>
    <w:p>
      <w:pPr>
        <w:spacing w:after="0" w:line="122" w:lineRule="exact"/>
        <w:rPr>
          <w:sz w:val="20"/>
          <w:szCs w:val="20"/>
          <w:color w:val="auto"/>
        </w:rPr>
      </w:pPr>
    </w:p>
    <w:p>
      <w:pPr>
        <w:ind w:right="840"/>
        <w:spacing w:after="0" w:line="355" w:lineRule="auto"/>
        <w:rPr>
          <w:sz w:val="20"/>
          <w:szCs w:val="20"/>
          <w:color w:val="auto"/>
        </w:rPr>
      </w:pPr>
      <w:r>
        <w:rPr>
          <w:rFonts w:ascii="Times New Roman" w:cs="Times New Roman" w:eastAsia="Times New Roman" w:hAnsi="Times New Roman"/>
          <w:sz w:val="18"/>
          <w:szCs w:val="18"/>
          <w:color w:val="auto"/>
        </w:rPr>
        <w:t xml:space="preserve">Our combined expense for the 401(k) plan and the ESOP was $27.9 million, $27.1 million and $26.5 million in 2017, 2016 and 2015, respectively. </w:t>
      </w:r>
      <w:r>
        <w:rPr>
          <w:rFonts w:ascii="Times New Roman" w:cs="Times New Roman" w:eastAsia="Times New Roman" w:hAnsi="Times New Roman"/>
          <w:sz w:val="18"/>
          <w:szCs w:val="18"/>
          <w:b w:val="1"/>
          <w:bCs w:val="1"/>
          <w:i w:val="1"/>
          <w:iCs w:val="1"/>
          <w:color w:val="auto"/>
        </w:rPr>
        <w:t>Other retirement compensation</w:t>
      </w: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 xml:space="preserve">Total other accrued retirement compensation, primarily related to deferred compensation and supplemental retirement plans, was $62.9 million and $61.0 million as of December 31, 2017 and 2016, respectively, and is included in </w:t>
      </w:r>
      <w:r>
        <w:rPr>
          <w:rFonts w:ascii="Times New Roman" w:cs="Times New Roman" w:eastAsia="Times New Roman" w:hAnsi="Times New Roman"/>
          <w:sz w:val="18"/>
          <w:szCs w:val="18"/>
          <w:i w:val="1"/>
          <w:iCs w:val="1"/>
          <w:color w:val="auto"/>
        </w:rPr>
        <w:t>Pension and other post-retirement compensation and benefits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Other non-current liabilities </w:t>
      </w:r>
      <w:r>
        <w:rPr>
          <w:rFonts w:ascii="Times New Roman" w:cs="Times New Roman" w:eastAsia="Times New Roman" w:hAnsi="Times New Roman"/>
          <w:sz w:val="18"/>
          <w:szCs w:val="18"/>
          <w:color w:val="auto"/>
        </w:rPr>
        <w:t>in the Consolidated Balance Sheets.</w:t>
      </w:r>
    </w:p>
    <w:p>
      <w:pPr>
        <w:spacing w:after="0" w:line="290" w:lineRule="exact"/>
        <w:rPr>
          <w:sz w:val="20"/>
          <w:szCs w:val="20"/>
          <w:color w:val="auto"/>
        </w:rPr>
      </w:pPr>
    </w:p>
    <w:p>
      <w:pPr>
        <w:ind w:right="9140" w:firstLine="8"/>
        <w:spacing w:after="0" w:line="263" w:lineRule="auto"/>
        <w:tabs>
          <w:tab w:leader="none" w:pos="64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b w:val="1"/>
          <w:bCs w:val="1"/>
          <w:i w:val="1"/>
          <w:iCs w:val="1"/>
          <w:color w:val="auto"/>
        </w:rPr>
        <w:t>Authorized shares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authorized share capital consists of 426.0 million ordinary shares with a par value of $0.01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held in treasury</w:t>
      </w:r>
    </w:p>
    <w:p>
      <w:pPr>
        <w:spacing w:after="0" w:line="3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August 2015, we canceled all of our ordinary shares held in treasury. At the time of the cancellation, we held $19.1 million ordinary shares in treasury at a cost of $1.2 billion.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3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December 2014, the Board of Directors authorized the repurchase of our ordinary shares up to a maximum dollar limit of $1.0 billion. The authorization expires on December 31, 2019.</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2015, we repurchased 3.1 million of our ordinary shares for $200 million under the 2014 authorization.</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7" w:right="2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2017, we repurchased 3.0 million of our ordinary shares for $200.0 million under the 2014 authorization. We have $600.0 million remaining availability for repurchases under the 2014 authorization.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 xml:space="preserve">On December 5, 2017, the Board of Directors declared a quarterly cash dividend of $0.35 that was paid on February 9, 2018 to shareholders of record at the close of business on January 26, 2018. Additionally, the Board of Directors approved a plan to increase the 2018 annual cash dividend to $1.40, which is intended to be paid in four quarterly installments.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Consolidated Balance Sheets was $63.1 million at December 31, 2017. Dividends paid per ordinary share were $1.38, $1.34 and $1.28 for the years ended December 31, 2017, 2016 and 2015, respectively.</w:t>
      </w:r>
    </w:p>
    <w:p>
      <w:pPr>
        <w:spacing w:after="0" w:line="291"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for 2017, 2016 and 2015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8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 share units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incentive plans</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In 2012, our Board of Directors, and Tyco International Ltd. ("Tyco") as our sole shareholder at the time, approved the Pentair plc 2012 Stock and Incentive Plan (the "2012 Plan"). The 2012 Plan became effective on September 28, 2012 and authorizes the issuance of 9.0 million of our ordinary shares. The shares may be issued as new shares or from shares held in treasury. Prior to the cancellation of our shares held in treasury in August 2015, our practice was to settle equity-based awards from shares held in treasury. Subsequent to the cancellation, our practice is to settle equity-based awards by issuing new shares. The 2012 Plan terminates in September 2022. The 2012 Plan allows for the granting to our officers, directors, employees and consultants of non-qualified stock options, incentive stock options, stock appreciation rights, performance shares, performance units, restricted shares, restricted stock units, deferred stock rights, annual incentive awards, dividend equivalent units and other equity-based awards.</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2012 Plan is administered by our compensation committee (the "Committee"), which is made up of independent members of our Board of Directors. Employees eligible to receive awards under the 2012 Plan are managerial, administrative or other key employees who are in a position to make a material contribution to the continued profitable growth and long-term success of our company. The Committee has the authority to select the recipients of awards, determine the type and size of awards, establish certain terms and conditions of award grants and take certain other actions as permitted under the 2012 Plan. The 2012 Plan prohibits the Committee from re-pricing awards or canceling and reissuing awards at lower prices.</w:t>
      </w:r>
    </w:p>
    <w:p>
      <w:pPr>
        <w:spacing w:after="0" w:line="130"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2008 Omnibus Stock Incentive Plan as Amended and Restated (the "2008 Plan") terminated in 2012. Prior grants of restricted stock units and stock options made under the 2008 Plan and earlier stock incentive plans outstanding at the time of termination were converted into equity-based awards with respect to our ordinary shares and were assumed by us on the terms in effect at the time of grant and are outstanding under the 2012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and incentive stock options</w:t>
      </w:r>
    </w:p>
    <w:p>
      <w:pPr>
        <w:spacing w:after="0" w:line="2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Under the 2012 Plan, we may grant stock options to any eligible employee with an exercise price equal to the market value of the shares on the dates the options were granted. Options generally vest one-third each year over a three-year period commencing on the grant date and expire 10 years after the grant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shares and restricted stock units</w:t>
      </w:r>
    </w:p>
    <w:p>
      <w:pPr>
        <w:spacing w:after="0" w:line="29" w:lineRule="exact"/>
        <w:rPr>
          <w:sz w:val="20"/>
          <w:szCs w:val="20"/>
          <w:color w:val="auto"/>
        </w:rPr>
      </w:pPr>
    </w:p>
    <w:p>
      <w:pPr>
        <w:jc w:val="both"/>
        <w:ind w:right="340"/>
        <w:spacing w:after="0" w:line="255" w:lineRule="auto"/>
        <w:rPr>
          <w:sz w:val="20"/>
          <w:szCs w:val="20"/>
          <w:color w:val="auto"/>
        </w:rPr>
      </w:pPr>
      <w:r>
        <w:rPr>
          <w:rFonts w:ascii="Times New Roman" w:cs="Times New Roman" w:eastAsia="Times New Roman" w:hAnsi="Times New Roman"/>
          <w:sz w:val="18"/>
          <w:szCs w:val="18"/>
          <w:color w:val="auto"/>
        </w:rPr>
        <w:t>Under the 2012 Plan, eligible employees may be awarded restricted shares or restricted stock units of our common stock. Restricted shares and restricted stock units generally vest one-third each year over a three-year period commencing on the grant date, subject to continuous employment and certain other conditions. Restricted shares and restricted stock units are valued at market value on the date of grant and are expensed over the vesting period.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17"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 performance shares and performance units</w:t>
      </w:r>
    </w:p>
    <w:p>
      <w:pPr>
        <w:spacing w:after="0" w:line="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the 2012 Plan, the Committee is permitted to issue these awards which are generally earned over a three-year vesting period and tied to specific financial metrics. In December 2015, the Committee approved the granting of performance share units to certain employees that vest based on the satisfaction of a three-year service period and the achievement of certain performance metrics over that same period. Upon vesting, PSU holders receive dividends that accumulate during the vesting period. The fair value of these PSUs is determined based on the closing market price of the Company's ordinary shares at the date of grant. Compensation expense is recognized over the period an employee is required to provide service based on the estimated vesting of the PSUs granted. The estimated vesting of the PSUs is based on the probability of achieving certain financial performance metrics during the three year vesting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all plans for the year ended December 31,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860" w:type="dxa"/>
            <w:vAlign w:val="bottom"/>
          </w:tcPr>
          <w:p>
            <w:pPr>
              <w:spacing w:after="0"/>
              <w:rPr>
                <w:sz w:val="18"/>
                <w:szCs w:val="18"/>
                <w:color w:val="auto"/>
              </w:rPr>
            </w:pPr>
          </w:p>
        </w:tc>
        <w:tc>
          <w:tcPr>
            <w:tcW w:w="2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Shares and intrinsic value in millions</w:t>
            </w:r>
          </w:p>
        </w:tc>
        <w:tc>
          <w:tcPr>
            <w:tcW w:w="2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34"/>
        </w:trPr>
        <w:tc>
          <w:tcPr>
            <w:tcW w:w="48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January 1, 2017</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45.72</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59.09</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37.00</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60.03</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37"/>
        </w:trPr>
        <w:tc>
          <w:tcPr>
            <w:tcW w:w="4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Outstanding as of December 31, 2017</w:t>
            </w:r>
          </w:p>
        </w:tc>
        <w:tc>
          <w:tcPr>
            <w:tcW w:w="2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49.49</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113.7</w:t>
            </w:r>
          </w:p>
        </w:tc>
      </w:tr>
      <w:tr>
        <w:trPr>
          <w:trHeight w:val="67"/>
        </w:trPr>
        <w:tc>
          <w:tcPr>
            <w:tcW w:w="486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exercisable as of December 31, 2017</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46.00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w:t>
            </w:r>
          </w:p>
        </w:tc>
      </w:tr>
      <w:tr>
        <w:trPr>
          <w:trHeight w:val="24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expected to vest as of December 31, 2017</w:t>
            </w: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56.13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options granted</w:t>
      </w:r>
    </w:p>
    <w:p>
      <w:pPr>
        <w:spacing w:after="0" w:line="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under Pentair plans in 2017, 2016 and 2015 was estimated to be $12.59, $9.74 and $16.40 per share, respectively. The total intrinsic value of options that were exercised during 2017, 2016 and 2015 was $34.3 million, $27.1 million and $20.8 million, respectively. At December 31, 2017, the total unrecognized compensation cost related to stock options was $9.8 million. This cost is expected to be recognized over a weighted average period of 2.0 years.</w:t>
      </w:r>
    </w:p>
    <w:p>
      <w:pPr>
        <w:spacing w:after="0" w:line="13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estimated the fair value of each stock option award on the date of grant using a Black-Scholes option pricing model, modified for dividends and using the following weighted average assumptions:</w:t>
      </w:r>
    </w:p>
    <w:p>
      <w:pPr>
        <w:spacing w:after="0" w:line="104"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36830</wp:posOffset>
            </wp:positionV>
            <wp:extent cx="3070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70225"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gridSpan w:val="2"/>
          </w:tcPr>
          <w:p>
            <w:pPr>
              <w:ind w:left="718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88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34"/>
        </w:trPr>
        <w:tc>
          <w:tcPr>
            <w:tcW w:w="6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1.65%</w:t>
            </w: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7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2.35%</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2.49%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164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26.9%</w:t>
            </w: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27.3%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43"/>
        </w:trPr>
        <w:tc>
          <w:tcPr>
            <w:tcW w:w="7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16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6.3</w:t>
            </w: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5.9</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bl>
    <w:p>
      <w:pPr>
        <w:spacing w:after="0" w:line="17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w:t>
      </w:r>
    </w:p>
    <w:p>
      <w:pPr>
        <w:spacing w:after="0" w:line="12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based the expected life assumption on historical experience as well as the terms and vesting periods of the options granted. For purposes of determining expected volatility, we considered a rolling average of historical volatility measured over a period approximately equal to the expected option term. The risk-free rate for periods that coincide with the expected life of the options is based on the U.S. Treasury Department yield curve in effect at the time of grant.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received from option exercises for the years ended December 31, 2017, 2016 and 2015 was $46.0 million, $31.6 million and $28.7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tax benefit realized for the tax deductions from option exercises totaled $7.8 million, $5.5 million and $4.8 million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2017, 2016 and 2015, respectively.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7"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all plans for the year ended December 31,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8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840" w:type="dxa"/>
            <w:vAlign w:val="bottom"/>
          </w:tcPr>
          <w:p>
            <w:pPr>
              <w:spacing w:after="0"/>
              <w:rPr>
                <w:sz w:val="18"/>
                <w:szCs w:val="18"/>
                <w:color w:val="auto"/>
              </w:rPr>
            </w:pPr>
          </w:p>
        </w:tc>
        <w:tc>
          <w:tcPr>
            <w:tcW w:w="4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4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34"/>
        </w:trPr>
        <w:tc>
          <w:tcPr>
            <w:tcW w:w="58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January 1, 2017</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55.31</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61.27</w:t>
            </w:r>
          </w:p>
        </w:tc>
      </w:tr>
      <w:tr>
        <w:trPr>
          <w:trHeight w:val="27"/>
        </w:trPr>
        <w:tc>
          <w:tcPr>
            <w:tcW w:w="58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4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56.73</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54.35</w:t>
            </w:r>
          </w:p>
        </w:tc>
      </w:tr>
      <w:tr>
        <w:trPr>
          <w:trHeight w:val="27"/>
        </w:trPr>
        <w:tc>
          <w:tcPr>
            <w:tcW w:w="58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December 31, 2017</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57.96</w:t>
            </w:r>
          </w:p>
        </w:tc>
      </w:tr>
      <w:tr>
        <w:trPr>
          <w:trHeight w:val="20"/>
        </w:trPr>
        <w:tc>
          <w:tcPr>
            <w:tcW w:w="5840" w:type="dxa"/>
            <w:vAlign w:val="bottom"/>
            <w:tcBorders>
              <w:top w:val="single" w:sz="8" w:color="auto"/>
              <w:bottom w:val="single" w:sz="8" w:color="auto"/>
            </w:tcBorders>
          </w:tcPr>
          <w:p>
            <w:pPr>
              <w:spacing w:after="0" w:line="20" w:lineRule="exact"/>
              <w:rPr>
                <w:sz w:val="1"/>
                <w:szCs w:val="1"/>
                <w:color w:val="auto"/>
              </w:rPr>
            </w:pPr>
          </w:p>
        </w:tc>
        <w:tc>
          <w:tcPr>
            <w:tcW w:w="4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of December 31, 2017, there was $39.6 million of unrecognized compensation cost related to restricted share compensation arrangements granted under the 2012 Plan and previous plans. That cost is expected to be recognized over a weighted-average period of 2.8 years. The total fair value of shares vested during the years ended December 31, 2017, 2016 and 2015, was $21.7 million, $27.2 million and $26.0 million, respectively. For the years ended December 31, 2017 and 2016, there was no actual tax benefit realized. The actual tax benefit realized for the years ended December 31, 2015 was $2.4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performance share unit activity under all plans for the year ended December 31,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8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840" w:type="dxa"/>
            <w:vAlign w:val="bottom"/>
          </w:tcPr>
          <w:p>
            <w:pPr>
              <w:spacing w:after="0"/>
              <w:rPr>
                <w:sz w:val="18"/>
                <w:szCs w:val="18"/>
                <w:color w:val="auto"/>
              </w:rPr>
            </w:pPr>
          </w:p>
        </w:tc>
        <w:tc>
          <w:tcPr>
            <w:tcW w:w="40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4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34"/>
        </w:trPr>
        <w:tc>
          <w:tcPr>
            <w:tcW w:w="5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January 1, 2017</w:t>
            </w:r>
          </w:p>
        </w:tc>
        <w:tc>
          <w:tcPr>
            <w:tcW w:w="4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49.54</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58.40</w:t>
            </w:r>
          </w:p>
        </w:tc>
      </w:tr>
      <w:tr>
        <w:trPr>
          <w:trHeight w:val="27"/>
        </w:trPr>
        <w:tc>
          <w:tcPr>
            <w:tcW w:w="58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4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December 31, 2017</w:t>
            </w:r>
          </w:p>
        </w:tc>
        <w:tc>
          <w:tcPr>
            <w:tcW w:w="4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53.56</w:t>
            </w:r>
          </w:p>
        </w:tc>
      </w:tr>
      <w:tr>
        <w:trPr>
          <w:trHeight w:val="20"/>
        </w:trPr>
        <w:tc>
          <w:tcPr>
            <w:tcW w:w="5840" w:type="dxa"/>
            <w:vAlign w:val="bottom"/>
            <w:tcBorders>
              <w:top w:val="single" w:sz="8" w:color="auto"/>
              <w:bottom w:val="single" w:sz="8" w:color="auto"/>
            </w:tcBorders>
          </w:tcPr>
          <w:p>
            <w:pPr>
              <w:spacing w:after="0" w:line="20" w:lineRule="exact"/>
              <w:rPr>
                <w:sz w:val="1"/>
                <w:szCs w:val="1"/>
                <w:color w:val="auto"/>
              </w:rPr>
            </w:pPr>
          </w:p>
        </w:tc>
        <w:tc>
          <w:tcPr>
            <w:tcW w:w="4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expense recognized each period is dependent upon our estimate of the number of shares that will ultimately be issued. As of December 31, 2017, there was $10.5 million of unrecognized compensation cost related to performance share compensation arrangements granted under the 2012 Plan and previous plans. That cost is expected to be recognized over a weighted-average period of 1.6 years. There were no actual tax benefits realized related to performance share compensation arrangements for the year ended December 31, 2017.</w:t>
      </w:r>
    </w:p>
    <w:p>
      <w:pPr>
        <w:spacing w:after="0" w:line="284"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our operations into the following business segments based primarily on types of products offered and markets served:</w:t>
      </w:r>
    </w:p>
    <w:p>
      <w:pPr>
        <w:spacing w:after="0" w:line="149" w:lineRule="exact"/>
        <w:rPr>
          <w:sz w:val="20"/>
          <w:szCs w:val="20"/>
          <w:color w:val="auto"/>
        </w:rPr>
      </w:pPr>
    </w:p>
    <w:p>
      <w:pPr>
        <w:ind w:left="660" w:right="300" w:hanging="328"/>
        <w:spacing w:after="0" w:line="26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Water </w:t>
      </w:r>
      <w:r>
        <w:rPr>
          <w:rFonts w:ascii="Times New Roman" w:cs="Times New Roman" w:eastAsia="Times New Roman" w:hAnsi="Times New Roman"/>
          <w:sz w:val="18"/>
          <w:szCs w:val="18"/>
          <w:color w:val="auto"/>
        </w:rPr>
        <w:t>— The Water segment designs, manufactures, markets and services innovative water solutions for the filtration, separation, flow and water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challenges in agriculture, foodservice, food and beverage processing, swimming pools, water supply and disposal and a variety of industrial applications.</w:t>
      </w:r>
    </w:p>
    <w:p>
      <w:pPr>
        <w:spacing w:after="0" w:line="116"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Electrical </w:t>
      </w:r>
      <w:r>
        <w:rPr>
          <w:rFonts w:ascii="Times New Roman" w:cs="Times New Roman" w:eastAsia="Times New Roman" w:hAnsi="Times New Roman"/>
          <w:sz w:val="18"/>
          <w:szCs w:val="18"/>
          <w:color w:val="auto"/>
        </w:rPr>
        <w:t>— The Electrical segment designs, manufactures, markets, installs and services high performance products and solutions that connect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protect some of the world's most sensitive equipment, buildings, and critical processes.</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 Other is primarily composed of unallocated corporate expenses, our captive insurance subsidiary and intermediate finance companies.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accounting policies of our reporting segments are the same as those described in the summary of significant accounting policies. We evaluate performance based on the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w:t>
      </w:r>
    </w:p>
    <w:p>
      <w:pPr>
        <w:sectPr>
          <w:pgSz w:w="11900" w:h="16838" w:orient="portrait"/>
          <w:cols w:equalWidth="0" w:num="1">
            <w:col w:w="11420"/>
          </w:cols>
          <w:pgMar w:left="240" w:top="117"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17" w:right="2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acquisition related expenses, costs of restructuring activities, "mark-to-market" gain/loss for pension and other post-retirement plans, impairments and other unusual non-operating items.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segment is included in the following summary: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60" w:type="dxa"/>
            <w:vAlign w:val="bottom"/>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Segment income (loss)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Water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2,777.7</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494.0</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469.0</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Electrical</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2,097.9</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2,116.0</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447.2</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37"/>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4,936.5</w:t>
            </w: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4,890.0</w:t>
            </w:r>
          </w:p>
        </w:tc>
        <w:tc>
          <w:tcPr>
            <w:tcW w:w="3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4,616.4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839.5</w:t>
            </w:r>
          </w:p>
        </w:tc>
        <w:tc>
          <w:tcPr>
            <w:tcW w:w="3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755.2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32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4"/>
                <w:szCs w:val="24"/>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360" w:type="dxa"/>
            <w:vAlign w:val="bottom"/>
          </w:tcPr>
          <w:p>
            <w:pPr>
              <w:spacing w:after="0"/>
              <w:rPr>
                <w:sz w:val="24"/>
                <w:szCs w:val="24"/>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10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right="90"/>
              <w:spacing w:after="0" w:line="270" w:lineRule="exact"/>
              <w:rPr>
                <w:sz w:val="20"/>
                <w:szCs w:val="20"/>
                <w:color w:val="auto"/>
              </w:rPr>
            </w:pPr>
            <w:r>
              <w:rPr>
                <w:rFonts w:ascii="Times New Roman" w:cs="Times New Roman" w:eastAsia="Times New Roman" w:hAnsi="Times New Roman"/>
                <w:sz w:val="18"/>
                <w:szCs w:val="18"/>
                <w:b w:val="1"/>
                <w:bCs w:val="1"/>
                <w:color w:val="auto"/>
                <w:w w:val="96"/>
              </w:rPr>
              <w:t xml:space="preserve">Identifiable assets </w:t>
            </w:r>
            <w:r>
              <w:rPr>
                <w:rFonts w:ascii="Times New Roman" w:cs="Times New Roman" w:eastAsia="Times New Roman" w:hAnsi="Times New Roman"/>
                <w:sz w:val="25"/>
                <w:szCs w:val="25"/>
                <w:b w:val="1"/>
                <w:bCs w:val="1"/>
                <w:color w:val="auto"/>
                <w:w w:val="96"/>
                <w:vertAlign w:val="superscript"/>
              </w:rPr>
              <w:t>(1)</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Depreciation</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Water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3,465.5</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Electrical</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4,634.1</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4,419.3</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3,650.0</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7"/>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8,633.7</w:t>
            </w: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11,534.8</w:t>
            </w:r>
          </w:p>
        </w:tc>
        <w:tc>
          <w:tcPr>
            <w:tcW w:w="3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11,833.5</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c>
          <w:tcPr>
            <w:tcW w:w="3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4"/>
                <w:szCs w:val="24"/>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360" w:type="dxa"/>
            <w:vAlign w:val="bottom"/>
          </w:tcPr>
          <w:p>
            <w:pPr>
              <w:spacing w:after="0"/>
              <w:rPr>
                <w:sz w:val="24"/>
                <w:szCs w:val="24"/>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Capital expenditures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Water</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Electrical</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117.8</w:t>
            </w:r>
          </w:p>
        </w:tc>
        <w:tc>
          <w:tcPr>
            <w:tcW w:w="3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700" w:hanging="368"/>
        <w:spacing w:after="0"/>
        <w:tabs>
          <w:tab w:leader="none" w:pos="7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All cash and cash equivalents and assets held for sale are included in "Other."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consolidated segment income to consolidated </w:t>
      </w:r>
      <w:r>
        <w:rPr>
          <w:rFonts w:ascii="Times New Roman" w:cs="Times New Roman" w:eastAsia="Times New Roman" w:hAnsi="Times New Roman"/>
          <w:sz w:val="14"/>
          <w:szCs w:val="14"/>
          <w:color w:val="auto"/>
        </w:rPr>
        <w:t>i</w:t>
      </w:r>
      <w:r>
        <w:rPr>
          <w:rFonts w:ascii="Times New Roman" w:cs="Times New Roman" w:eastAsia="Times New Roman" w:hAnsi="Times New Roman"/>
          <w:sz w:val="18"/>
          <w:szCs w:val="18"/>
          <w:color w:val="auto"/>
        </w:rPr>
        <w:t>ncome from continuing operations before income taxes: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5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34"/>
        </w:trPr>
        <w:tc>
          <w:tcPr>
            <w:tcW w:w="50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income</w:t>
            </w: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839.5</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755.2</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Deal related costs and expenses</w:t>
            </w:r>
          </w:p>
        </w:tc>
        <w:tc>
          <w:tcPr>
            <w:tcW w:w="25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50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step-up</w:t>
            </w:r>
          </w:p>
        </w:tc>
        <w:tc>
          <w:tcPr>
            <w:tcW w:w="2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and other</w:t>
            </w:r>
          </w:p>
        </w:tc>
        <w:tc>
          <w:tcPr>
            <w:tcW w:w="2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7"/>
        </w:trPr>
        <w:tc>
          <w:tcPr>
            <w:tcW w:w="50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Separation costs</w:t>
            </w:r>
          </w:p>
        </w:tc>
        <w:tc>
          <w:tcPr>
            <w:tcW w:w="2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amortization</w:t>
            </w:r>
          </w:p>
        </w:tc>
        <w:tc>
          <w:tcPr>
            <w:tcW w:w="2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50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other post-retirement mark-to-market (loss) gain</w:t>
            </w:r>
          </w:p>
        </w:tc>
        <w:tc>
          <w:tcPr>
            <w:tcW w:w="2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 and other impairment</w:t>
            </w:r>
          </w:p>
        </w:tc>
        <w:tc>
          <w:tcPr>
            <w:tcW w:w="2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2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37"/>
        </w:trPr>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5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489.2</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561.0</w:t>
            </w:r>
          </w:p>
        </w:tc>
        <w:tc>
          <w:tcPr>
            <w:tcW w:w="3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512.5</w:t>
            </w:r>
          </w:p>
        </w:tc>
      </w:tr>
      <w:tr>
        <w:trPr>
          <w:trHeight w:val="27"/>
        </w:trPr>
        <w:tc>
          <w:tcPr>
            <w:tcW w:w="50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0"/>
        </w:trPr>
        <w:tc>
          <w:tcPr>
            <w:tcW w:w="5040" w:type="dxa"/>
            <w:vAlign w:val="bottom"/>
          </w:tcPr>
          <w:p>
            <w:pPr>
              <w:spacing w:after="0"/>
              <w:rPr>
                <w:sz w:val="24"/>
                <w:szCs w:val="24"/>
                <w:color w:val="auto"/>
              </w:rPr>
            </w:pPr>
          </w:p>
        </w:tc>
        <w:tc>
          <w:tcPr>
            <w:tcW w:w="258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74</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certain geographic information by region: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2,973.7</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Western Europe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138.6</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Developing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auto"/>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Developed </w:t>
            </w:r>
            <w:r>
              <w:rPr>
                <w:rFonts w:ascii="Times New Roman" w:cs="Times New Roman" w:eastAsia="Times New Roman" w:hAnsi="Times New Roman"/>
                <w:sz w:val="25"/>
                <w:szCs w:val="25"/>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4,936.5</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4,890.0</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539.8</w:t>
            </w:r>
          </w:p>
        </w:tc>
        <w:tc>
          <w:tcPr>
            <w:tcW w:w="0" w:type="dxa"/>
            <w:vAlign w:val="bottom"/>
          </w:tcPr>
          <w:p>
            <w:pPr>
              <w:spacing w:after="0"/>
              <w:rPr>
                <w:sz w:val="1"/>
                <w:szCs w:val="1"/>
                <w:color w:val="auto"/>
              </w:rPr>
            </w:pP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240" w:hanging="205"/>
        <w:spacing w:after="0"/>
        <w:tabs>
          <w:tab w:leader="none" w:pos="2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Developing includes China, Eastern Europe, Latin America, the Middle East and Southeast Asia.</w:t>
      </w:r>
    </w:p>
    <w:p>
      <w:pPr>
        <w:spacing w:after="0" w:line="41" w:lineRule="exact"/>
        <w:rPr>
          <w:rFonts w:ascii="Times New Roman" w:cs="Times New Roman" w:eastAsia="Times New Roman" w:hAnsi="Times New Roman"/>
          <w:sz w:val="14"/>
          <w:szCs w:val="14"/>
          <w:color w:val="auto"/>
        </w:rPr>
      </w:pPr>
    </w:p>
    <w:p>
      <w:pPr>
        <w:ind w:left="240" w:hanging="205"/>
        <w:spacing w:after="0"/>
        <w:tabs>
          <w:tab w:leader="none" w:pos="2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Other Developed includes Australia, Canada and Japan.</w:t>
      </w:r>
    </w:p>
    <w:p>
      <w:pPr>
        <w:spacing w:after="0" w:line="1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sales are based on the geographic destination of the sale. Long-lived assets represent property, plant and equipment, net of related depreciation. Net sales shipped to and long-lived assets held in Ireland for each year presented above were not material.</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offer a broad array of products and systems to multiple markets and customers for which we do not have the information systems to track revenues by primary product category. However, our net sales by segment are representative of our sales by major product category. We sell our products through various distribution channels including wholesale and retail distributors, original equipment manufacturers and home centers. No customer accounted for more than 10% of net sales in 2017, 2016, or 2015.</w:t>
      </w:r>
    </w:p>
    <w:p>
      <w:pPr>
        <w:spacing w:after="0" w:line="284" w:lineRule="exact"/>
        <w:rPr>
          <w:sz w:val="20"/>
          <w:szCs w:val="20"/>
          <w:color w:val="auto"/>
        </w:rPr>
      </w:pPr>
    </w:p>
    <w:p>
      <w:pPr>
        <w:ind w:right="7880" w:firstLine="8"/>
        <w:spacing w:after="0" w:line="263" w:lineRule="auto"/>
        <w:tabs>
          <w:tab w:leader="none" w:pos="972"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Operating lease commitments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rental expense under operating leases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34"/>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rental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Sublease rental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rental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commitments under non-cancelable operating leases, principally related to facilities, machinery, equipment and vehicles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2017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3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Minimum lease payments</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w:t>
            </w: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Minimum sublease rentals</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3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future minimum lease commitments</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0"/>
        </w:trPr>
        <w:tc>
          <w:tcPr>
            <w:tcW w:w="3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the matters described above, from time to time, we are subject to disputes, administrative proceedings and other claims arising out of the normal conduct of our business. These matters generally relate to disputes arising out of the use or installation of our products, product liability litigation, personal injury claims, commercial and contract disputes and employment related matters. On the basis of information currently available to it, management does not believe that existing proceedings and claims will have a material impact on our Consolidated Financial Statements. However, litigation is unpredictable, and we could incur judgments or enter into settlements for current or future claims that could adversely affect our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 and guarantees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7"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position, results of operations or cash flows.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During the second quarter of 2017, we recorded a liability representing the fair value of our expected future obligation for this matter.</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service and product warranties for the years ended December 31, 2017 and 2016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34"/>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34"/>
        </w:trPr>
        <w:tc>
          <w:tcPr>
            <w:tcW w:w="8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and product warranty provision</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0"/>
        </w:trPr>
        <w:tc>
          <w:tcPr>
            <w:tcW w:w="8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bank guarantees and bonds</w:t>
      </w:r>
    </w:p>
    <w:p>
      <w:pPr>
        <w:spacing w:after="0" w:line="31"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7"/>
          <w:szCs w:val="17"/>
          <w:color w:val="auto"/>
        </w:rPr>
        <w:t>In certain situations, Tyco guaranteed Flow Control's performance to third parties or provided financial guarantees for financial commitments of Flow Control. "Flow Control" refers to Pentair Ltd. prior to the Merger. In situations where Flow Control and Tyco were unable to obtain a release from these guarantees in connection with the spin-off of Flow Control from Tyco, we will indemnify Tyco for any losses it suffers as a result of such guarantees.</w:t>
      </w:r>
    </w:p>
    <w:p>
      <w:pPr>
        <w:spacing w:after="0" w:line="11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disposing of assets or businesses, we often provide representations, warranties and indemnities to cover various risks including unknown damage to the assets, environmental risks involved in the sale of real estate, liability to investigate and remediate environmental contamination at waste disposal sites and manufacturing facilities and unidentified tax liabilities and legal fees related to periods prior to disposition. We do not have the ability to reasonably estimate the potential liability due to the inchoate and unknown nature of these potential liabilities. However, we have no reason to believe that these uncertainties would have a material adverse effect on our financial position, results of operations or cash flows.</w:t>
      </w:r>
    </w:p>
    <w:p>
      <w:pPr>
        <w:spacing w:after="0" w:line="1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2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of December 31, 2017 and 2016, the outstanding value of bonds, letters of credit and bank guarantees totaled $201.5 million and $331.0 million,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7"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5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Selected Quarterly Data (Unaudited)</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present 2017 and 2016 quarterly financial information:</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6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
        </w:trPr>
        <w:tc>
          <w:tcPr>
            <w:tcW w:w="6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1"/>
        </w:trPr>
        <w:tc>
          <w:tcPr>
            <w:tcW w:w="6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First</w:t>
            </w:r>
          </w:p>
        </w:tc>
        <w:tc>
          <w:tcPr>
            <w:tcW w:w="200" w:type="dxa"/>
            <w:vAlign w:val="bottom"/>
          </w:tcPr>
          <w:p>
            <w:pPr>
              <w:spacing w:after="0"/>
              <w:rPr>
                <w:sz w:val="19"/>
                <w:szCs w:val="19"/>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Second</w:t>
            </w:r>
          </w:p>
        </w:tc>
        <w:tc>
          <w:tcPr>
            <w:tcW w:w="160" w:type="dxa"/>
            <w:vAlign w:val="bottom"/>
          </w:tcPr>
          <w:p>
            <w:pPr>
              <w:spacing w:after="0"/>
              <w:rPr>
                <w:sz w:val="19"/>
                <w:szCs w:val="19"/>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6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240" w:type="dxa"/>
            <w:vAlign w:val="bottom"/>
          </w:tcPr>
          <w:p>
            <w:pPr>
              <w:spacing w:after="0"/>
              <w:rPr>
                <w:sz w:val="19"/>
                <w:szCs w:val="19"/>
                <w:color w:val="auto"/>
              </w:rPr>
            </w:pPr>
          </w:p>
        </w:tc>
        <w:tc>
          <w:tcPr>
            <w:tcW w:w="8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Full</w:t>
            </w:r>
          </w:p>
        </w:tc>
      </w:tr>
      <w:tr>
        <w:trPr>
          <w:trHeight w:val="238"/>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16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4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34"/>
        </w:trPr>
        <w:tc>
          <w:tcPr>
            <w:tcW w:w="6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1,265.3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1,260.9</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4,936.5</w:t>
            </w: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483.2</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455.3</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468.3</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1,829.1</w:t>
            </w:r>
          </w:p>
        </w:tc>
      </w:tr>
      <w:tr>
        <w:trPr>
          <w:trHeight w:val="27"/>
        </w:trPr>
        <w:tc>
          <w:tcPr>
            <w:tcW w:w="6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212.8</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192.2</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680.8</w:t>
            </w: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127.1</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203.9</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r>
      <w:tr>
        <w:trPr>
          <w:trHeight w:val="27"/>
        </w:trPr>
        <w:tc>
          <w:tcPr>
            <w:tcW w:w="6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Gain (loss) from sale of discontinued operations, net of tax</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200.6</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181.1</w:t>
            </w:r>
          </w:p>
        </w:tc>
      </w:tr>
      <w:tr>
        <w:trPr>
          <w:trHeight w:val="27"/>
        </w:trPr>
        <w:tc>
          <w:tcPr>
            <w:tcW w:w="6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263.7</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125.4</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666.5</w:t>
            </w:r>
          </w:p>
        </w:tc>
      </w:tr>
      <w:tr>
        <w:trPr>
          <w:trHeight w:val="270"/>
        </w:trPr>
        <w:tc>
          <w:tcPr>
            <w:tcW w:w="628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Earnings per ordinary share </w:t>
            </w:r>
            <w:r>
              <w:rPr>
                <w:rFonts w:ascii="Times New Roman" w:cs="Times New Roman" w:eastAsia="Times New Roman" w:hAnsi="Times New Roman"/>
                <w:sz w:val="25"/>
                <w:szCs w:val="25"/>
                <w:b w:val="1"/>
                <w:bCs w:val="1"/>
                <w:color w:val="auto"/>
                <w:vertAlign w:val="superscript"/>
              </w:rPr>
              <w:t>(1)</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5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7"/>
        </w:trPr>
        <w:tc>
          <w:tcPr>
            <w:tcW w:w="6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37"/>
        </w:trPr>
        <w:tc>
          <w:tcPr>
            <w:tcW w:w="6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r>
      <w:tr>
        <w:trPr>
          <w:trHeight w:val="67"/>
        </w:trPr>
        <w:tc>
          <w:tcPr>
            <w:tcW w:w="620" w:type="dxa"/>
            <w:vAlign w:val="bottom"/>
            <w:tcBorders>
              <w:bottom w:val="single" w:sz="8" w:color="auto"/>
            </w:tcBorders>
          </w:tcPr>
          <w:p>
            <w:pPr>
              <w:spacing w:after="0"/>
              <w:rPr>
                <w:sz w:val="5"/>
                <w:szCs w:val="5"/>
                <w:color w:val="auto"/>
              </w:rPr>
            </w:pPr>
          </w:p>
        </w:tc>
        <w:tc>
          <w:tcPr>
            <w:tcW w:w="56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31"/>
        </w:trPr>
        <w:tc>
          <w:tcPr>
            <w:tcW w:w="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5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r>
      <w:tr>
        <w:trPr>
          <w:trHeight w:val="27"/>
        </w:trPr>
        <w:tc>
          <w:tcPr>
            <w:tcW w:w="6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37"/>
        </w:trPr>
        <w:tc>
          <w:tcPr>
            <w:tcW w:w="6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r>
      <w:tr>
        <w:trPr>
          <w:trHeight w:val="27"/>
        </w:trPr>
        <w:tc>
          <w:tcPr>
            <w:tcW w:w="62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48"/>
        </w:trPr>
        <w:tc>
          <w:tcPr>
            <w:tcW w:w="6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
        </w:trPr>
        <w:tc>
          <w:tcPr>
            <w:tcW w:w="6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1"/>
        </w:trPr>
        <w:tc>
          <w:tcPr>
            <w:tcW w:w="6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First</w:t>
            </w:r>
          </w:p>
        </w:tc>
        <w:tc>
          <w:tcPr>
            <w:tcW w:w="200" w:type="dxa"/>
            <w:vAlign w:val="bottom"/>
          </w:tcPr>
          <w:p>
            <w:pPr>
              <w:spacing w:after="0"/>
              <w:rPr>
                <w:sz w:val="19"/>
                <w:szCs w:val="19"/>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Second</w:t>
            </w:r>
          </w:p>
        </w:tc>
        <w:tc>
          <w:tcPr>
            <w:tcW w:w="160" w:type="dxa"/>
            <w:vAlign w:val="bottom"/>
          </w:tcPr>
          <w:p>
            <w:pPr>
              <w:spacing w:after="0"/>
              <w:rPr>
                <w:sz w:val="19"/>
                <w:szCs w:val="19"/>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6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240" w:type="dxa"/>
            <w:vAlign w:val="bottom"/>
          </w:tcPr>
          <w:p>
            <w:pPr>
              <w:spacing w:after="0"/>
              <w:rPr>
                <w:sz w:val="19"/>
                <w:szCs w:val="19"/>
                <w:color w:val="auto"/>
              </w:rPr>
            </w:pPr>
          </w:p>
        </w:tc>
        <w:tc>
          <w:tcPr>
            <w:tcW w:w="8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Full</w:t>
            </w:r>
          </w:p>
        </w:tc>
      </w:tr>
      <w:tr>
        <w:trPr>
          <w:trHeight w:val="238"/>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16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4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34"/>
        </w:trPr>
        <w:tc>
          <w:tcPr>
            <w:tcW w:w="6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4,890.0</w:t>
            </w: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481.8</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440.9</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440.1</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1,794.1</w:t>
            </w:r>
          </w:p>
        </w:tc>
      </w:tr>
      <w:tr>
        <w:trPr>
          <w:trHeight w:val="27"/>
        </w:trPr>
        <w:tc>
          <w:tcPr>
            <w:tcW w:w="6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203.4</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161.8</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700.7</w:t>
            </w: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117.5</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451.6</w:t>
            </w:r>
          </w:p>
        </w:tc>
      </w:tr>
      <w:tr>
        <w:trPr>
          <w:trHeight w:val="27"/>
        </w:trPr>
        <w:tc>
          <w:tcPr>
            <w:tcW w:w="6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Gain from sale of discontinued operations, net of tax</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6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142.8</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141.0</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522.2</w:t>
            </w:r>
          </w:p>
        </w:tc>
      </w:tr>
      <w:tr>
        <w:trPr>
          <w:trHeight w:val="270"/>
        </w:trPr>
        <w:tc>
          <w:tcPr>
            <w:tcW w:w="628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Earnings per ordinary share </w:t>
            </w:r>
            <w:r>
              <w:rPr>
                <w:rFonts w:ascii="Times New Roman" w:cs="Times New Roman" w:eastAsia="Times New Roman" w:hAnsi="Times New Roman"/>
                <w:sz w:val="25"/>
                <w:szCs w:val="25"/>
                <w:b w:val="1"/>
                <w:bCs w:val="1"/>
                <w:color w:val="auto"/>
                <w:vertAlign w:val="superscript"/>
              </w:rPr>
              <w:t>(1)</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5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r>
      <w:tr>
        <w:trPr>
          <w:trHeight w:val="27"/>
        </w:trPr>
        <w:tc>
          <w:tcPr>
            <w:tcW w:w="6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r>
      <w:tr>
        <w:trPr>
          <w:trHeight w:val="237"/>
        </w:trPr>
        <w:tc>
          <w:tcPr>
            <w:tcW w:w="6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0.72</w:t>
            </w:r>
          </w:p>
        </w:tc>
        <w:tc>
          <w:tcPr>
            <w:tcW w:w="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r>
      <w:tr>
        <w:trPr>
          <w:trHeight w:val="67"/>
        </w:trPr>
        <w:tc>
          <w:tcPr>
            <w:tcW w:w="620" w:type="dxa"/>
            <w:vAlign w:val="bottom"/>
            <w:tcBorders>
              <w:bottom w:val="single" w:sz="8" w:color="auto"/>
            </w:tcBorders>
          </w:tcPr>
          <w:p>
            <w:pPr>
              <w:spacing w:after="0"/>
              <w:rPr>
                <w:sz w:val="5"/>
                <w:szCs w:val="5"/>
                <w:color w:val="auto"/>
              </w:rPr>
            </w:pPr>
          </w:p>
        </w:tc>
        <w:tc>
          <w:tcPr>
            <w:tcW w:w="56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31"/>
        </w:trPr>
        <w:tc>
          <w:tcPr>
            <w:tcW w:w="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5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6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r>
      <w:tr>
        <w:trPr>
          <w:trHeight w:val="237"/>
        </w:trPr>
        <w:tc>
          <w:tcPr>
            <w:tcW w:w="6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0.71</w:t>
            </w:r>
          </w:p>
        </w:tc>
        <w:tc>
          <w:tcPr>
            <w:tcW w:w="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r>
      <w:tr>
        <w:trPr>
          <w:trHeight w:val="27"/>
        </w:trPr>
        <w:tc>
          <w:tcPr>
            <w:tcW w:w="62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right="4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may not total to annual earnings because each quarter and year are calculated separately based on basic and diluted weighted-average ordinary shares outstanding during that period.</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Fourth quarter 2017 includes decreases in operating income due to $30.7 million of separation costs, $25.2 million of trade name and other impairment charges and $1.6 million of "mark-to-market" actuarial losses on pension and other post-retirement benefit plans. Second quarter 2017 includes decreases in net income from continuing operations due to a $101.4 million loss on early extinguishment of debt. First quarter 2017 includes decreases in operating income due to $20.9 million of restructuring</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17" w:right="2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and other costs. Fourth quarter 2016 includes decreases in operating income due to trade name impairment charges of $13.3 million in Electrical and "mark-to-market" actuarial losses on pension and other post-retirement benefit plans of $4.2 million.</w:t>
      </w:r>
    </w:p>
    <w:p>
      <w:pPr>
        <w:spacing w:after="0" w:line="266"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Guarantor Information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Pentair plc (the "Parent Company Guarantor") and Pentair Investments Switzerland GmbH (the "Subsidiary Guarantor"), fully and unconditionally, guarantee the Notes of Pentair Finance S.à r.l. (the "Subsidiary Issuer"). The Subsidiary Guarantor is a Switzerland limited liability company formed in April 2014 and 100 percent-owned subsidiary of the Parent Company Guarantor. The Subsidiary Issuer is a Luxembourg public limited liability company formed in January 2012 and 100 percent-owned subsidiary of the Subsidiary Guarantor. The guarantees provided by the Parent Company Guarantor and Subsidiary Guarantor are joint and several.</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supplemental financial information sets forth the Company's Condensed Consolidating Statement of Operations and Comprehensive Income (Loss) and Condensed Consolidating Statement of Cash Flows for the years ended December 31, 2017, 2016 and 2015 and Condensed Consolidating Balance Sheet as of December 31, 2017 and 2016. Condensed Consolidating financial information for Pentair plc, Pentair Investments Switzerland GmbH and Pentair Finance S.à r.l. on a stand-alone basis is presented using the equity method of accounting for subsidiaries.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117" w:right="2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4,936.5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4,936.5</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3,107.4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3,107.4</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1,829.1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1,829.1</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1,032.5</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w:t>
            </w:r>
          </w:p>
        </w:tc>
      </w:tr>
      <w:tr>
        <w:trPr>
          <w:trHeight w:val="237"/>
        </w:trPr>
        <w:tc>
          <w:tcPr>
            <w:tcW w:w="3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685.5</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1,610.2</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income of unconsolidated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123.6</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139.9</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97.2</w:t>
            </w:r>
          </w:p>
        </w:tc>
      </w:tr>
      <w:tr>
        <w:trPr>
          <w:trHeight w:val="218"/>
        </w:trPr>
        <w:tc>
          <w:tcPr>
            <w:tcW w:w="3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before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482.6</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482.7</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655.0</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(1,610.2)</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489.2</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r>
      <w:tr>
        <w:trPr>
          <w:trHeight w:val="218"/>
        </w:trPr>
        <w:tc>
          <w:tcPr>
            <w:tcW w:w="3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 (loss) from continuing</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482.6</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482.7</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644.9</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(1,610.2)</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from sale of discontinued operations,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181.1</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from discontinued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6"/>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of investment in 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186.5</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186.5</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669.1</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669.2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831.4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666.5</w:t>
            </w:r>
          </w:p>
        </w:tc>
      </w:tr>
      <w:tr>
        <w:trPr>
          <w:trHeight w:val="67"/>
        </w:trPr>
        <w:tc>
          <w:tcPr>
            <w:tcW w:w="3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666.5</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cumulative translation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497.5</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497.5</w:t>
            </w: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market value of derivative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instruments, 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1,159.4</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4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8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40" w:type="dxa"/>
            <w:vAlign w:val="bottom"/>
          </w:tcPr>
          <w:p>
            <w:pPr>
              <w:spacing w:after="0"/>
              <w:rPr>
                <w:sz w:val="20"/>
                <w:szCs w:val="20"/>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22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831.6</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581.0</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239.3</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222.9</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1,748.8</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545.5</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545.5</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5,205.1</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5,109.6</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7,156.1</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(17,470.8)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4,351.1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4,351.1</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1,558.4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1,558.4</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intercompany debt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2,317.1</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429.9</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assets</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5,207.3</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5,203.7</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7,518.5</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(19,360.2)</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6,339.4</w:t>
            </w:r>
          </w:p>
        </w:tc>
      </w:tr>
      <w:tr>
        <w:trPr>
          <w:trHeight w:val="237"/>
        </w:trPr>
        <w:tc>
          <w:tcPr>
            <w:tcW w:w="2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5,218.1</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5,205.5</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7,771.6</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9,829.2</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(19,390.7)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8,633.7</w:t>
            </w:r>
          </w:p>
        </w:tc>
      </w:tr>
      <w:tr>
        <w:trPr>
          <w:trHeight w:val="67"/>
        </w:trPr>
        <w:tc>
          <w:tcPr>
            <w:tcW w:w="29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gridSpan w:val="3"/>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2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495.7</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186.6</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438.2</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517.1</w:t>
            </w:r>
          </w:p>
        </w:tc>
      </w:tr>
      <w:tr>
        <w:trPr>
          <w:trHeight w:val="237"/>
        </w:trPr>
        <w:tc>
          <w:tcPr>
            <w:tcW w:w="2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1,118.7</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1,199.4</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2,652.8</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628.9</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1,440.7</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other post-retirement</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285.6</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394.8</w:t>
            </w:r>
          </w:p>
        </w:tc>
      </w:tr>
      <w:tr>
        <w:trPr>
          <w:trHeight w:val="27"/>
        </w:trPr>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275.4</w:t>
            </w:r>
          </w:p>
        </w:tc>
      </w:tr>
      <w:tr>
        <w:trPr>
          <w:trHeight w:val="237"/>
        </w:trPr>
        <w:tc>
          <w:tcPr>
            <w:tcW w:w="2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2,662.2</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2,672.9</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(1,919.9)</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3,595.9</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5,037.8</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5,205.1</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5,109.4</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7,156.3</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(17,470.8)</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5,037.8</w:t>
            </w:r>
          </w:p>
        </w:tc>
      </w:tr>
      <w:tr>
        <w:trPr>
          <w:trHeight w:val="237"/>
        </w:trPr>
        <w:tc>
          <w:tcPr>
            <w:tcW w:w="29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5,218.1</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5,205.5</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7,771.6</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9,829.2</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(19,390.7)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8,633.7</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64"/>
        </w:trPr>
        <w:tc>
          <w:tcPr>
            <w:tcW w:w="2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0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18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3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5"/>
        </w:trPr>
        <w:tc>
          <w:tcPr>
            <w:tcW w:w="3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620.2</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property and</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3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businesses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2,765.6</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2,759.4</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intercompany loan activity</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172.6</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3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investing activities of continuing</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1"/>
        </w:trPr>
        <w:tc>
          <w:tcPr>
            <w:tcW w:w="32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2,869.3</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2,636.9</w:t>
            </w:r>
          </w:p>
        </w:tc>
      </w:tr>
      <w:tr>
        <w:trPr>
          <w:trHeight w:val="225"/>
        </w:trPr>
        <w:tc>
          <w:tcPr>
            <w:tcW w:w="3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investing activities of discontinued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3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3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1"/>
        </w:trPr>
        <w:tc>
          <w:tcPr>
            <w:tcW w:w="32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2,869.3</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2,630.4</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repayments of 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5"/>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receipts (repayments) of commercial</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paper and revolving long-term debt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w:t>
            </w:r>
          </w:p>
        </w:tc>
      </w:tr>
      <w:tr>
        <w:trPr>
          <w:trHeight w:val="225"/>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Premium paid on early extinguishment of</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advances to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2,387.1</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to employees, net of shares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withheld</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Repurchases of ordinary shares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7"/>
        </w:trPr>
        <w:tc>
          <w:tcPr>
            <w:tcW w:w="3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1"/>
        </w:trPr>
        <w:tc>
          <w:tcPr>
            <w:tcW w:w="32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(3,604.4)</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2,387.1</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(3,432.6)</w:t>
            </w:r>
          </w:p>
        </w:tc>
      </w:tr>
      <w:tr>
        <w:trPr>
          <w:trHeight w:val="221"/>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8"/>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and cash equivalents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r>
      <w:tr>
        <w:trPr>
          <w:trHeight w:val="27"/>
        </w:trPr>
        <w:tc>
          <w:tcPr>
            <w:tcW w:w="3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21"/>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8"/>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238.5</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238.5</w:t>
            </w:r>
          </w:p>
        </w:tc>
      </w:tr>
      <w:tr>
        <w:trPr>
          <w:trHeight w:val="27"/>
        </w:trPr>
        <w:tc>
          <w:tcPr>
            <w:tcW w:w="3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w:t>
            </w:r>
          </w:p>
        </w:tc>
      </w:tr>
      <w:tr>
        <w:trPr>
          <w:trHeight w:val="20"/>
        </w:trPr>
        <w:tc>
          <w:tcPr>
            <w:tcW w:w="3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764"/>
        </w:trPr>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Subsidiary</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4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18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4,890.0</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3,095.9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3,095.9</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1,794.1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1,794.1</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962.3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979.3</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114.1</w:t>
            </w:r>
          </w:p>
        </w:tc>
      </w:tr>
      <w:tr>
        <w:trPr>
          <w:trHeight w:val="237"/>
        </w:trPr>
        <w:tc>
          <w:tcPr>
            <w:tcW w:w="3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(loss) income</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717.7</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700.7</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(earnings) from continuing operations of</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1,510.1</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83.7</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148.4</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1"/>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450.2</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466.0</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561.0</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451.6</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466.0</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451.6</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from sale of discontinued operations, net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tax</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from discontinued operations of</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522.2</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net of tax</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522.2</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249.0</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market value of derivative financial</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6"/>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instruments, net of tax</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7"/>
        </w:trPr>
        <w:tc>
          <w:tcPr>
            <w:tcW w:w="3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430.9</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557.4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430.9</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238.5</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764.0</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524.2</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253.4</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891.9</w:t>
            </w:r>
          </w:p>
        </w:tc>
      </w:tr>
      <w:tr>
        <w:trPr>
          <w:trHeight w:val="237"/>
        </w:trPr>
        <w:tc>
          <w:tcPr>
            <w:tcW w:w="3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2,656.3</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2,672.0</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538.6</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4,471.4</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9,295.5</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4,217.4</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4,217.4</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1,631.8</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182.1</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2,292.9</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2,292.9</w:t>
            </w:r>
          </w:p>
        </w:tc>
      </w:tr>
      <w:tr>
        <w:trPr>
          <w:trHeight w:val="237"/>
        </w:trPr>
        <w:tc>
          <w:tcPr>
            <w:tcW w:w="3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4,511.7</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4,506.6</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10,013.3</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9,711.0</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(20,418.4)</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8,324.2</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11,534.8</w:t>
            </w:r>
          </w:p>
        </w:tc>
      </w:tr>
      <w:tr>
        <w:trPr>
          <w:trHeight w:val="20"/>
        </w:trPr>
        <w:tc>
          <w:tcPr>
            <w:tcW w:w="3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500" w:type="dxa"/>
            <w:vAlign w:val="bottom"/>
            <w:gridSpan w:val="4"/>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maturities of long-term debt and short-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borrowings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436.6</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166.1</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511.5</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356.2</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1,471.2</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5,515.9</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4,278.4</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Pension and other post-retirement compensation</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benefits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253.4</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609.5</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162.0</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505.9</w:t>
            </w:r>
          </w:p>
        </w:tc>
      </w:tr>
      <w:tr>
        <w:trPr>
          <w:trHeight w:val="237"/>
        </w:trPr>
        <w:tc>
          <w:tcPr>
            <w:tcW w:w="3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5,542.7</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3,610.7</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(2,132.8)</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7,280.4</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4,254.4</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4,509.5</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4,471.7</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9,295.2</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4,254.4</w:t>
            </w:r>
          </w:p>
        </w:tc>
      </w:tr>
      <w:tr>
        <w:trPr>
          <w:trHeight w:val="237"/>
        </w:trPr>
        <w:tc>
          <w:tcPr>
            <w:tcW w:w="3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4,510.7</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10,014.4</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12,905.9</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(20,409.2)</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11,534.8</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64"/>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83</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5"/>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 operating</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861.4</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businesses, net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intercompany loan activity</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667.3</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5"/>
        </w:trPr>
        <w:tc>
          <w:tcPr>
            <w:tcW w:w="3540" w:type="dxa"/>
            <w:vAlign w:val="bottom"/>
            <w:shd w:val="clear" w:color="auto" w:fill="CCEEFF"/>
          </w:tcPr>
          <w:p>
            <w:pPr>
              <w:ind w:left="380"/>
              <w:spacing w:after="0" w:line="205" w:lineRule="exact"/>
              <w:rPr>
                <w:sz w:val="20"/>
                <w:szCs w:val="20"/>
                <w:color w:val="auto"/>
              </w:rPr>
            </w:pPr>
            <w:r>
              <w:rPr>
                <w:rFonts w:ascii="Times New Roman" w:cs="Times New Roman" w:eastAsia="Times New Roman" w:hAnsi="Times New Roman"/>
                <w:sz w:val="18"/>
                <w:szCs w:val="18"/>
                <w:color w:val="auto"/>
              </w:rPr>
              <w:t>Net cash provided by (used for) investing</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41"/>
        </w:trPr>
        <w:tc>
          <w:tcPr>
            <w:tcW w:w="35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activities of continuing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5"/>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 investing</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activities from discontinued operations</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 investing</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5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receipts of short-term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receipts (repayments) of commercial paper</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revolving long-term debt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advances to subsidiaries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benefits from share-based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to employees, net of shares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withheld</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r>
      <w:tr>
        <w:trPr>
          <w:trHeight w:val="218"/>
        </w:trPr>
        <w:tc>
          <w:tcPr>
            <w:tcW w:w="35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 financing</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1,986.4</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1"/>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7"/>
        </w:trPr>
        <w:tc>
          <w:tcPr>
            <w:tcW w:w="3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112.3</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112.2</w:t>
            </w: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126.3</w:t>
            </w:r>
          </w:p>
        </w:tc>
      </w:tr>
      <w:tr>
        <w:trPr>
          <w:trHeight w:val="237"/>
        </w:trPr>
        <w:tc>
          <w:tcPr>
            <w:tcW w:w="3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238.5</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238.5</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2015</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4,616.4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4,616.4</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3,017.6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3,017.6</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1,598.8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1,598.8</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842.8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r>
      <w:tr>
        <w:trPr>
          <w:trHeight w:val="237"/>
        </w:trPr>
        <w:tc>
          <w:tcPr>
            <w:tcW w:w="3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657.3</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616.1</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1,350.9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income of unconsolidated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126.3</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88.6</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424.1</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512.5</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115.4</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from continuing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424.1</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490.7</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397.1</w:t>
            </w: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sale of discontinued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from discontinued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of investment in subsidiaries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1,420.5</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net of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cumulative translation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794.7</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market value of derivative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6"/>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instruments,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3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863.7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2015</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5"/>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739.3</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property and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(1,913.9)</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intercompany loan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businesses and other</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18"/>
        </w:trPr>
        <w:tc>
          <w:tcPr>
            <w:tcW w:w="3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investing activities of continuing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891.0</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(2,003.6)</w:t>
            </w:r>
          </w:p>
        </w:tc>
      </w:tr>
      <w:tr>
        <w:trPr>
          <w:trHeight w:val="225"/>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investing activities of discontinued</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891.0</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repayments on 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receipts of commercial paper and</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long-term debt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346.9</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363.5</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1,714.8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1,714.8</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advances to subsidiaries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(2,553.7)</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1,507.0</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benefits from share-based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to employees, net of shares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withheld</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Repurchases of ordinary shares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1,286.3</w:t>
            </w:r>
          </w:p>
        </w:tc>
      </w:tr>
      <w:tr>
        <w:trPr>
          <w:trHeight w:val="221"/>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and cash equivalents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r>
      <w:tr>
        <w:trPr>
          <w:trHeight w:val="221"/>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110.3</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110.4</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126.3</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17" w:right="239" w:bottom="1440" w:gutter="0" w:footer="0" w:header="0"/>
          <w:type w:val="continuous"/>
        </w:sectPr>
      </w:pPr>
    </w:p>
    <w:bookmarkStart w:id="88" w:name="page89"/>
    <w:bookmarkEnd w:id="88"/>
    <w:p>
      <w:pPr>
        <w:ind w:right="120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the design and operation of our disclosure controls and procedures as of the end of the year ended December 31, 2017, pursuant to Rule 13a-15(b) of the Securities Exchange Act of 1934 ("the Exchange Act"). Based upon their evaluation, our Chief Executive Officer and our Chief Financial Officer concluded that our disclosure controls and procedures were effective as of the year ended December 31, 2017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31"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report of management required under this ITEM 9A is contained in ITEM 8 of this Annual Report on Form 10-K under the caption "Management's Report on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3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attestation report required under this ITEM 9A is contained in ITEM 8 of this Annual Report on Form 10-K under the caption "Report of Independent Registered Public Accounting Firm."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December 31, 2017 that has materially affected, or is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576" w:right="23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with respect to directors is contained in our Proxy Statement for our 2018 annual general meeting of shareholders under the captions "Corporate Governance Matters," "Proposal 1 Re-elect Director Nominees" and "Section 16(a) Beneficial Ownership Reporting Compliance" and is incorporated herein by reference.</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with respect to executive officers is contained in Part I of this Form 10-K under the caption "Executive Officers of the Registrant."</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adopted Pentair's Code of Business Conduct and Ethics and designated it as the code of ethics for the Company's Chief Executive Officer and senior financial officers. The Code of Business Conduct and Ethics also applies to all employees and directors in accordance with New York Stock Exchange Listing Standards. We have posted a copy of Pentair's Code of Business Conduct and Ethics on our website at </w:t>
      </w:r>
      <w:r>
        <w:rPr>
          <w:rFonts w:ascii="Times New Roman" w:cs="Times New Roman" w:eastAsia="Times New Roman" w:hAnsi="Times New Roman"/>
          <w:sz w:val="18"/>
          <w:szCs w:val="18"/>
          <w:u w:val="single" w:color="auto"/>
          <w:color w:val="auto"/>
        </w:rPr>
        <w:t>http://pentair.com/en/about-us/leadership/corporate-governance</w:t>
      </w:r>
      <w:r>
        <w:rPr>
          <w:rFonts w:ascii="Times New Roman" w:cs="Times New Roman" w:eastAsia="Times New Roman" w:hAnsi="Times New Roman"/>
          <w:sz w:val="18"/>
          <w:szCs w:val="18"/>
          <w:color w:val="auto"/>
        </w:rPr>
        <w:t xml:space="preserve">. We intend to satisfy the disclosure requirements under Item 5.05 of Form 8-K regarding amendments to or waivers from, Pentair's Code of Business Conduct and Ethics by posting such information on our website at </w:t>
      </w:r>
      <w:r>
        <w:rPr>
          <w:rFonts w:ascii="Times New Roman" w:cs="Times New Roman" w:eastAsia="Times New Roman" w:hAnsi="Times New Roman"/>
          <w:sz w:val="18"/>
          <w:szCs w:val="18"/>
          <w:u w:val="single" w:color="auto"/>
          <w:color w:val="auto"/>
        </w:rPr>
        <w:t>http://pentair.com/en/about-us/leadership/corporate-governance</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including the information contained on our website as part of, or incorporating it by reference into,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is contained in our Proxy Statement for our 2018 annual general meeting of shareholders under the captions "Compensation Discussion and Analysis," "Compensation Committee Report," "Executive Compensation Tables" and "Corporate Governance Matters - Director Compensation" and is incorporated herein by reference.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576" w:right="259" w:bottom="1440" w:gutter="0" w:footer="0" w:header="0"/>
        </w:sectPr>
      </w:pPr>
    </w:p>
    <w:bookmarkStart w:id="90" w:name="page91"/>
    <w:bookmarkEnd w:id="90"/>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Information required under this item with respect to security ownership is contained in our Proxy Statement for our 2018 annual general meeting of shareholders under the caption "Security Ownership" and is incorporated herein by reference.</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December 31, 2017, information about compensation plans under which our equity securities are authorized for issuance: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remaining available for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future issuance under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 securities to</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equity compensation</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 issued upon exercise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plans (excluding</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outstanding options,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reflected in</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4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column (a))</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vMerge w:val="continue"/>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(b)</w:t>
            </w:r>
          </w:p>
        </w:tc>
        <w:tc>
          <w:tcPr>
            <w:tcW w:w="4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9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holders:</w:t>
            </w:r>
          </w:p>
        </w:tc>
        <w:tc>
          <w:tcPr>
            <w:tcW w:w="2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2012 Stock and Incentive Plan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4,542,732</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4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(2)</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4,166,037</w:t>
            </w: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2008 Omnibus Stock Incentive Plan</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1,688,173</w:t>
            </w:r>
          </w:p>
        </w:tc>
        <w:tc>
          <w:tcPr>
            <w:tcW w:w="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(2)</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43"/>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2004 Omnibus Stock Incentive Plan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44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Directors Non-qualified Stock Option</w:t>
            </w:r>
          </w:p>
        </w:tc>
        <w:tc>
          <w:tcPr>
            <w:tcW w:w="2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9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Plan</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gridSpan w:val="2"/>
            <w:shd w:val="clear" w:color="auto" w:fill="CCEEFF"/>
          </w:tcPr>
          <w:p>
            <w:pPr>
              <w:jc w:val="right"/>
              <w:ind w:right="97"/>
              <w:spacing w:after="0" w:line="261"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2"/>
                <w:szCs w:val="12"/>
                <w:color w:val="auto"/>
              </w:rPr>
              <w:t xml:space="preserve">  (5)</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6,237,503</w:t>
            </w:r>
          </w:p>
        </w:tc>
        <w:tc>
          <w:tcPr>
            <w:tcW w:w="3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4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(2)</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4,166,037</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right="34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3,551,120 shares subject to stock options, 537,259 shares subject to restricted stock units, and 454,353 shares subject to performance share awards.</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exercise price of outstanding stock options and does not take into account outstanding restricted stock units or performance share units.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remaining available for issuance under the 2012 Stock and Incentive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1,688,173 shares subject to stock options.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2008 Omnibus Stock Incentive Plan was terminated in 2012. The 2004 Omnibus Plan and the Directors Plan were terminated in 2008. Options previously granted under these plans and restricted stock units granted under the 2008 Omnibus Stock Incentive Plan remain outstanding, but no further options or shares may be granted or issued under either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is contained in our Proxy Statement for our 2018 annual general meeting of shareholders under the captions "Proposal 1 Re-elect Director Nominees - Director Independence" and "Corporate Governance Matters - The Board's Role and Responsibilities - Policies and Procedures Regarding Related Person Transactions"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Information required under this item is contained in our Proxy Statement for our 2018 annual general meeting of shareholders under the caption "Proposal 3 Ratify, by Non-Binding Advisory Vote, the Appointment of Deloitte &amp; Touche LLP as the Independent Auditors of Pentair plc and to Authorize, by Binding Vote, the Audit and Finance Committee of the Board of Directors to Set the Auditors' Remuneration" and is incorporated herein by reference.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576" w:right="239" w:bottom="1440" w:gutter="0" w:footer="0" w:header="0"/>
        </w:sectPr>
      </w:pPr>
    </w:p>
    <w:bookmarkStart w:id="91" w:name="page92"/>
    <w:bookmarkEnd w:id="91"/>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List of documents filed as part of this report: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 for the years ended December 31, 2017, 2016 and 2015</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Balance Sheets as of December 31, 2017 and 2016</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2017, 2016 and 2015</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Consolidated Statements of Changes in Equity for the years ended December 31, 2017, 2016 and 2015</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Financial Statement Schedule</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71" w:lineRule="exact"/>
        <w:rPr>
          <w:sz w:val="20"/>
          <w:szCs w:val="20"/>
          <w:color w:val="auto"/>
        </w:rPr>
      </w:pPr>
    </w:p>
    <w:p>
      <w:pPr>
        <w:ind w:left="1300" w:right="80"/>
        <w:spacing w:after="0" w:line="282"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exhibits of this Annual Report on Form 10-K included herein are set forth below.</w:t>
      </w:r>
    </w:p>
    <w:p>
      <w:pPr>
        <w:spacing w:after="0" w:line="3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Number</w:t>
        <w:tab/>
        <w:t>Exhibit</w:t>
      </w:r>
    </w:p>
    <w:p>
      <w:pPr>
        <w:spacing w:after="0" w:line="41" w:lineRule="exact"/>
        <w:rPr>
          <w:sz w:val="20"/>
          <w:szCs w:val="20"/>
          <w:color w:val="auto"/>
        </w:rPr>
      </w:pPr>
    </w:p>
    <w:p>
      <w:pPr>
        <w:ind w:left="1080" w:right="260" w:hanging="719"/>
        <w:spacing w:after="0" w:line="266" w:lineRule="auto"/>
        <w:tabs>
          <w:tab w:leader="none" w:pos="1060" w:val="left"/>
        </w:tabs>
        <w:rPr>
          <w:rFonts w:ascii="Times New Roman" w:cs="Times New Roman" w:eastAsia="Times New Roman" w:hAnsi="Times New Roman"/>
          <w:sz w:val="18"/>
          <w:szCs w:val="18"/>
          <w:b w:val="1"/>
          <w:bCs w:val="1"/>
          <w:color w:val="0000FF"/>
        </w:rPr>
      </w:pPr>
      <w:hyperlink r:id="rId23">
        <w:r>
          <w:rPr>
            <w:rFonts w:ascii="Times New Roman" w:cs="Times New Roman" w:eastAsia="Times New Roman" w:hAnsi="Times New Roman"/>
            <w:sz w:val="18"/>
            <w:szCs w:val="18"/>
            <w:b w:val="1"/>
            <w:bCs w:val="1"/>
            <w:u w:val="single" w:color="auto"/>
            <w:color w:val="0000FF"/>
          </w:rPr>
          <w:t>2.1</w:t>
        </w:r>
      </w:hyperlink>
      <w:r>
        <w:rPr>
          <w:rFonts w:ascii="Times New Roman" w:cs="Times New Roman" w:eastAsia="Times New Roman" w:hAnsi="Times New Roman"/>
          <w:sz w:val="18"/>
          <w:szCs w:val="18"/>
          <w:b w:val="1"/>
          <w:bCs w:val="1"/>
          <w:color w:val="0000FF"/>
        </w:rPr>
        <w:tab/>
        <w:t>Agreement and Plan of Merger, dated August 14, 2015, among Pentair plc, Pentair Lionel Acquisition Co., Pentair Lionel Merger Sub, Inc. and ERICO Global Company (Incorporated by reference to Exhibit 2.1 in the Current Report on Form 8-K of Pentair plc filed with the Commission on August 18, 2015 (File No. 001-11625)).</w:t>
      </w:r>
    </w:p>
    <w:p>
      <w:pPr>
        <w:spacing w:after="0" w:line="136" w:lineRule="exact"/>
        <w:rPr>
          <w:sz w:val="20"/>
          <w:szCs w:val="20"/>
          <w:color w:val="auto"/>
        </w:rPr>
      </w:pPr>
    </w:p>
    <w:p>
      <w:pPr>
        <w:jc w:val="right"/>
        <w:ind w:left="360" w:right="520"/>
        <w:spacing w:after="0" w:line="286" w:lineRule="auto"/>
        <w:rPr>
          <w:rFonts w:ascii="Times New Roman" w:cs="Times New Roman" w:eastAsia="Times New Roman" w:hAnsi="Times New Roman"/>
          <w:sz w:val="18"/>
          <w:szCs w:val="18"/>
          <w:b w:val="1"/>
          <w:bCs w:val="1"/>
          <w:color w:val="0000FF"/>
        </w:rPr>
      </w:pPr>
      <w:hyperlink r:id="rId24">
        <w:r>
          <w:rPr>
            <w:rFonts w:ascii="Times New Roman" w:cs="Times New Roman" w:eastAsia="Times New Roman" w:hAnsi="Times New Roman"/>
            <w:sz w:val="18"/>
            <w:szCs w:val="18"/>
            <w:b w:val="1"/>
            <w:bCs w:val="1"/>
            <w:u w:val="single" w:color="auto"/>
            <w:color w:val="0000FF"/>
          </w:rPr>
          <w:t>2.2</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Share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Purchase Agreement, dated August 18, 2016, by and between Emerson Electric Co. and Pentair plc (Incorporated by reference to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Exhibit 2.1 in the Quarterly Report on Form 10-Q of Pentair plc filed with the Commission on October 25, 2016 (File No. 001-11625)).</w:t>
      </w:r>
    </w:p>
    <w:p>
      <w:pPr>
        <w:spacing w:after="0" w:line="114" w:lineRule="exact"/>
        <w:rPr>
          <w:sz w:val="20"/>
          <w:szCs w:val="20"/>
          <w:color w:val="auto"/>
        </w:rPr>
      </w:pPr>
    </w:p>
    <w:p>
      <w:pPr>
        <w:ind w:left="1080" w:right="480" w:hanging="719"/>
        <w:spacing w:after="0" w:line="282" w:lineRule="auto"/>
        <w:tabs>
          <w:tab w:leader="none" w:pos="1060" w:val="left"/>
        </w:tabs>
        <w:rPr>
          <w:rFonts w:ascii="Times New Roman" w:cs="Times New Roman" w:eastAsia="Times New Roman" w:hAnsi="Times New Roman"/>
          <w:sz w:val="18"/>
          <w:szCs w:val="18"/>
          <w:b w:val="1"/>
          <w:bCs w:val="1"/>
          <w:color w:val="0000FF"/>
        </w:rPr>
      </w:pPr>
      <w:hyperlink r:id="rId25">
        <w:r>
          <w:rPr>
            <w:rFonts w:ascii="Times New Roman" w:cs="Times New Roman" w:eastAsia="Times New Roman" w:hAnsi="Times New Roman"/>
            <w:sz w:val="18"/>
            <w:szCs w:val="18"/>
            <w:b w:val="1"/>
            <w:bCs w:val="1"/>
            <w:u w:val="single" w:color="auto"/>
            <w:color w:val="0000FF"/>
          </w:rPr>
          <w:t>3.1</w:t>
        </w:r>
      </w:hyperlink>
      <w:r>
        <w:rPr>
          <w:rFonts w:ascii="Times New Roman" w:cs="Times New Roman" w:eastAsia="Times New Roman" w:hAnsi="Times New Roman"/>
          <w:sz w:val="18"/>
          <w:szCs w:val="18"/>
          <w:b w:val="1"/>
          <w:bCs w:val="1"/>
          <w:color w:val="0000FF"/>
        </w:rPr>
        <w:tab/>
        <w:t>Amended and Restated Memorandum and Articles of Association of Pentair plc (Incorporated by reference to Exhibit 3.1 to the Current Report on Form 8-K of Pentair plc filed with the Commission on May 9, 2017 (File No. 001-11625)).</w:t>
      </w:r>
    </w:p>
    <w:p>
      <w:pPr>
        <w:spacing w:after="0" w:line="121" w:lineRule="exact"/>
        <w:rPr>
          <w:sz w:val="20"/>
          <w:szCs w:val="20"/>
          <w:color w:val="auto"/>
        </w:rPr>
      </w:pPr>
    </w:p>
    <w:p>
      <w:pPr>
        <w:jc w:val="both"/>
        <w:ind w:left="1080" w:right="140" w:hanging="719"/>
        <w:spacing w:after="0" w:line="266" w:lineRule="auto"/>
        <w:tabs>
          <w:tab w:leader="none" w:pos="1060" w:val="left"/>
        </w:tabs>
        <w:rPr>
          <w:rFonts w:ascii="Times New Roman" w:cs="Times New Roman" w:eastAsia="Times New Roman" w:hAnsi="Times New Roman"/>
          <w:sz w:val="18"/>
          <w:szCs w:val="18"/>
          <w:b w:val="1"/>
          <w:bCs w:val="1"/>
          <w:color w:val="0000FF"/>
        </w:rPr>
      </w:pPr>
      <w:hyperlink r:id="rId26">
        <w:r>
          <w:rPr>
            <w:rFonts w:ascii="Times New Roman" w:cs="Times New Roman" w:eastAsia="Times New Roman" w:hAnsi="Times New Roman"/>
            <w:sz w:val="18"/>
            <w:szCs w:val="18"/>
            <w:b w:val="1"/>
            <w:bCs w:val="1"/>
            <w:u w:val="single" w:color="auto"/>
            <w:color w:val="0000FF"/>
          </w:rPr>
          <w:t>4.1</w:t>
        </w:r>
      </w:hyperlink>
      <w:r>
        <w:rPr>
          <w:rFonts w:ascii="Times New Roman" w:cs="Times New Roman" w:eastAsia="Times New Roman" w:hAnsi="Times New Roman"/>
          <w:sz w:val="18"/>
          <w:szCs w:val="18"/>
          <w:b w:val="1"/>
          <w:bCs w:val="1"/>
          <w:color w:val="0000FF"/>
        </w:rPr>
        <w:tab/>
        <w:t>Indenture, dated as of September 24, 2012, among Pentair Finance S.A. (formerly Tyco Flow Control International Finance S.A.) (as Issuer), Pentair Ltd. (as Guarantor) and Wells Fargo Bank, National Association (as Trustee) (Incorporated by reference to Exhibit 4.1 in the Current Report on Form 8-K of Pentair Ltd. filed with the Commission on September 28, 2012 (File No. 001-11625)).</w:t>
      </w:r>
    </w:p>
    <w:p>
      <w:pPr>
        <w:spacing w:after="0" w:line="136" w:lineRule="exact"/>
        <w:rPr>
          <w:sz w:val="20"/>
          <w:szCs w:val="20"/>
          <w:color w:val="auto"/>
        </w:rPr>
      </w:pPr>
    </w:p>
    <w:p>
      <w:pPr>
        <w:ind w:left="1080" w:right="120" w:hanging="719"/>
        <w:spacing w:after="0" w:line="261" w:lineRule="auto"/>
        <w:tabs>
          <w:tab w:leader="none" w:pos="1060" w:val="left"/>
        </w:tabs>
        <w:rPr>
          <w:rFonts w:ascii="Times New Roman" w:cs="Times New Roman" w:eastAsia="Times New Roman" w:hAnsi="Times New Roman"/>
          <w:sz w:val="18"/>
          <w:szCs w:val="18"/>
          <w:b w:val="1"/>
          <w:bCs w:val="1"/>
          <w:color w:val="0000FF"/>
        </w:rPr>
      </w:pPr>
      <w:hyperlink r:id="rId27">
        <w:r>
          <w:rPr>
            <w:rFonts w:ascii="Times New Roman" w:cs="Times New Roman" w:eastAsia="Times New Roman" w:hAnsi="Times New Roman"/>
            <w:sz w:val="18"/>
            <w:szCs w:val="18"/>
            <w:b w:val="1"/>
            <w:bCs w:val="1"/>
            <w:u w:val="single" w:color="auto"/>
            <w:color w:val="0000FF"/>
          </w:rPr>
          <w:t>4.2</w:t>
        </w:r>
      </w:hyperlink>
      <w:r>
        <w:rPr>
          <w:rFonts w:ascii="Times New Roman" w:cs="Times New Roman" w:eastAsia="Times New Roman" w:hAnsi="Times New Roman"/>
          <w:sz w:val="18"/>
          <w:szCs w:val="18"/>
          <w:b w:val="1"/>
          <w:bCs w:val="1"/>
          <w:color w:val="0000FF"/>
        </w:rPr>
        <w:tab/>
        <w:t>Second Supplemental Indenture, dated as of September 24, 2012, among Pentair Finance S.A. (formerly Tyco Flow Control International Finance S.A.) (as Issuer), Pentair Ltd. (as Guarantor), Pentair, Inc. and Wells Fargo Bank, National Association (as Trustee) (Incorporated by reference to Exhibit 4.3 in the Current Report on Form 8-K of Pentair Ltd. filed with the Commission on September 28, 2012 (File No. 001-11625)).</w:t>
      </w:r>
    </w:p>
    <w:p>
      <w:pPr>
        <w:spacing w:after="0" w:line="140" w:lineRule="exact"/>
        <w:rPr>
          <w:sz w:val="20"/>
          <w:szCs w:val="20"/>
          <w:color w:val="auto"/>
        </w:rPr>
      </w:pPr>
    </w:p>
    <w:p>
      <w:pPr>
        <w:ind w:left="1080" w:hanging="719"/>
        <w:spacing w:after="0" w:line="266" w:lineRule="auto"/>
        <w:tabs>
          <w:tab w:leader="none" w:pos="1060" w:val="left"/>
        </w:tabs>
        <w:rPr>
          <w:rFonts w:ascii="Times New Roman" w:cs="Times New Roman" w:eastAsia="Times New Roman" w:hAnsi="Times New Roman"/>
          <w:sz w:val="18"/>
          <w:szCs w:val="18"/>
          <w:b w:val="1"/>
          <w:bCs w:val="1"/>
          <w:color w:val="0000FF"/>
        </w:rPr>
      </w:pPr>
      <w:hyperlink r:id="rId28">
        <w:r>
          <w:rPr>
            <w:rFonts w:ascii="Times New Roman" w:cs="Times New Roman" w:eastAsia="Times New Roman" w:hAnsi="Times New Roman"/>
            <w:sz w:val="18"/>
            <w:szCs w:val="18"/>
            <w:b w:val="1"/>
            <w:bCs w:val="1"/>
            <w:u w:val="single" w:color="auto"/>
            <w:color w:val="0000FF"/>
          </w:rPr>
          <w:t>4.3</w:t>
        </w:r>
      </w:hyperlink>
      <w:r>
        <w:rPr>
          <w:rFonts w:ascii="Times New Roman" w:cs="Times New Roman" w:eastAsia="Times New Roman" w:hAnsi="Times New Roman"/>
          <w:sz w:val="18"/>
          <w:szCs w:val="18"/>
          <w:b w:val="1"/>
          <w:bCs w:val="1"/>
          <w:color w:val="0000FF"/>
        </w:rPr>
        <w:tab/>
        <w:t>Fourth Supplemental Indenture, dated as of November 26, 2012, among Pentair Finance S.A. (as Issuer), Pentair Ltd. (as Guarantor) and Wells Fargo Bank, National Association (as Trustee) (Incorporated by reference to Exhibit 4.2 in the Current Report on Form 8-K of Pentair Ltd. filed with the Commission on November 28, 2012 (File No. 001-11625)).</w:t>
      </w:r>
    </w:p>
    <w:p>
      <w:pPr>
        <w:spacing w:after="0" w:line="136" w:lineRule="exact"/>
        <w:rPr>
          <w:sz w:val="20"/>
          <w:szCs w:val="20"/>
          <w:color w:val="auto"/>
        </w:rPr>
      </w:pPr>
    </w:p>
    <w:p>
      <w:pPr>
        <w:ind w:left="1080" w:right="140" w:hanging="719"/>
        <w:spacing w:after="0" w:line="266" w:lineRule="auto"/>
        <w:tabs>
          <w:tab w:leader="none" w:pos="1060" w:val="left"/>
        </w:tabs>
        <w:rPr>
          <w:rFonts w:ascii="Times New Roman" w:cs="Times New Roman" w:eastAsia="Times New Roman" w:hAnsi="Times New Roman"/>
          <w:sz w:val="18"/>
          <w:szCs w:val="18"/>
          <w:b w:val="1"/>
          <w:bCs w:val="1"/>
          <w:color w:val="0000FF"/>
        </w:rPr>
      </w:pPr>
      <w:hyperlink r:id="rId29">
        <w:r>
          <w:rPr>
            <w:rFonts w:ascii="Times New Roman" w:cs="Times New Roman" w:eastAsia="Times New Roman" w:hAnsi="Times New Roman"/>
            <w:sz w:val="18"/>
            <w:szCs w:val="18"/>
            <w:b w:val="1"/>
            <w:bCs w:val="1"/>
            <w:u w:val="single" w:color="auto"/>
            <w:color w:val="0000FF"/>
          </w:rPr>
          <w:t>4.4</w:t>
        </w:r>
      </w:hyperlink>
      <w:r>
        <w:rPr>
          <w:rFonts w:ascii="Times New Roman" w:cs="Times New Roman" w:eastAsia="Times New Roman" w:hAnsi="Times New Roman"/>
          <w:sz w:val="18"/>
          <w:szCs w:val="18"/>
          <w:b w:val="1"/>
          <w:bCs w:val="1"/>
          <w:color w:val="0000FF"/>
        </w:rPr>
        <w:tab/>
        <w:t>Fifth Supplemental Indenture, dated as of December 18, 2012, among Pentair Finance S.A. (as Issuer), Pentair Ltd. (as Guarantor) and Wells Fargo Bank, National Association (as Trustee) (Incorporated by reference to Exhibit 4.1 in the Current Report on Form 8-K of Pentair Ltd. filed with the Commission on December 18, 2012 (File No. 001-11625)).</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60"/>
          </w:cols>
          <w:pgMar w:left="240" w:top="576" w:right="299" w:bottom="1440" w:gutter="0" w:footer="0" w:header="0"/>
        </w:sectPr>
      </w:pPr>
    </w:p>
    <w:bookmarkStart w:id="92" w:name="page93"/>
    <w:bookmarkEnd w:id="92"/>
    <w:p>
      <w:pPr>
        <w:jc w:val="both"/>
        <w:ind w:right="100" w:hanging="719"/>
        <w:spacing w:after="0" w:line="266" w:lineRule="auto"/>
        <w:rPr>
          <w:rFonts w:ascii="Times New Roman" w:cs="Times New Roman" w:eastAsia="Times New Roman" w:hAnsi="Times New Roman"/>
          <w:sz w:val="18"/>
          <w:szCs w:val="18"/>
          <w:b w:val="1"/>
          <w:bCs w:val="1"/>
          <w:color w:val="0000FF"/>
        </w:rPr>
      </w:pPr>
      <w:hyperlink r:id="rId30">
        <w:r>
          <w:rPr>
            <w:rFonts w:ascii="Times New Roman" w:cs="Times New Roman" w:eastAsia="Times New Roman" w:hAnsi="Times New Roman"/>
            <w:sz w:val="18"/>
            <w:szCs w:val="18"/>
            <w:b w:val="1"/>
            <w:bCs w:val="1"/>
            <w:u w:val="single" w:color="auto"/>
            <w:color w:val="0000FF"/>
          </w:rPr>
          <w:t>4.5</w:t>
        </w:r>
      </w:hyperlink>
      <w:r>
        <w:rPr>
          <w:rFonts w:ascii="Times New Roman" w:cs="Times New Roman" w:eastAsia="Times New Roman" w:hAnsi="Times New Roman"/>
          <w:sz w:val="18"/>
          <w:szCs w:val="18"/>
          <w:b w:val="1"/>
          <w:bCs w:val="1"/>
          <w:color w:val="0000FF"/>
        </w:rPr>
        <w:t xml:space="preserve"> Sixth Supplemental Indenture, dated as of May 20, 2014, among Pentair Finance S.A., Pentair Ltd., Pentair Investments Switzerland GmbH, Pentair plc and Wells Fargo Bank, National Association, as trustee (Incorporated by reference to Exhibit 4.3 in the Current Report on Form 8-K of Pentair plc filed with the Commission on May 20, 2014 (File No. 001-11625)).</w:t>
      </w:r>
    </w:p>
    <w:p>
      <w:pPr>
        <w:spacing w:after="0" w:line="136" w:lineRule="exact"/>
        <w:rPr>
          <w:sz w:val="20"/>
          <w:szCs w:val="20"/>
          <w:color w:val="auto"/>
        </w:rPr>
      </w:pPr>
    </w:p>
    <w:p>
      <w:pPr>
        <w:jc w:val="both"/>
        <w:ind w:right="80" w:hanging="719"/>
        <w:spacing w:after="0" w:line="266" w:lineRule="auto"/>
        <w:rPr>
          <w:rFonts w:ascii="Times New Roman" w:cs="Times New Roman" w:eastAsia="Times New Roman" w:hAnsi="Times New Roman"/>
          <w:sz w:val="18"/>
          <w:szCs w:val="18"/>
          <w:b w:val="1"/>
          <w:bCs w:val="1"/>
          <w:color w:val="0000FF"/>
        </w:rPr>
      </w:pPr>
      <w:hyperlink r:id="rId31">
        <w:r>
          <w:rPr>
            <w:rFonts w:ascii="Times New Roman" w:cs="Times New Roman" w:eastAsia="Times New Roman" w:hAnsi="Times New Roman"/>
            <w:sz w:val="18"/>
            <w:szCs w:val="18"/>
            <w:b w:val="1"/>
            <w:bCs w:val="1"/>
            <w:u w:val="single" w:color="auto"/>
            <w:color w:val="0000FF"/>
          </w:rPr>
          <w:t>4.6</w:t>
        </w:r>
      </w:hyperlink>
      <w:r>
        <w:rPr>
          <w:rFonts w:ascii="Times New Roman" w:cs="Times New Roman" w:eastAsia="Times New Roman" w:hAnsi="Times New Roman"/>
          <w:sz w:val="18"/>
          <w:szCs w:val="18"/>
          <w:b w:val="1"/>
          <w:bCs w:val="1"/>
          <w:color w:val="0000FF"/>
        </w:rPr>
        <w:t xml:space="preserve"> Seventh Supplemental Indenture, dated as of May 26, 2017, among Pentair Finance S.A., Pentair plc, Pentair Investments Switzerland GmbH and Wells Fargo Bank, National Association as trustee (Incorporated by reference to Exhibit 4.1 to the Current Report on Form 8-K of Pentair plc filed with the Commission on May 31, 2017 (File No. 001-11625)).</w:t>
      </w:r>
    </w:p>
    <w:p>
      <w:pPr>
        <w:spacing w:after="0" w:line="136" w:lineRule="exact"/>
        <w:rPr>
          <w:sz w:val="20"/>
          <w:szCs w:val="20"/>
          <w:color w:val="auto"/>
        </w:rPr>
      </w:pPr>
    </w:p>
    <w:p>
      <w:pPr>
        <w:ind w:right="300" w:hanging="719"/>
        <w:spacing w:after="0" w:line="282" w:lineRule="auto"/>
        <w:rPr>
          <w:rFonts w:ascii="Times New Roman" w:cs="Times New Roman" w:eastAsia="Times New Roman" w:hAnsi="Times New Roman"/>
          <w:sz w:val="18"/>
          <w:szCs w:val="18"/>
          <w:b w:val="1"/>
          <w:bCs w:val="1"/>
          <w:color w:val="0000FF"/>
        </w:rPr>
      </w:pPr>
      <w:hyperlink r:id="rId32">
        <w:r>
          <w:rPr>
            <w:rFonts w:ascii="Times New Roman" w:cs="Times New Roman" w:eastAsia="Times New Roman" w:hAnsi="Times New Roman"/>
            <w:sz w:val="18"/>
            <w:szCs w:val="18"/>
            <w:b w:val="1"/>
            <w:bCs w:val="1"/>
            <w:u w:val="single" w:color="auto"/>
            <w:color w:val="0000FF"/>
          </w:rPr>
          <w:t>4.7</w:t>
        </w:r>
      </w:hyperlink>
      <w:r>
        <w:rPr>
          <w:rFonts w:ascii="Times New Roman" w:cs="Times New Roman" w:eastAsia="Times New Roman" w:hAnsi="Times New Roman"/>
          <w:sz w:val="18"/>
          <w:szCs w:val="18"/>
          <w:b w:val="1"/>
          <w:bCs w:val="1"/>
          <w:color w:val="0000FF"/>
        </w:rPr>
        <w:t xml:space="preserve"> Senior Indenture, dated May 2, 2011 by and among Pentair, Inc. and Wells Fargo Bank, National Association (Incorporated by reference to Exhibit 4.5 to Pentair, Inc.'s Registration Statement on Form S-3 (Registration 333-173829)).</w:t>
      </w:r>
    </w:p>
    <w:p>
      <w:pPr>
        <w:spacing w:after="0" w:line="121" w:lineRule="exact"/>
        <w:rPr>
          <w:sz w:val="20"/>
          <w:szCs w:val="20"/>
          <w:color w:val="auto"/>
        </w:rPr>
      </w:pPr>
    </w:p>
    <w:p>
      <w:pPr>
        <w:ind w:right="40" w:hanging="719"/>
        <w:spacing w:after="0" w:line="266" w:lineRule="auto"/>
        <w:rPr>
          <w:rFonts w:ascii="Times New Roman" w:cs="Times New Roman" w:eastAsia="Times New Roman" w:hAnsi="Times New Roman"/>
          <w:sz w:val="18"/>
          <w:szCs w:val="18"/>
          <w:b w:val="1"/>
          <w:bCs w:val="1"/>
          <w:color w:val="0000FF"/>
        </w:rPr>
      </w:pPr>
      <w:hyperlink r:id="rId33">
        <w:r>
          <w:rPr>
            <w:rFonts w:ascii="Times New Roman" w:cs="Times New Roman" w:eastAsia="Times New Roman" w:hAnsi="Times New Roman"/>
            <w:sz w:val="18"/>
            <w:szCs w:val="18"/>
            <w:b w:val="1"/>
            <w:bCs w:val="1"/>
            <w:u w:val="single" w:color="auto"/>
            <w:color w:val="0000FF"/>
          </w:rPr>
          <w:t>4.8</w:t>
        </w:r>
      </w:hyperlink>
      <w:r>
        <w:rPr>
          <w:rFonts w:ascii="Times New Roman" w:cs="Times New Roman" w:eastAsia="Times New Roman" w:hAnsi="Times New Roman"/>
          <w:sz w:val="18"/>
          <w:szCs w:val="18"/>
          <w:b w:val="1"/>
          <w:bCs w:val="1"/>
          <w:color w:val="0000FF"/>
        </w:rPr>
        <w:t xml:space="preserve"> First Supplemental Indenture, dated as of May 9, 2011, among Pentair, Inc., the guarantors named therein and Wells Fargo Bank, National Association (Incorporated by reference to Exhibit 4.2 in the Current Report on Form 8-K of Pentair, Inc. filed with the Commission on May 9, 2011 (File No. 000-04689)).</w:t>
      </w:r>
    </w:p>
    <w:p>
      <w:pPr>
        <w:spacing w:after="0" w:line="136" w:lineRule="exact"/>
        <w:rPr>
          <w:sz w:val="20"/>
          <w:szCs w:val="20"/>
          <w:color w:val="auto"/>
        </w:rPr>
      </w:pPr>
    </w:p>
    <w:p>
      <w:pPr>
        <w:ind w:hanging="719"/>
        <w:spacing w:after="0" w:line="266" w:lineRule="auto"/>
        <w:rPr>
          <w:rFonts w:ascii="Times New Roman" w:cs="Times New Roman" w:eastAsia="Times New Roman" w:hAnsi="Times New Roman"/>
          <w:sz w:val="18"/>
          <w:szCs w:val="18"/>
          <w:b w:val="1"/>
          <w:bCs w:val="1"/>
          <w:color w:val="0000FF"/>
        </w:rPr>
      </w:pPr>
      <w:hyperlink r:id="rId34">
        <w:r>
          <w:rPr>
            <w:rFonts w:ascii="Times New Roman" w:cs="Times New Roman" w:eastAsia="Times New Roman" w:hAnsi="Times New Roman"/>
            <w:sz w:val="18"/>
            <w:szCs w:val="18"/>
            <w:b w:val="1"/>
            <w:bCs w:val="1"/>
            <w:u w:val="single" w:color="auto"/>
            <w:color w:val="0000FF"/>
          </w:rPr>
          <w:t>4.9</w:t>
        </w:r>
      </w:hyperlink>
      <w:r>
        <w:rPr>
          <w:rFonts w:ascii="Times New Roman" w:cs="Times New Roman" w:eastAsia="Times New Roman" w:hAnsi="Times New Roman"/>
          <w:sz w:val="18"/>
          <w:szCs w:val="18"/>
          <w:b w:val="1"/>
          <w:bCs w:val="1"/>
          <w:color w:val="0000FF"/>
        </w:rPr>
        <w:t xml:space="preserve"> Third Supplemental Indenture, dated October 1, 2012, among Pentair Ltd., Pentair, Inc. and Wells Fargo Bank, National Association, as trustee (Incorporated by reference to Exhibit 4.1 in the Current Report on Form 8-K of Pentair Ltd. filed with the Commission on October 1, 2012 (File No. 001-11625)).</w:t>
      </w:r>
    </w:p>
    <w:p>
      <w:pPr>
        <w:spacing w:after="0" w:line="136" w:lineRule="exact"/>
        <w:rPr>
          <w:sz w:val="20"/>
          <w:szCs w:val="20"/>
          <w:color w:val="auto"/>
        </w:rPr>
      </w:pPr>
    </w:p>
    <w:p>
      <w:pPr>
        <w:ind w:right="40" w:hanging="764"/>
        <w:spacing w:after="0" w:line="266" w:lineRule="auto"/>
        <w:rPr>
          <w:rFonts w:ascii="Times New Roman" w:cs="Times New Roman" w:eastAsia="Times New Roman" w:hAnsi="Times New Roman"/>
          <w:sz w:val="18"/>
          <w:szCs w:val="18"/>
          <w:b w:val="1"/>
          <w:bCs w:val="1"/>
          <w:color w:val="0000FF"/>
        </w:rPr>
      </w:pPr>
      <w:hyperlink r:id="rId35">
        <w:r>
          <w:rPr>
            <w:rFonts w:ascii="Times New Roman" w:cs="Times New Roman" w:eastAsia="Times New Roman" w:hAnsi="Times New Roman"/>
            <w:sz w:val="18"/>
            <w:szCs w:val="18"/>
            <w:b w:val="1"/>
            <w:bCs w:val="1"/>
            <w:u w:val="single" w:color="auto"/>
            <w:color w:val="0000FF"/>
          </w:rPr>
          <w:t>4.10</w:t>
        </w:r>
      </w:hyperlink>
      <w:r>
        <w:rPr>
          <w:rFonts w:ascii="Times New Roman" w:cs="Times New Roman" w:eastAsia="Times New Roman" w:hAnsi="Times New Roman"/>
          <w:sz w:val="18"/>
          <w:szCs w:val="18"/>
          <w:b w:val="1"/>
          <w:bCs w:val="1"/>
          <w:color w:val="0000FF"/>
        </w:rPr>
        <w:t xml:space="preserve"> Fourth Supplemental Indenture, dated as of December 17, 2012, among Pentair, Inc. (as Issuer), Pentair Ltd. (as Guarantor) and Wells Fargo Bank, National Association (as Trustee) (Incorporated by reference to Exhibit 4.2 in the Current Report on Form 8-K of Pentair Ltd. filed with the Commission on December 18, 2012 (File No. 001-11625)).</w:t>
      </w:r>
    </w:p>
    <w:p>
      <w:pPr>
        <w:spacing w:after="0" w:line="136" w:lineRule="exact"/>
        <w:rPr>
          <w:sz w:val="20"/>
          <w:szCs w:val="20"/>
          <w:color w:val="auto"/>
        </w:rPr>
      </w:pPr>
    </w:p>
    <w:p>
      <w:pPr>
        <w:jc w:val="both"/>
        <w:ind w:right="20" w:hanging="759"/>
        <w:spacing w:after="0" w:line="266" w:lineRule="auto"/>
        <w:rPr>
          <w:rFonts w:ascii="Times New Roman" w:cs="Times New Roman" w:eastAsia="Times New Roman" w:hAnsi="Times New Roman"/>
          <w:sz w:val="18"/>
          <w:szCs w:val="18"/>
          <w:b w:val="1"/>
          <w:bCs w:val="1"/>
          <w:color w:val="0000FF"/>
        </w:rPr>
      </w:pPr>
      <w:hyperlink r:id="rId36">
        <w:r>
          <w:rPr>
            <w:rFonts w:ascii="Times New Roman" w:cs="Times New Roman" w:eastAsia="Times New Roman" w:hAnsi="Times New Roman"/>
            <w:sz w:val="18"/>
            <w:szCs w:val="18"/>
            <w:b w:val="1"/>
            <w:bCs w:val="1"/>
            <w:u w:val="single" w:color="auto"/>
            <w:color w:val="0000FF"/>
          </w:rPr>
          <w:t>4.11</w:t>
        </w:r>
      </w:hyperlink>
      <w:r>
        <w:rPr>
          <w:rFonts w:ascii="Times New Roman" w:cs="Times New Roman" w:eastAsia="Times New Roman" w:hAnsi="Times New Roman"/>
          <w:sz w:val="18"/>
          <w:szCs w:val="18"/>
          <w:b w:val="1"/>
          <w:bCs w:val="1"/>
          <w:color w:val="0000FF"/>
        </w:rPr>
        <w:t xml:space="preserve"> Fifth Supplemental Indenture, dated as of May 20, 2014, among Pentair, Inc., Pentair Ltd., Pentair Investments Switzerland GmbH, Pentair plc and Wells Fargo Bank, National Association, as trustee (Incorporated by reference to Exhibit 4.2 in the Current Report on Form 8-K of Pentair plc filed with the Commission on May 20, 2014 (File No. 001-11625)).</w:t>
      </w:r>
    </w:p>
    <w:p>
      <w:pPr>
        <w:spacing w:after="0" w:line="136" w:lineRule="exact"/>
        <w:rPr>
          <w:sz w:val="20"/>
          <w:szCs w:val="20"/>
          <w:color w:val="auto"/>
        </w:rPr>
      </w:pPr>
    </w:p>
    <w:p>
      <w:pPr>
        <w:jc w:val="both"/>
        <w:ind w:right="140" w:hanging="764"/>
        <w:spacing w:after="0" w:line="266" w:lineRule="auto"/>
        <w:rPr>
          <w:rFonts w:ascii="Times New Roman" w:cs="Times New Roman" w:eastAsia="Times New Roman" w:hAnsi="Times New Roman"/>
          <w:sz w:val="18"/>
          <w:szCs w:val="18"/>
          <w:b w:val="1"/>
          <w:bCs w:val="1"/>
          <w:color w:val="0000FF"/>
        </w:rPr>
      </w:pPr>
      <w:hyperlink r:id="rId37">
        <w:r>
          <w:rPr>
            <w:rFonts w:ascii="Times New Roman" w:cs="Times New Roman" w:eastAsia="Times New Roman" w:hAnsi="Times New Roman"/>
            <w:sz w:val="18"/>
            <w:szCs w:val="18"/>
            <w:b w:val="1"/>
            <w:bCs w:val="1"/>
            <w:u w:val="single" w:color="auto"/>
            <w:color w:val="0000FF"/>
          </w:rPr>
          <w:t>4.12</w:t>
        </w:r>
      </w:hyperlink>
      <w:r>
        <w:rPr>
          <w:rFonts w:ascii="Times New Roman" w:cs="Times New Roman" w:eastAsia="Times New Roman" w:hAnsi="Times New Roman"/>
          <w:sz w:val="18"/>
          <w:szCs w:val="18"/>
          <w:b w:val="1"/>
          <w:bCs w:val="1"/>
          <w:color w:val="0000FF"/>
        </w:rPr>
        <w:t xml:space="preserve"> Sixth Supplemental Indenture, dated as of May 26, 2017, among Pentair, Inc., Pentair plc, Pentair Investments Switzerland GmbH and Wells Fargo Bank, National Association, as trustee (Incorporated by reference to Exhibit 4.2 to the Current Report on Form 8-K of Pentair plc filed with the Commission on May 31, 2017 (File No. 001-11625)).</w:t>
      </w:r>
    </w:p>
    <w:p>
      <w:pPr>
        <w:spacing w:after="0" w:line="136" w:lineRule="exact"/>
        <w:rPr>
          <w:sz w:val="20"/>
          <w:szCs w:val="20"/>
          <w:color w:val="auto"/>
        </w:rPr>
      </w:pPr>
    </w:p>
    <w:p>
      <w:pPr>
        <w:ind w:right="40" w:hanging="764"/>
        <w:spacing w:after="0" w:line="266" w:lineRule="auto"/>
        <w:rPr>
          <w:rFonts w:ascii="Times New Roman" w:cs="Times New Roman" w:eastAsia="Times New Roman" w:hAnsi="Times New Roman"/>
          <w:sz w:val="18"/>
          <w:szCs w:val="18"/>
          <w:b w:val="1"/>
          <w:bCs w:val="1"/>
          <w:color w:val="0000FF"/>
        </w:rPr>
      </w:pPr>
      <w:hyperlink r:id="rId38">
        <w:r>
          <w:rPr>
            <w:rFonts w:ascii="Times New Roman" w:cs="Times New Roman" w:eastAsia="Times New Roman" w:hAnsi="Times New Roman"/>
            <w:sz w:val="18"/>
            <w:szCs w:val="18"/>
            <w:b w:val="1"/>
            <w:bCs w:val="1"/>
            <w:u w:val="single" w:color="auto"/>
            <w:color w:val="0000FF"/>
          </w:rPr>
          <w:t>4.13</w:t>
        </w:r>
      </w:hyperlink>
      <w:r>
        <w:rPr>
          <w:rFonts w:ascii="Times New Roman" w:cs="Times New Roman" w:eastAsia="Times New Roman" w:hAnsi="Times New Roman"/>
          <w:sz w:val="18"/>
          <w:szCs w:val="18"/>
          <w:b w:val="1"/>
          <w:bCs w:val="1"/>
          <w:color w:val="0000FF"/>
        </w:rPr>
        <w:t xml:space="preserve"> Amended and Restated Credit Agreement, dated as of October 3, 2014 among Pentair, plc, Pentair Investments Switzerland GmbH, Pentair Finance, S.A., Pentair, Inc. and the lenders and agents party thereto (Incorporated by reference to Exhibit 4.1 in the Current Report on Form 8-K of Pentair, plc, filed with the Commission on October 3, 2014 (File No. 001-11625)).</w:t>
      </w:r>
    </w:p>
    <w:p>
      <w:pPr>
        <w:spacing w:after="0" w:line="136" w:lineRule="exact"/>
        <w:rPr>
          <w:sz w:val="20"/>
          <w:szCs w:val="20"/>
          <w:color w:val="auto"/>
        </w:rPr>
      </w:pPr>
    </w:p>
    <w:p>
      <w:pPr>
        <w:ind w:right="140" w:hanging="764"/>
        <w:spacing w:after="0" w:line="266" w:lineRule="auto"/>
        <w:rPr>
          <w:rFonts w:ascii="Times New Roman" w:cs="Times New Roman" w:eastAsia="Times New Roman" w:hAnsi="Times New Roman"/>
          <w:sz w:val="18"/>
          <w:szCs w:val="18"/>
          <w:b w:val="1"/>
          <w:bCs w:val="1"/>
          <w:color w:val="0000FF"/>
        </w:rPr>
      </w:pPr>
      <w:hyperlink r:id="rId39">
        <w:r>
          <w:rPr>
            <w:rFonts w:ascii="Times New Roman" w:cs="Times New Roman" w:eastAsia="Times New Roman" w:hAnsi="Times New Roman"/>
            <w:sz w:val="18"/>
            <w:szCs w:val="18"/>
            <w:b w:val="1"/>
            <w:bCs w:val="1"/>
            <w:u w:val="single" w:color="auto"/>
            <w:color w:val="0000FF"/>
          </w:rPr>
          <w:t>4.14</w:t>
        </w:r>
      </w:hyperlink>
      <w:r>
        <w:rPr>
          <w:rFonts w:ascii="Times New Roman" w:cs="Times New Roman" w:eastAsia="Times New Roman" w:hAnsi="Times New Roman"/>
          <w:sz w:val="18"/>
          <w:szCs w:val="18"/>
          <w:b w:val="1"/>
          <w:bCs w:val="1"/>
          <w:color w:val="0000FF"/>
        </w:rPr>
        <w:t xml:space="preserve"> First Amendment, dated as of August 28, 2015, among Pentair, Pentair Investments Switzerland GmbH, Pentair Finance S.A. and the lenders and agents party thereto (Incorporated by reference to Exhibit 4.1 to the Current Report on Form 8-K of Pentair plc filed with the SEC on September 3, 2015 (File No. 001-11625)).</w:t>
      </w:r>
    </w:p>
    <w:p>
      <w:pPr>
        <w:spacing w:after="0" w:line="136" w:lineRule="exact"/>
        <w:rPr>
          <w:sz w:val="20"/>
          <w:szCs w:val="20"/>
          <w:color w:val="auto"/>
        </w:rPr>
      </w:pPr>
    </w:p>
    <w:p>
      <w:pPr>
        <w:ind w:right="340" w:hanging="764"/>
        <w:spacing w:after="0" w:line="266" w:lineRule="auto"/>
        <w:rPr>
          <w:rFonts w:ascii="Times New Roman" w:cs="Times New Roman" w:eastAsia="Times New Roman" w:hAnsi="Times New Roman"/>
          <w:sz w:val="18"/>
          <w:szCs w:val="18"/>
          <w:b w:val="1"/>
          <w:bCs w:val="1"/>
          <w:color w:val="0000FF"/>
        </w:rPr>
      </w:pPr>
      <w:hyperlink r:id="rId40">
        <w:r>
          <w:rPr>
            <w:rFonts w:ascii="Times New Roman" w:cs="Times New Roman" w:eastAsia="Times New Roman" w:hAnsi="Times New Roman"/>
            <w:sz w:val="18"/>
            <w:szCs w:val="18"/>
            <w:b w:val="1"/>
            <w:bCs w:val="1"/>
            <w:u w:val="single" w:color="auto"/>
            <w:color w:val="0000FF"/>
          </w:rPr>
          <w:t>4.15</w:t>
        </w:r>
      </w:hyperlink>
      <w:r>
        <w:rPr>
          <w:rFonts w:ascii="Times New Roman" w:cs="Times New Roman" w:eastAsia="Times New Roman" w:hAnsi="Times New Roman"/>
          <w:sz w:val="18"/>
          <w:szCs w:val="18"/>
          <w:b w:val="1"/>
          <w:bCs w:val="1"/>
          <w:color w:val="0000FF"/>
        </w:rPr>
        <w:t xml:space="preserve"> Second Amendment, dated as of September 2, 2015, among Pentair, Pentair Investments Switzerland GmbH, Pentair Finance S.A. and the lenders and agents party thereto (Incorporated by reference to Exhibit 4.2 to the Current Report on Form 8-K of Pentair plc filed with the Commission on September 3, 2015 (File No. 001-11625)).</w:t>
      </w:r>
    </w:p>
    <w:p>
      <w:pPr>
        <w:spacing w:after="0" w:line="136" w:lineRule="exact"/>
        <w:rPr>
          <w:sz w:val="20"/>
          <w:szCs w:val="20"/>
          <w:color w:val="auto"/>
        </w:rPr>
      </w:pPr>
    </w:p>
    <w:p>
      <w:pPr>
        <w:ind w:right="380" w:hanging="764"/>
        <w:spacing w:after="0" w:line="266" w:lineRule="auto"/>
        <w:rPr>
          <w:rFonts w:ascii="Times New Roman" w:cs="Times New Roman" w:eastAsia="Times New Roman" w:hAnsi="Times New Roman"/>
          <w:sz w:val="18"/>
          <w:szCs w:val="18"/>
          <w:b w:val="1"/>
          <w:bCs w:val="1"/>
          <w:color w:val="0000FF"/>
        </w:rPr>
      </w:pPr>
      <w:hyperlink r:id="rId41">
        <w:r>
          <w:rPr>
            <w:rFonts w:ascii="Times New Roman" w:cs="Times New Roman" w:eastAsia="Times New Roman" w:hAnsi="Times New Roman"/>
            <w:sz w:val="18"/>
            <w:szCs w:val="18"/>
            <w:b w:val="1"/>
            <w:bCs w:val="1"/>
            <w:u w:val="single" w:color="auto"/>
            <w:color w:val="0000FF"/>
          </w:rPr>
          <w:t>4.16</w:t>
        </w:r>
      </w:hyperlink>
      <w:r>
        <w:rPr>
          <w:rFonts w:ascii="Times New Roman" w:cs="Times New Roman" w:eastAsia="Times New Roman" w:hAnsi="Times New Roman"/>
          <w:sz w:val="18"/>
          <w:szCs w:val="18"/>
          <w:b w:val="1"/>
          <w:bCs w:val="1"/>
          <w:color w:val="0000FF"/>
        </w:rPr>
        <w:t xml:space="preserve"> Third Amendment, dated as of September 15, 2016, among Pentair, Pentair Investments Switzerland GmbH, Pentair Finance S.A. and the lenders and agent party thereto (Incorporated by reference to Exhibit 4.1 to the Current Report on Form 8-K of Pentair plc filed with the Commission on September 16, 2016 (File No. 001-11625)).</w:t>
      </w:r>
    </w:p>
    <w:p>
      <w:pPr>
        <w:spacing w:after="0" w:line="136" w:lineRule="exact"/>
        <w:rPr>
          <w:sz w:val="20"/>
          <w:szCs w:val="20"/>
          <w:color w:val="auto"/>
        </w:rPr>
      </w:pPr>
    </w:p>
    <w:p>
      <w:pPr>
        <w:ind w:right="80" w:hanging="764"/>
        <w:spacing w:after="0" w:line="266" w:lineRule="auto"/>
        <w:rPr>
          <w:rFonts w:ascii="Times New Roman" w:cs="Times New Roman" w:eastAsia="Times New Roman" w:hAnsi="Times New Roman"/>
          <w:sz w:val="18"/>
          <w:szCs w:val="18"/>
          <w:b w:val="1"/>
          <w:bCs w:val="1"/>
          <w:color w:val="0000FF"/>
        </w:rPr>
      </w:pPr>
      <w:hyperlink r:id="rId42">
        <w:r>
          <w:rPr>
            <w:rFonts w:ascii="Times New Roman" w:cs="Times New Roman" w:eastAsia="Times New Roman" w:hAnsi="Times New Roman"/>
            <w:sz w:val="18"/>
            <w:szCs w:val="18"/>
            <w:b w:val="1"/>
            <w:bCs w:val="1"/>
            <w:u w:val="single" w:color="auto"/>
            <w:color w:val="0000FF"/>
          </w:rPr>
          <w:t>4.17</w:t>
        </w:r>
      </w:hyperlink>
      <w:r>
        <w:rPr>
          <w:rFonts w:ascii="Times New Roman" w:cs="Times New Roman" w:eastAsia="Times New Roman" w:hAnsi="Times New Roman"/>
          <w:sz w:val="18"/>
          <w:szCs w:val="18"/>
          <w:b w:val="1"/>
          <w:bCs w:val="1"/>
          <w:color w:val="0000FF"/>
        </w:rPr>
        <w:t xml:space="preserve"> Indenture, dated as of September 16, 2015, among Pentair Finance S.A. (as Issuer), Pentair plc (as Parent and Guarantor), Pentair Investments Switzerland GmbH (as Guarantor) and U.S. Bank National Association (as Trustee) (Incorporated by reference to Exhibit 4.1 to the Current Report on Form 8-K of Pentair plc filed with the Commission on September 16, 2015 (File No. 001-11625)).</w:t>
      </w:r>
    </w:p>
    <w:p>
      <w:pPr>
        <w:spacing w:after="0" w:line="136" w:lineRule="exact"/>
        <w:rPr>
          <w:sz w:val="20"/>
          <w:szCs w:val="20"/>
          <w:color w:val="auto"/>
        </w:rPr>
      </w:pPr>
    </w:p>
    <w:p>
      <w:pPr>
        <w:jc w:val="both"/>
        <w:ind w:right="80" w:hanging="764"/>
        <w:spacing w:after="0" w:line="266" w:lineRule="auto"/>
        <w:rPr>
          <w:rFonts w:ascii="Times New Roman" w:cs="Times New Roman" w:eastAsia="Times New Roman" w:hAnsi="Times New Roman"/>
          <w:sz w:val="18"/>
          <w:szCs w:val="18"/>
          <w:b w:val="1"/>
          <w:bCs w:val="1"/>
          <w:color w:val="0000FF"/>
        </w:rPr>
      </w:pPr>
      <w:hyperlink r:id="rId43">
        <w:r>
          <w:rPr>
            <w:rFonts w:ascii="Times New Roman" w:cs="Times New Roman" w:eastAsia="Times New Roman" w:hAnsi="Times New Roman"/>
            <w:sz w:val="18"/>
            <w:szCs w:val="18"/>
            <w:b w:val="1"/>
            <w:bCs w:val="1"/>
            <w:u w:val="single" w:color="auto"/>
            <w:color w:val="0000FF"/>
          </w:rPr>
          <w:t>4.18</w:t>
        </w:r>
      </w:hyperlink>
      <w:r>
        <w:rPr>
          <w:rFonts w:ascii="Times New Roman" w:cs="Times New Roman" w:eastAsia="Times New Roman" w:hAnsi="Times New Roman"/>
          <w:sz w:val="18"/>
          <w:szCs w:val="18"/>
          <w:b w:val="1"/>
          <w:bCs w:val="1"/>
          <w:color w:val="0000FF"/>
        </w:rPr>
        <w:t xml:space="preserve"> First Supplemental Indenture, dated as of September 16, 2015, among Pentair Finance S.A. (as Issuer), Pentair plc (as Parent and Guarantor), Pentair Investments Switzerland GmbH (as Guarantor) and U.S. Bank National Association (as Trustee) (Incorporated by reference to Exhibit 4.2 to the Current Report on Form 8-K of Pentair plc filed with the SEC on September 16, 2015 (File No. 001-11625)).</w:t>
      </w:r>
    </w:p>
    <w:p>
      <w:pPr>
        <w:spacing w:after="0" w:line="136" w:lineRule="exact"/>
        <w:rPr>
          <w:sz w:val="20"/>
          <w:szCs w:val="20"/>
          <w:color w:val="auto"/>
        </w:rPr>
      </w:pPr>
    </w:p>
    <w:p>
      <w:pPr>
        <w:ind w:right="280" w:hanging="764"/>
        <w:spacing w:after="0" w:line="261" w:lineRule="auto"/>
        <w:rPr>
          <w:rFonts w:ascii="Times New Roman" w:cs="Times New Roman" w:eastAsia="Times New Roman" w:hAnsi="Times New Roman"/>
          <w:sz w:val="18"/>
          <w:szCs w:val="18"/>
          <w:b w:val="1"/>
          <w:bCs w:val="1"/>
          <w:color w:val="0000FF"/>
        </w:rPr>
      </w:pPr>
      <w:hyperlink r:id="rId44">
        <w:r>
          <w:rPr>
            <w:rFonts w:ascii="Times New Roman" w:cs="Times New Roman" w:eastAsia="Times New Roman" w:hAnsi="Times New Roman"/>
            <w:sz w:val="18"/>
            <w:szCs w:val="18"/>
            <w:b w:val="1"/>
            <w:bCs w:val="1"/>
            <w:u w:val="single" w:color="auto"/>
            <w:color w:val="0000FF"/>
          </w:rPr>
          <w:t>4.19</w:t>
        </w:r>
      </w:hyperlink>
      <w:r>
        <w:rPr>
          <w:rFonts w:ascii="Times New Roman" w:cs="Times New Roman" w:eastAsia="Times New Roman" w:hAnsi="Times New Roman"/>
          <w:sz w:val="18"/>
          <w:szCs w:val="18"/>
          <w:b w:val="1"/>
          <w:bCs w:val="1"/>
          <w:color w:val="0000FF"/>
        </w:rPr>
        <w:t xml:space="preserve"> Second Supplemental Indenture, dated as of September 16, 2015, among Pentair Finance S.A. (as Issuer), Pentair plc (as Parent and Guarantor), Pentair Investments Switzerland GmbH (as Guarantor) and U.S. Bank National Association (as Trustee) (Incorporated by reference to Exhibit 4.3 to the Current Report on Form 8-K of Pentair plc filed with the Commission on September 16, 2015 (File No. 001-11625)).</w:t>
      </w:r>
    </w:p>
    <w:p>
      <w:pPr>
        <w:sectPr>
          <w:pgSz w:w="11900" w:h="16838" w:orient="portrait"/>
          <w:cols w:equalWidth="0" w:num="1">
            <w:col w:w="10300"/>
          </w:cols>
          <w:pgMar w:left="1320" w:top="738" w:right="279" w:bottom="1440" w:gutter="0" w:footer="0" w:header="0"/>
        </w:sectPr>
      </w:pPr>
    </w:p>
    <w:p>
      <w:pPr>
        <w:spacing w:after="0" w:line="360"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300"/>
          </w:cols>
          <w:pgMar w:left="1320" w:top="738" w:right="279" w:bottom="1440" w:gutter="0" w:footer="0" w:header="0"/>
          <w:type w:val="continuous"/>
        </w:sectPr>
      </w:pPr>
    </w:p>
    <w:bookmarkStart w:id="93" w:name="page94"/>
    <w:bookmarkEnd w:id="93"/>
    <w:p>
      <w:pPr>
        <w:jc w:val="both"/>
        <w:ind w:left="820" w:right="40" w:hanging="764"/>
        <w:spacing w:after="0" w:line="289" w:lineRule="auto"/>
        <w:tabs>
          <w:tab w:leader="none" w:pos="800" w:val="left"/>
        </w:tabs>
        <w:rPr>
          <w:rFonts w:ascii="Times New Roman" w:cs="Times New Roman" w:eastAsia="Times New Roman" w:hAnsi="Times New Roman"/>
          <w:sz w:val="18"/>
          <w:szCs w:val="18"/>
          <w:b w:val="1"/>
          <w:bCs w:val="1"/>
          <w:color w:val="0000FF"/>
        </w:rPr>
      </w:pPr>
      <w:hyperlink r:id="rId45">
        <w:r>
          <w:rPr>
            <w:rFonts w:ascii="Times New Roman" w:cs="Times New Roman" w:eastAsia="Times New Roman" w:hAnsi="Times New Roman"/>
            <w:sz w:val="18"/>
            <w:szCs w:val="18"/>
            <w:b w:val="1"/>
            <w:bCs w:val="1"/>
            <w:u w:val="single" w:color="auto"/>
            <w:color w:val="0000FF"/>
          </w:rPr>
          <w:t>4.20</w:t>
        </w:r>
      </w:hyperlink>
      <w:r>
        <w:rPr>
          <w:rFonts w:ascii="Times New Roman" w:cs="Times New Roman" w:eastAsia="Times New Roman" w:hAnsi="Times New Roman"/>
          <w:sz w:val="18"/>
          <w:szCs w:val="18"/>
          <w:b w:val="1"/>
          <w:bCs w:val="1"/>
          <w:color w:val="0000FF"/>
        </w:rPr>
        <w:tab/>
      </w:r>
      <w:r>
        <w:rPr>
          <w:rFonts w:ascii="Times New Roman" w:cs="Times New Roman" w:eastAsia="Times New Roman" w:hAnsi="Times New Roman"/>
          <w:sz w:val="17"/>
          <w:szCs w:val="17"/>
          <w:b w:val="1"/>
          <w:bCs w:val="1"/>
          <w:color w:val="0000FF"/>
        </w:rPr>
        <w:t>Third Supplemental Indenture, dated as of September 16, 2015, among Pentair Finance S.A. (as Issuer), Pentair plc (as Parent and Guarantor), Pentair Investments Switzerland GmbH (as Guarantor) and U.S. Bank National Association (as Trustee) (Incorporated by reference to Exhibit 4.4 to the Current Report on Form 8-K of Pentair plc filed with the Commission on September 16, 2015 (File No. 001-11625)).</w:t>
      </w:r>
    </w:p>
    <w:p>
      <w:pPr>
        <w:spacing w:after="0" w:line="118" w:lineRule="exact"/>
        <w:rPr>
          <w:sz w:val="20"/>
          <w:szCs w:val="20"/>
          <w:color w:val="auto"/>
        </w:rPr>
      </w:pPr>
    </w:p>
    <w:p>
      <w:pPr>
        <w:ind w:left="820" w:right="260" w:hanging="764"/>
        <w:spacing w:after="0" w:line="261" w:lineRule="auto"/>
        <w:tabs>
          <w:tab w:leader="none" w:pos="800" w:val="left"/>
        </w:tabs>
        <w:rPr>
          <w:rFonts w:ascii="Times New Roman" w:cs="Times New Roman" w:eastAsia="Times New Roman" w:hAnsi="Times New Roman"/>
          <w:sz w:val="18"/>
          <w:szCs w:val="18"/>
          <w:b w:val="1"/>
          <w:bCs w:val="1"/>
          <w:color w:val="0000FF"/>
        </w:rPr>
      </w:pPr>
      <w:hyperlink r:id="rId46">
        <w:r>
          <w:rPr>
            <w:rFonts w:ascii="Times New Roman" w:cs="Times New Roman" w:eastAsia="Times New Roman" w:hAnsi="Times New Roman"/>
            <w:sz w:val="18"/>
            <w:szCs w:val="18"/>
            <w:b w:val="1"/>
            <w:bCs w:val="1"/>
            <w:u w:val="single" w:color="auto"/>
            <w:color w:val="0000FF"/>
          </w:rPr>
          <w:t>4.21</w:t>
        </w:r>
      </w:hyperlink>
      <w:r>
        <w:rPr>
          <w:rFonts w:ascii="Times New Roman" w:cs="Times New Roman" w:eastAsia="Times New Roman" w:hAnsi="Times New Roman"/>
          <w:sz w:val="18"/>
          <w:szCs w:val="18"/>
          <w:b w:val="1"/>
          <w:bCs w:val="1"/>
          <w:color w:val="0000FF"/>
        </w:rPr>
        <w:tab/>
        <w:t>Fourth Supplemental Indenture, dated as of September 17, 2015, among Pentair Finance S.A. (as Issuer), Pentair plc (as Parent and Guarantor), Pentair Investments Switzerland GmbH (as Guarantor) and U.S. Bank National Association (as Trustee) (Incorporated by reference to Exhibit 4.2 to the Current Report on Form 8-K of Pentair plc filed with the Commission on September 17, 2015 (File No. 001-11625)).</w:t>
      </w:r>
    </w:p>
    <w:p>
      <w:pPr>
        <w:spacing w:after="0" w:line="140" w:lineRule="exact"/>
        <w:rPr>
          <w:sz w:val="20"/>
          <w:szCs w:val="20"/>
          <w:color w:val="auto"/>
        </w:rPr>
      </w:pPr>
    </w:p>
    <w:p>
      <w:pPr>
        <w:ind w:left="820" w:hanging="764"/>
        <w:spacing w:after="0" w:line="266" w:lineRule="auto"/>
        <w:tabs>
          <w:tab w:leader="none" w:pos="800" w:val="left"/>
        </w:tabs>
        <w:rPr>
          <w:rFonts w:ascii="Times New Roman" w:cs="Times New Roman" w:eastAsia="Times New Roman" w:hAnsi="Times New Roman"/>
          <w:sz w:val="18"/>
          <w:szCs w:val="18"/>
          <w:b w:val="1"/>
          <w:bCs w:val="1"/>
          <w:color w:val="0000FF"/>
        </w:rPr>
      </w:pPr>
      <w:hyperlink r:id="rId47">
        <w:r>
          <w:rPr>
            <w:rFonts w:ascii="Times New Roman" w:cs="Times New Roman" w:eastAsia="Times New Roman" w:hAnsi="Times New Roman"/>
            <w:sz w:val="18"/>
            <w:szCs w:val="18"/>
            <w:b w:val="1"/>
            <w:bCs w:val="1"/>
            <w:u w:val="single" w:color="auto"/>
            <w:color w:val="0000FF"/>
          </w:rPr>
          <w:t>4.22</w:t>
        </w:r>
      </w:hyperlink>
      <w:r>
        <w:rPr>
          <w:rFonts w:ascii="Times New Roman" w:cs="Times New Roman" w:eastAsia="Times New Roman" w:hAnsi="Times New Roman"/>
          <w:sz w:val="18"/>
          <w:szCs w:val="18"/>
          <w:b w:val="1"/>
          <w:bCs w:val="1"/>
          <w:color w:val="0000FF"/>
        </w:rPr>
        <w:tab/>
        <w:t>Fifth Supplemental Indenture, dated as of May 26, 2017, among Pentair Finance S.A., Pentair plc, Pentair Investments Switzerland GmbH and U.S. Bank National Association, as trustee (Incorporated by reference to Exhibit 4.3 to the Current Report on Form 8-K of Pentair plc filed with the Commission on May 31, 2017 (File No. 001-11625)).</w:t>
      </w:r>
    </w:p>
    <w:p>
      <w:pPr>
        <w:spacing w:after="0" w:line="136" w:lineRule="exact"/>
        <w:rPr>
          <w:sz w:val="20"/>
          <w:szCs w:val="20"/>
          <w:color w:val="auto"/>
        </w:rPr>
      </w:pPr>
    </w:p>
    <w:p>
      <w:pPr>
        <w:ind w:left="820" w:right="320" w:hanging="764"/>
        <w:spacing w:after="0" w:line="266" w:lineRule="auto"/>
        <w:tabs>
          <w:tab w:leader="none" w:pos="800" w:val="left"/>
        </w:tabs>
        <w:rPr>
          <w:rFonts w:ascii="Times New Roman" w:cs="Times New Roman" w:eastAsia="Times New Roman" w:hAnsi="Times New Roman"/>
          <w:sz w:val="18"/>
          <w:szCs w:val="18"/>
          <w:b w:val="1"/>
          <w:bCs w:val="1"/>
          <w:color w:val="0000FF"/>
        </w:rPr>
      </w:pPr>
      <w:hyperlink r:id="rId48">
        <w:r>
          <w:rPr>
            <w:rFonts w:ascii="Times New Roman" w:cs="Times New Roman" w:eastAsia="Times New Roman" w:hAnsi="Times New Roman"/>
            <w:sz w:val="18"/>
            <w:szCs w:val="18"/>
            <w:b w:val="1"/>
            <w:bCs w:val="1"/>
            <w:u w:val="single" w:color="auto"/>
            <w:color w:val="0000FF"/>
          </w:rPr>
          <w:t>10.1</w:t>
        </w:r>
      </w:hyperlink>
      <w:r>
        <w:rPr>
          <w:rFonts w:ascii="Times New Roman" w:cs="Times New Roman" w:eastAsia="Times New Roman" w:hAnsi="Times New Roman"/>
          <w:sz w:val="18"/>
          <w:szCs w:val="18"/>
          <w:b w:val="1"/>
          <w:bCs w:val="1"/>
          <w:color w:val="0000FF"/>
        </w:rPr>
        <w:tab/>
        <w:t>Tax Sharing Agreement, dated September 28, 2012 by and among Pentair Ltd., Tyco International Ltd. and The ADT Corporation (Incorporated by reference to Exhibit 10.1 in the Current Report on Form 8-K of Pentair Ltd. filed with the Commission on September 28, 2012 (File No. 001-11625)).</w:t>
      </w:r>
    </w:p>
    <w:p>
      <w:pPr>
        <w:spacing w:after="0" w:line="136" w:lineRule="exact"/>
        <w:rPr>
          <w:sz w:val="20"/>
          <w:szCs w:val="20"/>
          <w:color w:val="auto"/>
        </w:rPr>
      </w:pPr>
    </w:p>
    <w:p>
      <w:pPr>
        <w:ind w:left="820" w:right="40" w:hanging="764"/>
        <w:spacing w:after="0" w:line="282" w:lineRule="auto"/>
        <w:tabs>
          <w:tab w:leader="none" w:pos="800" w:val="left"/>
        </w:tabs>
        <w:rPr>
          <w:rFonts w:ascii="Times New Roman" w:cs="Times New Roman" w:eastAsia="Times New Roman" w:hAnsi="Times New Roman"/>
          <w:sz w:val="18"/>
          <w:szCs w:val="18"/>
          <w:b w:val="1"/>
          <w:bCs w:val="1"/>
          <w:color w:val="0000FF"/>
        </w:rPr>
      </w:pPr>
      <w:hyperlink r:id="rId49">
        <w:r>
          <w:rPr>
            <w:rFonts w:ascii="Times New Roman" w:cs="Times New Roman" w:eastAsia="Times New Roman" w:hAnsi="Times New Roman"/>
            <w:sz w:val="18"/>
            <w:szCs w:val="18"/>
            <w:b w:val="1"/>
            <w:bCs w:val="1"/>
            <w:u w:val="single" w:color="auto"/>
            <w:color w:val="0000FF"/>
          </w:rPr>
          <w:t>10.2</w:t>
        </w:r>
      </w:hyperlink>
      <w:r>
        <w:rPr>
          <w:rFonts w:ascii="Times New Roman" w:cs="Times New Roman" w:eastAsia="Times New Roman" w:hAnsi="Times New Roman"/>
          <w:sz w:val="18"/>
          <w:szCs w:val="18"/>
          <w:b w:val="1"/>
          <w:bCs w:val="1"/>
          <w:color w:val="0000FF"/>
        </w:rPr>
        <w:tab/>
        <w:t>Pentair plc 2012 Stock and Incentive Plan, as amended and restated effective as of January 1, 2017. (Incorporated by reference to Exhibit 10.2 to the Annual Report on Form 10-K of Pentair plc for the year ended December 31, 2016 (File No. 001-11625)).*</w:t>
      </w:r>
    </w:p>
    <w:p>
      <w:pPr>
        <w:spacing w:after="0" w:line="121" w:lineRule="exact"/>
        <w:rPr>
          <w:sz w:val="20"/>
          <w:szCs w:val="20"/>
          <w:color w:val="auto"/>
        </w:rPr>
      </w:pPr>
    </w:p>
    <w:p>
      <w:pPr>
        <w:ind w:left="820" w:right="40" w:hanging="764"/>
        <w:spacing w:after="0" w:line="282" w:lineRule="auto"/>
        <w:tabs>
          <w:tab w:leader="none" w:pos="800" w:val="left"/>
        </w:tabs>
        <w:rPr>
          <w:rFonts w:ascii="Times New Roman" w:cs="Times New Roman" w:eastAsia="Times New Roman" w:hAnsi="Times New Roman"/>
          <w:sz w:val="18"/>
          <w:szCs w:val="18"/>
          <w:b w:val="1"/>
          <w:bCs w:val="1"/>
          <w:color w:val="0000FF"/>
        </w:rPr>
      </w:pPr>
      <w:hyperlink r:id="rId50">
        <w:r>
          <w:rPr>
            <w:rFonts w:ascii="Times New Roman" w:cs="Times New Roman" w:eastAsia="Times New Roman" w:hAnsi="Times New Roman"/>
            <w:sz w:val="18"/>
            <w:szCs w:val="18"/>
            <w:b w:val="1"/>
            <w:bCs w:val="1"/>
            <w:u w:val="single" w:color="auto"/>
            <w:color w:val="0000FF"/>
          </w:rPr>
          <w:t>10.3</w:t>
        </w:r>
      </w:hyperlink>
      <w:r>
        <w:rPr>
          <w:rFonts w:ascii="Times New Roman" w:cs="Times New Roman" w:eastAsia="Times New Roman" w:hAnsi="Times New Roman"/>
          <w:sz w:val="18"/>
          <w:szCs w:val="18"/>
          <w:b w:val="1"/>
          <w:bCs w:val="1"/>
          <w:color w:val="0000FF"/>
        </w:rPr>
        <w:tab/>
        <w:t>Form of Executive Officer Stock Option Grant Agreement for grants made prior to January 1, 2017 (Incorporated by reference to Exhibit 10.7 in the Current Report on Form 8-K of Pentair plc filed with the Commission on June 3, 2014 (File No. 001-11625)).*</w:t>
      </w:r>
    </w:p>
    <w:p>
      <w:pPr>
        <w:spacing w:after="0" w:line="121" w:lineRule="exact"/>
        <w:rPr>
          <w:sz w:val="20"/>
          <w:szCs w:val="20"/>
          <w:color w:val="auto"/>
        </w:rPr>
      </w:pPr>
    </w:p>
    <w:p>
      <w:pPr>
        <w:ind w:left="820" w:right="380" w:hanging="764"/>
        <w:spacing w:after="0" w:line="282" w:lineRule="auto"/>
        <w:tabs>
          <w:tab w:leader="none" w:pos="800" w:val="left"/>
        </w:tabs>
        <w:rPr>
          <w:rFonts w:ascii="Times New Roman" w:cs="Times New Roman" w:eastAsia="Times New Roman" w:hAnsi="Times New Roman"/>
          <w:sz w:val="18"/>
          <w:szCs w:val="18"/>
          <w:b w:val="1"/>
          <w:bCs w:val="1"/>
          <w:color w:val="0000FF"/>
        </w:rPr>
      </w:pPr>
      <w:hyperlink r:id="rId51">
        <w:r>
          <w:rPr>
            <w:rFonts w:ascii="Times New Roman" w:cs="Times New Roman" w:eastAsia="Times New Roman" w:hAnsi="Times New Roman"/>
            <w:sz w:val="18"/>
            <w:szCs w:val="18"/>
            <w:b w:val="1"/>
            <w:bCs w:val="1"/>
            <w:u w:val="single" w:color="auto"/>
            <w:color w:val="0000FF"/>
          </w:rPr>
          <w:t>10.4</w:t>
        </w:r>
      </w:hyperlink>
      <w:r>
        <w:rPr>
          <w:rFonts w:ascii="Times New Roman" w:cs="Times New Roman" w:eastAsia="Times New Roman" w:hAnsi="Times New Roman"/>
          <w:sz w:val="18"/>
          <w:szCs w:val="18"/>
          <w:b w:val="1"/>
          <w:bCs w:val="1"/>
          <w:color w:val="0000FF"/>
        </w:rPr>
        <w:tab/>
        <w:t>Form of Executive Officer Restricted Stock Unit Grant Agreement for grants made prior to January 1, 2017 (Incorporated by reference to Exhibit 10.8 in the Current Report on Form 8-K of Pentair plc filed with the Commission on June 3, 2014 (File No. 001-11625)).*</w:t>
      </w:r>
    </w:p>
    <w:p>
      <w:pPr>
        <w:spacing w:after="0" w:line="121" w:lineRule="exact"/>
        <w:rPr>
          <w:sz w:val="20"/>
          <w:szCs w:val="20"/>
          <w:color w:val="auto"/>
        </w:rPr>
      </w:pPr>
    </w:p>
    <w:p>
      <w:pPr>
        <w:ind w:left="40"/>
        <w:spacing w:after="0"/>
        <w:tabs>
          <w:tab w:leader="none" w:pos="800" w:val="left"/>
        </w:tabs>
        <w:rPr>
          <w:rFonts w:ascii="Times New Roman" w:cs="Times New Roman" w:eastAsia="Times New Roman" w:hAnsi="Times New Roman"/>
          <w:sz w:val="18"/>
          <w:szCs w:val="18"/>
          <w:b w:val="1"/>
          <w:bCs w:val="1"/>
          <w:color w:val="0000FF"/>
        </w:rPr>
      </w:pPr>
      <w:hyperlink r:id="rId52">
        <w:r>
          <w:rPr>
            <w:rFonts w:ascii="Times New Roman" w:cs="Times New Roman" w:eastAsia="Times New Roman" w:hAnsi="Times New Roman"/>
            <w:sz w:val="18"/>
            <w:szCs w:val="18"/>
            <w:b w:val="1"/>
            <w:bCs w:val="1"/>
            <w:u w:val="single" w:color="auto"/>
            <w:color w:val="0000FF"/>
          </w:rPr>
          <w:t>10.5</w:t>
        </w:r>
      </w:hyperlink>
      <w:r>
        <w:rPr>
          <w:rFonts w:ascii="Times New Roman" w:cs="Times New Roman" w:eastAsia="Times New Roman" w:hAnsi="Times New Roman"/>
          <w:sz w:val="18"/>
          <w:szCs w:val="18"/>
          <w:b w:val="1"/>
          <w:bCs w:val="1"/>
          <w:color w:val="0000FF"/>
        </w:rPr>
        <w:tab/>
      </w:r>
      <w:r>
        <w:rPr>
          <w:rFonts w:ascii="Times New Roman" w:cs="Times New Roman" w:eastAsia="Times New Roman" w:hAnsi="Times New Roman"/>
          <w:sz w:val="17"/>
          <w:szCs w:val="17"/>
          <w:b w:val="1"/>
          <w:bCs w:val="1"/>
          <w:color w:val="0000FF"/>
        </w:rPr>
        <w:t>Form of Executive Officer Performance Unit Grant Agreement for grants made prior to January 1, 2016 (Incorporated by reference to Exhibit</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10.9 in the Current Report on Form 8-K of Pentair plc filed with the Commission on June 3, 2014 (File No. 001-11625)).*</w:t>
      </w:r>
    </w:p>
    <w:p>
      <w:pPr>
        <w:spacing w:after="0" w:line="162" w:lineRule="exact"/>
        <w:rPr>
          <w:sz w:val="20"/>
          <w:szCs w:val="20"/>
          <w:color w:val="auto"/>
        </w:rPr>
      </w:pPr>
    </w:p>
    <w:p>
      <w:pPr>
        <w:ind w:left="820" w:hanging="764"/>
        <w:spacing w:after="0" w:line="282" w:lineRule="auto"/>
        <w:tabs>
          <w:tab w:leader="none" w:pos="800" w:val="left"/>
        </w:tabs>
        <w:rPr>
          <w:rFonts w:ascii="Times New Roman" w:cs="Times New Roman" w:eastAsia="Times New Roman" w:hAnsi="Times New Roman"/>
          <w:sz w:val="18"/>
          <w:szCs w:val="18"/>
          <w:b w:val="1"/>
          <w:bCs w:val="1"/>
          <w:color w:val="0000FF"/>
        </w:rPr>
      </w:pPr>
      <w:hyperlink r:id="rId53">
        <w:r>
          <w:rPr>
            <w:rFonts w:ascii="Times New Roman" w:cs="Times New Roman" w:eastAsia="Times New Roman" w:hAnsi="Times New Roman"/>
            <w:sz w:val="18"/>
            <w:szCs w:val="18"/>
            <w:b w:val="1"/>
            <w:bCs w:val="1"/>
            <w:u w:val="single" w:color="auto"/>
            <w:color w:val="0000FF"/>
          </w:rPr>
          <w:t>10.6</w:t>
        </w:r>
      </w:hyperlink>
      <w:r>
        <w:rPr>
          <w:rFonts w:ascii="Times New Roman" w:cs="Times New Roman" w:eastAsia="Times New Roman" w:hAnsi="Times New Roman"/>
          <w:sz w:val="18"/>
          <w:szCs w:val="18"/>
          <w:b w:val="1"/>
          <w:bCs w:val="1"/>
          <w:color w:val="0000FF"/>
        </w:rPr>
        <w:tab/>
        <w:t>Form of Non-Employee Director Stock Option Grant Agreement (Incorporated by reference to Exhibit 10.10 in the Current Report on Form 8-K of Pentair plc filed with the Commission on June 3, 2014 (File No. 001-11625)).*</w:t>
      </w:r>
    </w:p>
    <w:p>
      <w:pPr>
        <w:spacing w:after="0" w:line="121" w:lineRule="exact"/>
        <w:rPr>
          <w:sz w:val="20"/>
          <w:szCs w:val="20"/>
          <w:color w:val="auto"/>
        </w:rPr>
      </w:pPr>
    </w:p>
    <w:p>
      <w:pPr>
        <w:ind w:left="820" w:right="40" w:hanging="764"/>
        <w:spacing w:after="0" w:line="282" w:lineRule="auto"/>
        <w:tabs>
          <w:tab w:leader="none" w:pos="800" w:val="left"/>
        </w:tabs>
        <w:rPr>
          <w:rFonts w:ascii="Times New Roman" w:cs="Times New Roman" w:eastAsia="Times New Roman" w:hAnsi="Times New Roman"/>
          <w:sz w:val="18"/>
          <w:szCs w:val="18"/>
          <w:b w:val="1"/>
          <w:bCs w:val="1"/>
          <w:color w:val="0000FF"/>
        </w:rPr>
      </w:pPr>
      <w:hyperlink r:id="rId54">
        <w:r>
          <w:rPr>
            <w:rFonts w:ascii="Times New Roman" w:cs="Times New Roman" w:eastAsia="Times New Roman" w:hAnsi="Times New Roman"/>
            <w:sz w:val="18"/>
            <w:szCs w:val="18"/>
            <w:b w:val="1"/>
            <w:bCs w:val="1"/>
            <w:u w:val="single" w:color="auto"/>
            <w:color w:val="0000FF"/>
          </w:rPr>
          <w:t>10.7</w:t>
        </w:r>
      </w:hyperlink>
      <w:r>
        <w:rPr>
          <w:rFonts w:ascii="Times New Roman" w:cs="Times New Roman" w:eastAsia="Times New Roman" w:hAnsi="Times New Roman"/>
          <w:sz w:val="18"/>
          <w:szCs w:val="18"/>
          <w:b w:val="1"/>
          <w:bCs w:val="1"/>
          <w:color w:val="0000FF"/>
        </w:rPr>
        <w:tab/>
        <w:t>Form of Non-Employee Director Restricted Stock Unit Grant Agreement (Incorporated by reference to Exhibit 10.11 in the Current Report on Form 8-K of Pentair plc filed with the Commission on June 3, 2014 (File No. 001-11625)).*</w:t>
      </w:r>
    </w:p>
    <w:p>
      <w:pPr>
        <w:spacing w:after="0" w:line="121" w:lineRule="exact"/>
        <w:rPr>
          <w:sz w:val="20"/>
          <w:szCs w:val="20"/>
          <w:color w:val="auto"/>
        </w:rPr>
      </w:pPr>
    </w:p>
    <w:p>
      <w:pPr>
        <w:ind w:left="820" w:right="340" w:hanging="764"/>
        <w:spacing w:after="0" w:line="282" w:lineRule="auto"/>
        <w:tabs>
          <w:tab w:leader="none" w:pos="800" w:val="left"/>
        </w:tabs>
        <w:rPr>
          <w:rFonts w:ascii="Times New Roman" w:cs="Times New Roman" w:eastAsia="Times New Roman" w:hAnsi="Times New Roman"/>
          <w:sz w:val="18"/>
          <w:szCs w:val="18"/>
          <w:b w:val="1"/>
          <w:bCs w:val="1"/>
          <w:color w:val="0000FF"/>
        </w:rPr>
      </w:pPr>
      <w:hyperlink r:id="rId55">
        <w:r>
          <w:rPr>
            <w:rFonts w:ascii="Times New Roman" w:cs="Times New Roman" w:eastAsia="Times New Roman" w:hAnsi="Times New Roman"/>
            <w:sz w:val="18"/>
            <w:szCs w:val="18"/>
            <w:b w:val="1"/>
            <w:bCs w:val="1"/>
            <w:u w:val="single" w:color="auto"/>
            <w:color w:val="0000FF"/>
          </w:rPr>
          <w:t>10.8</w:t>
        </w:r>
      </w:hyperlink>
      <w:r>
        <w:rPr>
          <w:rFonts w:ascii="Times New Roman" w:cs="Times New Roman" w:eastAsia="Times New Roman" w:hAnsi="Times New Roman"/>
          <w:sz w:val="18"/>
          <w:szCs w:val="18"/>
          <w:b w:val="1"/>
          <w:bCs w:val="1"/>
          <w:color w:val="0000FF"/>
        </w:rPr>
        <w:tab/>
        <w:t>Form of Performance Share Units Grant Agreement for grants made during 2016 (Incorporated by reference to Exhibit 10.8 in the Annual Report on Form 10-K of Pentair plc filed with the Commission on February 26, 2016 (File No. 001-11625)).*</w:t>
      </w:r>
    </w:p>
    <w:p>
      <w:pPr>
        <w:spacing w:after="0" w:line="121" w:lineRule="exact"/>
        <w:rPr>
          <w:sz w:val="20"/>
          <w:szCs w:val="20"/>
          <w:color w:val="auto"/>
        </w:rPr>
      </w:pPr>
    </w:p>
    <w:p>
      <w:pPr>
        <w:ind w:left="40"/>
        <w:spacing w:after="0"/>
        <w:tabs>
          <w:tab w:leader="none" w:pos="800" w:val="left"/>
        </w:tabs>
        <w:rPr>
          <w:rFonts w:ascii="Times New Roman" w:cs="Times New Roman" w:eastAsia="Times New Roman" w:hAnsi="Times New Roman"/>
          <w:sz w:val="18"/>
          <w:szCs w:val="18"/>
          <w:b w:val="1"/>
          <w:bCs w:val="1"/>
          <w:color w:val="0000FF"/>
        </w:rPr>
      </w:pPr>
      <w:hyperlink r:id="rId56">
        <w:r>
          <w:rPr>
            <w:rFonts w:ascii="Times New Roman" w:cs="Times New Roman" w:eastAsia="Times New Roman" w:hAnsi="Times New Roman"/>
            <w:sz w:val="18"/>
            <w:szCs w:val="18"/>
            <w:b w:val="1"/>
            <w:bCs w:val="1"/>
            <w:u w:val="single" w:color="auto"/>
            <w:color w:val="0000FF"/>
          </w:rPr>
          <w:t>10.9</w:t>
        </w:r>
      </w:hyperlink>
      <w:r>
        <w:rPr>
          <w:rFonts w:ascii="Times New Roman" w:cs="Times New Roman" w:eastAsia="Times New Roman" w:hAnsi="Times New Roman"/>
          <w:sz w:val="18"/>
          <w:szCs w:val="18"/>
          <w:b w:val="1"/>
          <w:bCs w:val="1"/>
          <w:color w:val="0000FF"/>
        </w:rPr>
        <w:tab/>
      </w:r>
      <w:r>
        <w:rPr>
          <w:rFonts w:ascii="Times New Roman" w:cs="Times New Roman" w:eastAsia="Times New Roman" w:hAnsi="Times New Roman"/>
          <w:sz w:val="17"/>
          <w:szCs w:val="17"/>
          <w:b w:val="1"/>
          <w:bCs w:val="1"/>
          <w:color w:val="0000FF"/>
        </w:rPr>
        <w:t>Pentair plc 2008 Omnibus Stock Incentive Plan, as amended and restated effective as of January 1, 2017 (Incorporated by reference to Exhibit</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10.9 to the Annual Report on Form 10-K of Pentair plc for the year ended December 31, 2016 (File No. 001-11625)).*</w:t>
      </w:r>
    </w:p>
    <w:p>
      <w:pPr>
        <w:spacing w:after="0" w:line="162" w:lineRule="exact"/>
        <w:rPr>
          <w:sz w:val="20"/>
          <w:szCs w:val="20"/>
          <w:color w:val="auto"/>
        </w:rPr>
      </w:pPr>
    </w:p>
    <w:p>
      <w:pPr>
        <w:spacing w:after="0"/>
        <w:tabs>
          <w:tab w:leader="none" w:pos="800" w:val="left"/>
        </w:tabs>
        <w:rPr>
          <w:rFonts w:ascii="Times New Roman" w:cs="Times New Roman" w:eastAsia="Times New Roman" w:hAnsi="Times New Roman"/>
          <w:sz w:val="18"/>
          <w:szCs w:val="18"/>
          <w:b w:val="1"/>
          <w:bCs w:val="1"/>
          <w:color w:val="0000FF"/>
        </w:rPr>
      </w:pPr>
      <w:hyperlink r:id="rId57">
        <w:r>
          <w:rPr>
            <w:rFonts w:ascii="Times New Roman" w:cs="Times New Roman" w:eastAsia="Times New Roman" w:hAnsi="Times New Roman"/>
            <w:sz w:val="18"/>
            <w:szCs w:val="18"/>
            <w:b w:val="1"/>
            <w:bCs w:val="1"/>
            <w:u w:val="single" w:color="auto"/>
            <w:color w:val="0000FF"/>
          </w:rPr>
          <w:t>10.10</w:t>
        </w:r>
      </w:hyperlink>
      <w:r>
        <w:rPr>
          <w:rFonts w:ascii="Times New Roman" w:cs="Times New Roman" w:eastAsia="Times New Roman" w:hAnsi="Times New Roman"/>
          <w:sz w:val="18"/>
          <w:szCs w:val="18"/>
          <w:b w:val="1"/>
          <w:bCs w:val="1"/>
          <w:color w:val="0000FF"/>
        </w:rPr>
        <w:tab/>
      </w:r>
      <w:r>
        <w:rPr>
          <w:rFonts w:ascii="Times New Roman" w:cs="Times New Roman" w:eastAsia="Times New Roman" w:hAnsi="Times New Roman"/>
          <w:sz w:val="17"/>
          <w:szCs w:val="17"/>
          <w:b w:val="1"/>
          <w:bCs w:val="1"/>
          <w:color w:val="0000FF"/>
        </w:rPr>
        <w:t>Pentair plc Omnibus Stock Incentive Plan, as amended and restated (Incorporated by reference to Exhibit 10.3 in the Current Report on Form</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8-K of Pentair plc filed with the Commission on June 3, 2014 (File No. 001-11625)).*</w:t>
      </w:r>
    </w:p>
    <w:p>
      <w:pPr>
        <w:spacing w:after="0" w:line="162" w:lineRule="exact"/>
        <w:rPr>
          <w:sz w:val="20"/>
          <w:szCs w:val="20"/>
          <w:color w:val="auto"/>
        </w:rPr>
      </w:pPr>
    </w:p>
    <w:p>
      <w:pPr>
        <w:ind w:left="820" w:right="460" w:hanging="804"/>
        <w:spacing w:after="0" w:line="282" w:lineRule="auto"/>
        <w:tabs>
          <w:tab w:leader="none" w:pos="800" w:val="left"/>
        </w:tabs>
        <w:rPr>
          <w:rFonts w:ascii="Times New Roman" w:cs="Times New Roman" w:eastAsia="Times New Roman" w:hAnsi="Times New Roman"/>
          <w:sz w:val="18"/>
          <w:szCs w:val="18"/>
          <w:b w:val="1"/>
          <w:bCs w:val="1"/>
          <w:color w:val="0000FF"/>
        </w:rPr>
      </w:pPr>
      <w:hyperlink r:id="rId58">
        <w:r>
          <w:rPr>
            <w:rFonts w:ascii="Times New Roman" w:cs="Times New Roman" w:eastAsia="Times New Roman" w:hAnsi="Times New Roman"/>
            <w:sz w:val="18"/>
            <w:szCs w:val="18"/>
            <w:b w:val="1"/>
            <w:bCs w:val="1"/>
            <w:u w:val="single" w:color="auto"/>
            <w:color w:val="0000FF"/>
          </w:rPr>
          <w:t>10.11</w:t>
        </w:r>
      </w:hyperlink>
      <w:r>
        <w:rPr>
          <w:rFonts w:ascii="Times New Roman" w:cs="Times New Roman" w:eastAsia="Times New Roman" w:hAnsi="Times New Roman"/>
          <w:sz w:val="18"/>
          <w:szCs w:val="18"/>
          <w:b w:val="1"/>
          <w:bCs w:val="1"/>
          <w:color w:val="0000FF"/>
        </w:rPr>
        <w:tab/>
        <w:t>Pentair plc Outside Directors Nonqualified Stock Option Plan, as amended and restated (Incorporated by reference to Exhibit 10.4 in the Current Report on Form 8-K of Pentair plc filed with the Commission on June 3, 2014 (File No. 001-11625)).*</w:t>
      </w:r>
    </w:p>
    <w:p>
      <w:pPr>
        <w:spacing w:after="0" w:line="121" w:lineRule="exact"/>
        <w:rPr>
          <w:sz w:val="20"/>
          <w:szCs w:val="20"/>
          <w:color w:val="auto"/>
        </w:rPr>
      </w:pPr>
    </w:p>
    <w:p>
      <w:pPr>
        <w:jc w:val="both"/>
        <w:ind w:left="820" w:right="160" w:hanging="809"/>
        <w:spacing w:after="0" w:line="266" w:lineRule="auto"/>
        <w:tabs>
          <w:tab w:leader="none" w:pos="800" w:val="left"/>
        </w:tabs>
        <w:rPr>
          <w:rFonts w:ascii="Times New Roman" w:cs="Times New Roman" w:eastAsia="Times New Roman" w:hAnsi="Times New Roman"/>
          <w:sz w:val="18"/>
          <w:szCs w:val="18"/>
          <w:b w:val="1"/>
          <w:bCs w:val="1"/>
          <w:color w:val="0000FF"/>
        </w:rPr>
      </w:pPr>
      <w:hyperlink r:id="rId59">
        <w:r>
          <w:rPr>
            <w:rFonts w:ascii="Times New Roman" w:cs="Times New Roman" w:eastAsia="Times New Roman" w:hAnsi="Times New Roman"/>
            <w:sz w:val="18"/>
            <w:szCs w:val="18"/>
            <w:b w:val="1"/>
            <w:bCs w:val="1"/>
            <w:u w:val="single" w:color="auto"/>
            <w:color w:val="0000FF"/>
          </w:rPr>
          <w:t>10.12</w:t>
        </w:r>
      </w:hyperlink>
      <w:r>
        <w:rPr>
          <w:rFonts w:ascii="Times New Roman" w:cs="Times New Roman" w:eastAsia="Times New Roman" w:hAnsi="Times New Roman"/>
          <w:sz w:val="18"/>
          <w:szCs w:val="18"/>
          <w:b w:val="1"/>
          <w:bCs w:val="1"/>
          <w:color w:val="0000FF"/>
        </w:rPr>
        <w:tab/>
        <w:t>Form of Assignment and Assumption Agreement, among Pentair, Inc., Pentair Ltd. and the executive officers of Pentair Ltd. relating to Key Executive Employment and Severance Agreement (Incorporated by reference to Exhibit 10.12 in the Current Report on Form 8-K of Pentair Ltd. filed with the Commission on October 1, 2012 (File No. 001-11625)).*</w:t>
      </w:r>
    </w:p>
    <w:p>
      <w:pPr>
        <w:spacing w:after="0" w:line="136" w:lineRule="exact"/>
        <w:rPr>
          <w:sz w:val="20"/>
          <w:szCs w:val="20"/>
          <w:color w:val="auto"/>
        </w:rPr>
      </w:pPr>
    </w:p>
    <w:p>
      <w:pPr>
        <w:ind w:left="820" w:right="520" w:hanging="809"/>
        <w:spacing w:after="0" w:line="282" w:lineRule="auto"/>
        <w:tabs>
          <w:tab w:leader="none" w:pos="800" w:val="left"/>
        </w:tabs>
        <w:rPr>
          <w:rFonts w:ascii="Times New Roman" w:cs="Times New Roman" w:eastAsia="Times New Roman" w:hAnsi="Times New Roman"/>
          <w:sz w:val="18"/>
          <w:szCs w:val="18"/>
          <w:b w:val="1"/>
          <w:bCs w:val="1"/>
          <w:color w:val="0000FF"/>
        </w:rPr>
      </w:pPr>
      <w:hyperlink r:id="rId60">
        <w:r>
          <w:rPr>
            <w:rFonts w:ascii="Times New Roman" w:cs="Times New Roman" w:eastAsia="Times New Roman" w:hAnsi="Times New Roman"/>
            <w:sz w:val="18"/>
            <w:szCs w:val="18"/>
            <w:b w:val="1"/>
            <w:bCs w:val="1"/>
            <w:u w:val="single" w:color="auto"/>
            <w:color w:val="0000FF"/>
          </w:rPr>
          <w:t>10.13</w:t>
        </w:r>
      </w:hyperlink>
      <w:r>
        <w:rPr>
          <w:rFonts w:ascii="Times New Roman" w:cs="Times New Roman" w:eastAsia="Times New Roman" w:hAnsi="Times New Roman"/>
          <w:sz w:val="18"/>
          <w:szCs w:val="18"/>
          <w:b w:val="1"/>
          <w:bCs w:val="1"/>
          <w:color w:val="0000FF"/>
        </w:rPr>
        <w:tab/>
        <w:t>Form of Key Executive Employment and Severance Agreement for Randall J. Hogan (Incorporated by reference to Exhibit 10.10 in the Annual Report on Form 10-K of Pentair, Inc. for the year ended December 31, 2008 (File No. 000-04689)).*</w:t>
      </w:r>
    </w:p>
    <w:p>
      <w:pPr>
        <w:spacing w:after="0" w:line="121" w:lineRule="exact"/>
        <w:rPr>
          <w:sz w:val="20"/>
          <w:szCs w:val="20"/>
          <w:color w:val="auto"/>
        </w:rPr>
      </w:pPr>
    </w:p>
    <w:p>
      <w:pPr>
        <w:ind w:left="820" w:right="80" w:hanging="809"/>
        <w:spacing w:after="0" w:line="313" w:lineRule="auto"/>
        <w:tabs>
          <w:tab w:leader="none" w:pos="800" w:val="left"/>
        </w:tabs>
        <w:rPr>
          <w:rFonts w:ascii="Times New Roman" w:cs="Times New Roman" w:eastAsia="Times New Roman" w:hAnsi="Times New Roman"/>
          <w:sz w:val="18"/>
          <w:szCs w:val="18"/>
          <w:b w:val="1"/>
          <w:bCs w:val="1"/>
          <w:color w:val="0000FF"/>
        </w:rPr>
      </w:pPr>
      <w:hyperlink r:id="rId61">
        <w:r>
          <w:rPr>
            <w:rFonts w:ascii="Times New Roman" w:cs="Times New Roman" w:eastAsia="Times New Roman" w:hAnsi="Times New Roman"/>
            <w:sz w:val="18"/>
            <w:szCs w:val="18"/>
            <w:b w:val="1"/>
            <w:bCs w:val="1"/>
            <w:u w:val="single" w:color="auto"/>
            <w:color w:val="0000FF"/>
          </w:rPr>
          <w:t>10.14</w:t>
        </w:r>
      </w:hyperlink>
      <w:r>
        <w:rPr>
          <w:rFonts w:ascii="Times New Roman" w:cs="Times New Roman" w:eastAsia="Times New Roman" w:hAnsi="Times New Roman"/>
          <w:sz w:val="18"/>
          <w:szCs w:val="18"/>
          <w:b w:val="1"/>
          <w:bCs w:val="1"/>
          <w:color w:val="0000FF"/>
        </w:rPr>
        <w:tab/>
      </w:r>
      <w:r>
        <w:rPr>
          <w:rFonts w:ascii="Times New Roman" w:cs="Times New Roman" w:eastAsia="Times New Roman" w:hAnsi="Times New Roman"/>
          <w:sz w:val="17"/>
          <w:szCs w:val="17"/>
          <w:b w:val="1"/>
          <w:bCs w:val="1"/>
          <w:color w:val="0000FF"/>
        </w:rPr>
        <w:t>Form of Key Executive Employment and Severance Agreement for John L. Stauch, Mark C. Borin and Angela D. Jilek (Incorporated by reference to Exhibit 10.12 in the Annual Report on Form 10-K of Pentair, Inc. for the year ended December 31, 2008 (File No. 000-04689)).*</w:t>
      </w:r>
    </w:p>
    <w:p>
      <w:pPr>
        <w:spacing w:after="0" w:line="31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500" w:top="738" w:right="299" w:bottom="1440" w:gutter="0" w:footer="0" w:header="0"/>
        </w:sectPr>
      </w:pPr>
    </w:p>
    <w:bookmarkStart w:id="94" w:name="page95"/>
    <w:bookmarkEnd w:id="94"/>
    <w:p>
      <w:pPr>
        <w:ind w:left="820" w:right="560" w:hanging="809"/>
        <w:spacing w:after="0" w:line="282" w:lineRule="auto"/>
        <w:tabs>
          <w:tab w:leader="none" w:pos="800" w:val="left"/>
        </w:tabs>
        <w:rPr>
          <w:rFonts w:ascii="Times New Roman" w:cs="Times New Roman" w:eastAsia="Times New Roman" w:hAnsi="Times New Roman"/>
          <w:sz w:val="18"/>
          <w:szCs w:val="18"/>
          <w:b w:val="1"/>
          <w:bCs w:val="1"/>
          <w:color w:val="0000FF"/>
        </w:rPr>
      </w:pPr>
      <w:hyperlink r:id="rId62">
        <w:r>
          <w:rPr>
            <w:rFonts w:ascii="Times New Roman" w:cs="Times New Roman" w:eastAsia="Times New Roman" w:hAnsi="Times New Roman"/>
            <w:sz w:val="18"/>
            <w:szCs w:val="18"/>
            <w:b w:val="1"/>
            <w:bCs w:val="1"/>
            <w:u w:val="single" w:color="auto"/>
            <w:color w:val="0000FF"/>
          </w:rPr>
          <w:t>10.15</w:t>
        </w:r>
      </w:hyperlink>
      <w:r>
        <w:rPr>
          <w:rFonts w:ascii="Times New Roman" w:cs="Times New Roman" w:eastAsia="Times New Roman" w:hAnsi="Times New Roman"/>
          <w:sz w:val="18"/>
          <w:szCs w:val="18"/>
          <w:b w:val="1"/>
          <w:bCs w:val="1"/>
          <w:color w:val="0000FF"/>
        </w:rPr>
        <w:tab/>
        <w:t>Form of Key Executive Employment and Severance Agreement for Karl R. Frykman (Incorporated by reference to Exhibit 10.16 in the Annual Report on Form 10-K of Pentair Ltd. for the year ended December 31, 2013 (File No. 001-11625)).*</w:t>
      </w:r>
    </w:p>
    <w:p>
      <w:pPr>
        <w:spacing w:after="0" w:line="121" w:lineRule="exact"/>
        <w:rPr>
          <w:sz w:val="20"/>
          <w:szCs w:val="20"/>
          <w:color w:val="auto"/>
        </w:rPr>
      </w:pPr>
    </w:p>
    <w:p>
      <w:pPr>
        <w:jc w:val="center"/>
        <w:ind w:right="80"/>
        <w:spacing w:after="0"/>
        <w:tabs>
          <w:tab w:leader="none" w:pos="400" w:val="left"/>
        </w:tabs>
        <w:rPr>
          <w:rFonts w:ascii="Times New Roman" w:cs="Times New Roman" w:eastAsia="Times New Roman" w:hAnsi="Times New Roman"/>
          <w:sz w:val="18"/>
          <w:szCs w:val="18"/>
          <w:b w:val="1"/>
          <w:bCs w:val="1"/>
          <w:color w:val="0000FF"/>
        </w:rPr>
      </w:pPr>
      <w:hyperlink r:id="rId63">
        <w:r>
          <w:rPr>
            <w:rFonts w:ascii="Times New Roman" w:cs="Times New Roman" w:eastAsia="Times New Roman" w:hAnsi="Times New Roman"/>
            <w:sz w:val="18"/>
            <w:szCs w:val="18"/>
            <w:b w:val="1"/>
            <w:bCs w:val="1"/>
            <w:u w:val="single" w:color="auto"/>
            <w:color w:val="0000FF"/>
          </w:rPr>
          <w:t>10.16</w:t>
        </w:r>
      </w:hyperlink>
      <w:r>
        <w:rPr>
          <w:rFonts w:ascii="Times New Roman" w:cs="Times New Roman" w:eastAsia="Times New Roman" w:hAnsi="Times New Roman"/>
          <w:sz w:val="18"/>
          <w:szCs w:val="18"/>
          <w:b w:val="1"/>
          <w:bCs w:val="1"/>
          <w:color w:val="0000FF"/>
        </w:rPr>
        <w:tab/>
      </w:r>
      <w:r>
        <w:rPr>
          <w:rFonts w:ascii="Times New Roman" w:cs="Times New Roman" w:eastAsia="Times New Roman" w:hAnsi="Times New Roman"/>
          <w:sz w:val="17"/>
          <w:szCs w:val="17"/>
          <w:b w:val="1"/>
          <w:bCs w:val="1"/>
          <w:color w:val="0000FF"/>
        </w:rPr>
        <w:t>Form of Key Executive Employment and Severance Agreement for Beth A. Wozniak and John H. Jacko (Incorporated by reference to Exhibit</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10.16 in the Annual Report on Form 10-K of Pentair plc filed with the Commission on February 26, 2016 (File No. 001-11625)).*</w:t>
      </w:r>
    </w:p>
    <w:p>
      <w:pPr>
        <w:spacing w:after="0" w:line="162" w:lineRule="exact"/>
        <w:rPr>
          <w:sz w:val="20"/>
          <w:szCs w:val="20"/>
          <w:color w:val="auto"/>
        </w:rPr>
      </w:pPr>
    </w:p>
    <w:p>
      <w:pPr>
        <w:ind w:left="820" w:hanging="809"/>
        <w:spacing w:after="0" w:line="282" w:lineRule="auto"/>
        <w:tabs>
          <w:tab w:leader="none" w:pos="800" w:val="left"/>
        </w:tabs>
        <w:rPr>
          <w:rFonts w:ascii="Times New Roman" w:cs="Times New Roman" w:eastAsia="Times New Roman" w:hAnsi="Times New Roman"/>
          <w:sz w:val="18"/>
          <w:szCs w:val="18"/>
          <w:b w:val="1"/>
          <w:bCs w:val="1"/>
          <w:color w:val="0000FF"/>
        </w:rPr>
      </w:pPr>
      <w:hyperlink r:id="rId64">
        <w:r>
          <w:rPr>
            <w:rFonts w:ascii="Times New Roman" w:cs="Times New Roman" w:eastAsia="Times New Roman" w:hAnsi="Times New Roman"/>
            <w:sz w:val="18"/>
            <w:szCs w:val="18"/>
            <w:b w:val="1"/>
            <w:bCs w:val="1"/>
            <w:u w:val="single" w:color="auto"/>
            <w:color w:val="0000FF"/>
          </w:rPr>
          <w:t>10.17</w:t>
        </w:r>
      </w:hyperlink>
      <w:r>
        <w:rPr>
          <w:rFonts w:ascii="Times New Roman" w:cs="Times New Roman" w:eastAsia="Times New Roman" w:hAnsi="Times New Roman"/>
          <w:sz w:val="18"/>
          <w:szCs w:val="18"/>
          <w:b w:val="1"/>
          <w:bCs w:val="1"/>
          <w:color w:val="0000FF"/>
        </w:rPr>
        <w:tab/>
        <w:t>Pentair plc Compensation Plan for Non-Employee Directors, as amended and restated (Incorporated by reference to Exhibit 10.6 in the Current Report on Form 8-K of Pentair plc filed with the Commission on June 3, 2014 (File No. 001-11625)).*</w:t>
      </w:r>
    </w:p>
    <w:p>
      <w:pPr>
        <w:spacing w:after="0" w:line="121" w:lineRule="exact"/>
        <w:rPr>
          <w:sz w:val="20"/>
          <w:szCs w:val="20"/>
          <w:color w:val="auto"/>
        </w:rPr>
      </w:pPr>
    </w:p>
    <w:p>
      <w:pPr>
        <w:ind w:left="820" w:right="460" w:hanging="809"/>
        <w:spacing w:after="0" w:line="282" w:lineRule="auto"/>
        <w:tabs>
          <w:tab w:leader="none" w:pos="800" w:val="left"/>
        </w:tabs>
        <w:rPr>
          <w:rFonts w:ascii="Times New Roman" w:cs="Times New Roman" w:eastAsia="Times New Roman" w:hAnsi="Times New Roman"/>
          <w:sz w:val="18"/>
          <w:szCs w:val="18"/>
          <w:b w:val="1"/>
          <w:bCs w:val="1"/>
          <w:color w:val="0000FF"/>
        </w:rPr>
      </w:pPr>
      <w:hyperlink r:id="rId65">
        <w:r>
          <w:rPr>
            <w:rFonts w:ascii="Times New Roman" w:cs="Times New Roman" w:eastAsia="Times New Roman" w:hAnsi="Times New Roman"/>
            <w:sz w:val="18"/>
            <w:szCs w:val="18"/>
            <w:b w:val="1"/>
            <w:bCs w:val="1"/>
            <w:u w:val="single" w:color="auto"/>
            <w:color w:val="0000FF"/>
          </w:rPr>
          <w:t>10.18</w:t>
        </w:r>
      </w:hyperlink>
      <w:r>
        <w:rPr>
          <w:rFonts w:ascii="Times New Roman" w:cs="Times New Roman" w:eastAsia="Times New Roman" w:hAnsi="Times New Roman"/>
          <w:sz w:val="18"/>
          <w:szCs w:val="18"/>
          <w:b w:val="1"/>
          <w:bCs w:val="1"/>
          <w:color w:val="0000FF"/>
        </w:rPr>
        <w:tab/>
        <w:t>Pentair plc Employee Stock Purchase and Bonus Plan, as amended and restated (Incorporated by reference to Exhibit 10.5 in the Current Report on Form 8-K of Pentair plc filed with the Commission on June 3, 2014 (File No. 001-11625)).*</w:t>
      </w:r>
    </w:p>
    <w:p>
      <w:pPr>
        <w:spacing w:after="0" w:line="121" w:lineRule="exact"/>
        <w:rPr>
          <w:sz w:val="20"/>
          <w:szCs w:val="20"/>
          <w:color w:val="auto"/>
        </w:rPr>
      </w:pPr>
    </w:p>
    <w:p>
      <w:pPr>
        <w:ind w:left="820" w:right="140" w:hanging="809"/>
        <w:spacing w:after="0" w:line="282" w:lineRule="auto"/>
        <w:tabs>
          <w:tab w:leader="none" w:pos="800" w:val="left"/>
        </w:tabs>
        <w:rPr>
          <w:rFonts w:ascii="Times New Roman" w:cs="Times New Roman" w:eastAsia="Times New Roman" w:hAnsi="Times New Roman"/>
          <w:sz w:val="18"/>
          <w:szCs w:val="18"/>
          <w:b w:val="1"/>
          <w:bCs w:val="1"/>
          <w:color w:val="0000FF"/>
        </w:rPr>
      </w:pPr>
      <w:hyperlink r:id="rId66">
        <w:r>
          <w:rPr>
            <w:rFonts w:ascii="Times New Roman" w:cs="Times New Roman" w:eastAsia="Times New Roman" w:hAnsi="Times New Roman"/>
            <w:sz w:val="18"/>
            <w:szCs w:val="18"/>
            <w:b w:val="1"/>
            <w:bCs w:val="1"/>
            <w:u w:val="single" w:color="auto"/>
            <w:color w:val="0000FF"/>
          </w:rPr>
          <w:t>10.19</w:t>
        </w:r>
      </w:hyperlink>
      <w:r>
        <w:rPr>
          <w:rFonts w:ascii="Times New Roman" w:cs="Times New Roman" w:eastAsia="Times New Roman" w:hAnsi="Times New Roman"/>
          <w:sz w:val="18"/>
          <w:szCs w:val="18"/>
          <w:b w:val="1"/>
          <w:bCs w:val="1"/>
          <w:color w:val="0000FF"/>
        </w:rPr>
        <w:tab/>
        <w:t>Pentair, Inc. Non-Qualified Deferred Compensation Plan effective January 1, 1996 (Incorporated by reference to Exhibit 10.17 in the Annual Report on Form 10-K of Pentair, Inc. for the year ended December 31, 2005 (File No. 000-04689)).*</w:t>
      </w:r>
    </w:p>
    <w:p>
      <w:pPr>
        <w:spacing w:after="0" w:line="121" w:lineRule="exact"/>
        <w:rPr>
          <w:sz w:val="20"/>
          <w:szCs w:val="20"/>
          <w:color w:val="auto"/>
        </w:rPr>
      </w:pPr>
    </w:p>
    <w:p>
      <w:pPr>
        <w:ind w:left="820" w:right="80" w:hanging="809"/>
        <w:spacing w:after="0" w:line="266" w:lineRule="auto"/>
        <w:tabs>
          <w:tab w:leader="none" w:pos="800" w:val="left"/>
        </w:tabs>
        <w:rPr>
          <w:rFonts w:ascii="Times New Roman" w:cs="Times New Roman" w:eastAsia="Times New Roman" w:hAnsi="Times New Roman"/>
          <w:sz w:val="18"/>
          <w:szCs w:val="18"/>
          <w:b w:val="1"/>
          <w:bCs w:val="1"/>
          <w:color w:val="0000FF"/>
        </w:rPr>
      </w:pPr>
      <w:hyperlink r:id="rId66">
        <w:r>
          <w:rPr>
            <w:rFonts w:ascii="Times New Roman" w:cs="Times New Roman" w:eastAsia="Times New Roman" w:hAnsi="Times New Roman"/>
            <w:sz w:val="18"/>
            <w:szCs w:val="18"/>
            <w:b w:val="1"/>
            <w:bCs w:val="1"/>
            <w:u w:val="single" w:color="auto"/>
            <w:color w:val="0000FF"/>
          </w:rPr>
          <w:t>10.20</w:t>
        </w:r>
      </w:hyperlink>
      <w:r>
        <w:rPr>
          <w:rFonts w:ascii="Times New Roman" w:cs="Times New Roman" w:eastAsia="Times New Roman" w:hAnsi="Times New Roman"/>
          <w:sz w:val="18"/>
          <w:szCs w:val="18"/>
          <w:b w:val="1"/>
          <w:bCs w:val="1"/>
          <w:color w:val="0000FF"/>
        </w:rPr>
        <w:tab/>
        <w:t>Trust Agreement for Pentair, Inc. Non-Qualified Deferred Compensation Plan between Pentair, Inc. and Fidelity Management Trust Company (Incorporated by reference to Exhibit 10.18 contained in the Annual Report on Form 10-K of Pentair, Inc. for the year ended December 31, 1995 (File No. 000-04689)).*</w:t>
      </w:r>
    </w:p>
    <w:p>
      <w:pPr>
        <w:spacing w:after="0" w:line="136" w:lineRule="exact"/>
        <w:rPr>
          <w:sz w:val="20"/>
          <w:szCs w:val="20"/>
          <w:color w:val="auto"/>
        </w:rPr>
      </w:pPr>
    </w:p>
    <w:p>
      <w:pPr>
        <w:jc w:val="both"/>
        <w:ind w:left="820" w:right="60" w:hanging="809"/>
        <w:spacing w:after="0" w:line="266" w:lineRule="auto"/>
        <w:tabs>
          <w:tab w:leader="none" w:pos="800" w:val="left"/>
        </w:tabs>
        <w:rPr>
          <w:rFonts w:ascii="Times New Roman" w:cs="Times New Roman" w:eastAsia="Times New Roman" w:hAnsi="Times New Roman"/>
          <w:sz w:val="18"/>
          <w:szCs w:val="18"/>
          <w:b w:val="1"/>
          <w:bCs w:val="1"/>
          <w:color w:val="0000FF"/>
        </w:rPr>
      </w:pPr>
      <w:hyperlink r:id="rId67">
        <w:r>
          <w:rPr>
            <w:rFonts w:ascii="Times New Roman" w:cs="Times New Roman" w:eastAsia="Times New Roman" w:hAnsi="Times New Roman"/>
            <w:sz w:val="18"/>
            <w:szCs w:val="18"/>
            <w:b w:val="1"/>
            <w:bCs w:val="1"/>
            <w:u w:val="single" w:color="auto"/>
            <w:color w:val="0000FF"/>
          </w:rPr>
          <w:t>10.21</w:t>
        </w:r>
      </w:hyperlink>
      <w:r>
        <w:rPr>
          <w:rFonts w:ascii="Times New Roman" w:cs="Times New Roman" w:eastAsia="Times New Roman" w:hAnsi="Times New Roman"/>
          <w:sz w:val="18"/>
          <w:szCs w:val="18"/>
          <w:b w:val="1"/>
          <w:bCs w:val="1"/>
          <w:color w:val="0000FF"/>
        </w:rPr>
        <w:tab/>
        <w:t>Amendment effective August 23, 2000 to Pentair, Inc. Non-Qualified Deferred Compensation Plan effective January 1, 1996 (Incorporated by reference to Exhibit 10.8 in the Current Report on Form 8-K of Pentair, Inc. filed with the Commission on September 21, 2000 (File No. 000-04689)).*</w:t>
      </w:r>
    </w:p>
    <w:p>
      <w:pPr>
        <w:spacing w:after="0" w:line="136" w:lineRule="exact"/>
        <w:rPr>
          <w:sz w:val="20"/>
          <w:szCs w:val="20"/>
          <w:color w:val="auto"/>
        </w:rPr>
      </w:pPr>
    </w:p>
    <w:p>
      <w:pPr>
        <w:ind w:left="820" w:right="360" w:hanging="809"/>
        <w:spacing w:after="0" w:line="282" w:lineRule="auto"/>
        <w:tabs>
          <w:tab w:leader="none" w:pos="800" w:val="left"/>
        </w:tabs>
        <w:rPr>
          <w:rFonts w:ascii="Times New Roman" w:cs="Times New Roman" w:eastAsia="Times New Roman" w:hAnsi="Times New Roman"/>
          <w:sz w:val="18"/>
          <w:szCs w:val="18"/>
          <w:b w:val="1"/>
          <w:bCs w:val="1"/>
          <w:color w:val="0000FF"/>
        </w:rPr>
      </w:pPr>
      <w:hyperlink r:id="rId68">
        <w:r>
          <w:rPr>
            <w:rFonts w:ascii="Times New Roman" w:cs="Times New Roman" w:eastAsia="Times New Roman" w:hAnsi="Times New Roman"/>
            <w:sz w:val="18"/>
            <w:szCs w:val="18"/>
            <w:b w:val="1"/>
            <w:bCs w:val="1"/>
            <w:u w:val="single" w:color="auto"/>
            <w:color w:val="0000FF"/>
          </w:rPr>
          <w:t>10.22</w:t>
        </w:r>
      </w:hyperlink>
      <w:r>
        <w:rPr>
          <w:rFonts w:ascii="Times New Roman" w:cs="Times New Roman" w:eastAsia="Times New Roman" w:hAnsi="Times New Roman"/>
          <w:sz w:val="18"/>
          <w:szCs w:val="18"/>
          <w:b w:val="1"/>
          <w:bCs w:val="1"/>
          <w:color w:val="0000FF"/>
        </w:rPr>
        <w:tab/>
        <w:t>Pentair, Inc. Non-Qualified Deferred Compensation Plan effective January 1, 2009, as amended and restated (Incorporated by reference to Exhibit 10.12 in the Current Report on Form 8-K of Pentair plc filed with the Commission on June 3, 2014 (File No. 001-11625)).*</w:t>
      </w:r>
    </w:p>
    <w:p>
      <w:pPr>
        <w:spacing w:after="0" w:line="121" w:lineRule="exact"/>
        <w:rPr>
          <w:sz w:val="20"/>
          <w:szCs w:val="20"/>
          <w:color w:val="auto"/>
        </w:rPr>
      </w:pPr>
    </w:p>
    <w:p>
      <w:pPr>
        <w:ind w:left="820" w:right="60" w:hanging="809"/>
        <w:spacing w:after="0" w:line="282" w:lineRule="auto"/>
        <w:tabs>
          <w:tab w:leader="none" w:pos="800" w:val="left"/>
        </w:tabs>
        <w:rPr>
          <w:rFonts w:ascii="Times New Roman" w:cs="Times New Roman" w:eastAsia="Times New Roman" w:hAnsi="Times New Roman"/>
          <w:sz w:val="18"/>
          <w:szCs w:val="18"/>
          <w:b w:val="1"/>
          <w:bCs w:val="1"/>
          <w:color w:val="0000FF"/>
        </w:rPr>
      </w:pPr>
      <w:hyperlink r:id="rId69">
        <w:r>
          <w:rPr>
            <w:rFonts w:ascii="Times New Roman" w:cs="Times New Roman" w:eastAsia="Times New Roman" w:hAnsi="Times New Roman"/>
            <w:sz w:val="18"/>
            <w:szCs w:val="18"/>
            <w:b w:val="1"/>
            <w:bCs w:val="1"/>
            <w:u w:val="single" w:color="auto"/>
            <w:color w:val="0000FF"/>
          </w:rPr>
          <w:t>10.23</w:t>
        </w:r>
      </w:hyperlink>
      <w:r>
        <w:rPr>
          <w:rFonts w:ascii="Times New Roman" w:cs="Times New Roman" w:eastAsia="Times New Roman" w:hAnsi="Times New Roman"/>
          <w:sz w:val="18"/>
          <w:szCs w:val="18"/>
          <w:b w:val="1"/>
          <w:bCs w:val="1"/>
          <w:color w:val="0000FF"/>
        </w:rPr>
        <w:tab/>
        <w:t>Pentair, Inc. 1999 Supplemental Executive Retirement Plan as Amended and Restated effective August 23, 2000 (Incorporated by reference to Exhibit 10.2 in the Current Report on Form 8-K of Pentair, Inc. filed with the Commission on September 21, 2000 (File No. 000-04689)).*</w:t>
      </w:r>
    </w:p>
    <w:p>
      <w:pPr>
        <w:spacing w:after="0" w:line="121" w:lineRule="exact"/>
        <w:rPr>
          <w:sz w:val="20"/>
          <w:szCs w:val="20"/>
          <w:color w:val="auto"/>
        </w:rPr>
      </w:pPr>
    </w:p>
    <w:p>
      <w:pPr>
        <w:spacing w:after="0"/>
        <w:tabs>
          <w:tab w:leader="none" w:pos="800" w:val="left"/>
        </w:tabs>
        <w:rPr>
          <w:rFonts w:ascii="Times New Roman" w:cs="Times New Roman" w:eastAsia="Times New Roman" w:hAnsi="Times New Roman"/>
          <w:sz w:val="18"/>
          <w:szCs w:val="18"/>
          <w:b w:val="1"/>
          <w:bCs w:val="1"/>
          <w:color w:val="0000FF"/>
        </w:rPr>
      </w:pPr>
      <w:hyperlink r:id="rId70">
        <w:r>
          <w:rPr>
            <w:rFonts w:ascii="Times New Roman" w:cs="Times New Roman" w:eastAsia="Times New Roman" w:hAnsi="Times New Roman"/>
            <w:sz w:val="18"/>
            <w:szCs w:val="18"/>
            <w:b w:val="1"/>
            <w:bCs w:val="1"/>
            <w:u w:val="single" w:color="auto"/>
            <w:color w:val="0000FF"/>
          </w:rPr>
          <w:t>10.24</w:t>
        </w:r>
      </w:hyperlink>
      <w:r>
        <w:rPr>
          <w:rFonts w:ascii="Times New Roman" w:cs="Times New Roman" w:eastAsia="Times New Roman" w:hAnsi="Times New Roman"/>
          <w:sz w:val="18"/>
          <w:szCs w:val="18"/>
          <w:b w:val="1"/>
          <w:bCs w:val="1"/>
          <w:color w:val="0000FF"/>
        </w:rPr>
        <w:tab/>
      </w:r>
      <w:r>
        <w:rPr>
          <w:rFonts w:ascii="Times New Roman" w:cs="Times New Roman" w:eastAsia="Times New Roman" w:hAnsi="Times New Roman"/>
          <w:sz w:val="17"/>
          <w:szCs w:val="17"/>
          <w:b w:val="1"/>
          <w:bCs w:val="1"/>
          <w:color w:val="0000FF"/>
        </w:rPr>
        <w:t>Pentair, Inc. Supplemental Executive Retirement Plan effective January 1, 2009, as amended and restated (Incorporated by reference to Exhibit</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10.13 in the Current Report on Form 8-K of Pentair plc filed with the Commission on June 3, 2014 (File No. 001-11625)).*</w:t>
      </w:r>
    </w:p>
    <w:p>
      <w:pPr>
        <w:spacing w:after="0" w:line="162" w:lineRule="exact"/>
        <w:rPr>
          <w:sz w:val="20"/>
          <w:szCs w:val="20"/>
          <w:color w:val="auto"/>
        </w:rPr>
      </w:pPr>
    </w:p>
    <w:p>
      <w:pPr>
        <w:ind w:left="820" w:right="240" w:hanging="809"/>
        <w:spacing w:after="0" w:line="282" w:lineRule="auto"/>
        <w:tabs>
          <w:tab w:leader="none" w:pos="800" w:val="left"/>
        </w:tabs>
        <w:rPr>
          <w:rFonts w:ascii="Times New Roman" w:cs="Times New Roman" w:eastAsia="Times New Roman" w:hAnsi="Times New Roman"/>
          <w:sz w:val="18"/>
          <w:szCs w:val="18"/>
          <w:b w:val="1"/>
          <w:bCs w:val="1"/>
          <w:color w:val="0000FF"/>
        </w:rPr>
      </w:pPr>
      <w:hyperlink r:id="rId71">
        <w:r>
          <w:rPr>
            <w:rFonts w:ascii="Times New Roman" w:cs="Times New Roman" w:eastAsia="Times New Roman" w:hAnsi="Times New Roman"/>
            <w:sz w:val="18"/>
            <w:szCs w:val="18"/>
            <w:b w:val="1"/>
            <w:bCs w:val="1"/>
            <w:u w:val="single" w:color="auto"/>
            <w:color w:val="0000FF"/>
          </w:rPr>
          <w:t>10.25</w:t>
        </w:r>
      </w:hyperlink>
      <w:r>
        <w:rPr>
          <w:rFonts w:ascii="Times New Roman" w:cs="Times New Roman" w:eastAsia="Times New Roman" w:hAnsi="Times New Roman"/>
          <w:sz w:val="18"/>
          <w:szCs w:val="18"/>
          <w:b w:val="1"/>
          <w:bCs w:val="1"/>
          <w:color w:val="0000FF"/>
        </w:rPr>
        <w:tab/>
        <w:t>Pentair, Inc. Restoration Plan as Amended and Restated effective August 23, 2000 (Incorporated by reference to Exhibit 10.3 in the Current Report on Form 8-K of Pentair, Inc. filed with the Commission on September 21, 2000 (File No. 000-04689)).*</w:t>
      </w:r>
    </w:p>
    <w:p>
      <w:pPr>
        <w:spacing w:after="0" w:line="121" w:lineRule="exact"/>
        <w:rPr>
          <w:sz w:val="20"/>
          <w:szCs w:val="20"/>
          <w:color w:val="auto"/>
        </w:rPr>
      </w:pPr>
    </w:p>
    <w:p>
      <w:pPr>
        <w:ind w:left="820" w:right="280" w:hanging="809"/>
        <w:spacing w:after="0" w:line="282" w:lineRule="auto"/>
        <w:tabs>
          <w:tab w:leader="none" w:pos="800" w:val="left"/>
        </w:tabs>
        <w:rPr>
          <w:rFonts w:ascii="Times New Roman" w:cs="Times New Roman" w:eastAsia="Times New Roman" w:hAnsi="Times New Roman"/>
          <w:sz w:val="18"/>
          <w:szCs w:val="18"/>
          <w:b w:val="1"/>
          <w:bCs w:val="1"/>
          <w:color w:val="0000FF"/>
        </w:rPr>
      </w:pPr>
      <w:hyperlink r:id="rId72">
        <w:r>
          <w:rPr>
            <w:rFonts w:ascii="Times New Roman" w:cs="Times New Roman" w:eastAsia="Times New Roman" w:hAnsi="Times New Roman"/>
            <w:sz w:val="18"/>
            <w:szCs w:val="18"/>
            <w:b w:val="1"/>
            <w:bCs w:val="1"/>
            <w:u w:val="single" w:color="auto"/>
            <w:color w:val="0000FF"/>
          </w:rPr>
          <w:t>10.26</w:t>
        </w:r>
      </w:hyperlink>
      <w:r>
        <w:rPr>
          <w:rFonts w:ascii="Times New Roman" w:cs="Times New Roman" w:eastAsia="Times New Roman" w:hAnsi="Times New Roman"/>
          <w:sz w:val="18"/>
          <w:szCs w:val="18"/>
          <w:b w:val="1"/>
          <w:bCs w:val="1"/>
          <w:color w:val="0000FF"/>
        </w:rPr>
        <w:tab/>
        <w:t>Pentair, Inc. Restoration Plan effective January 1, 2009, as amended and restated (Incorporated by reference to Exhibit 10.14 in the Current Report on Form 8-K of Pentair plc filed with the Commission on June 3, 2014 (File No. 001-11625)).*</w:t>
      </w:r>
    </w:p>
    <w:p>
      <w:pPr>
        <w:spacing w:after="0" w:line="121" w:lineRule="exact"/>
        <w:rPr>
          <w:sz w:val="20"/>
          <w:szCs w:val="20"/>
          <w:color w:val="auto"/>
        </w:rPr>
      </w:pPr>
    </w:p>
    <w:p>
      <w:pPr>
        <w:ind w:left="820" w:right="120" w:hanging="809"/>
        <w:spacing w:after="0" w:line="282" w:lineRule="auto"/>
        <w:tabs>
          <w:tab w:leader="none" w:pos="800" w:val="left"/>
        </w:tabs>
        <w:rPr>
          <w:rFonts w:ascii="Times New Roman" w:cs="Times New Roman" w:eastAsia="Times New Roman" w:hAnsi="Times New Roman"/>
          <w:sz w:val="18"/>
          <w:szCs w:val="18"/>
          <w:b w:val="1"/>
          <w:bCs w:val="1"/>
          <w:color w:val="0000FF"/>
        </w:rPr>
      </w:pPr>
      <w:hyperlink r:id="rId73">
        <w:r>
          <w:rPr>
            <w:rFonts w:ascii="Times New Roman" w:cs="Times New Roman" w:eastAsia="Times New Roman" w:hAnsi="Times New Roman"/>
            <w:sz w:val="18"/>
            <w:szCs w:val="18"/>
            <w:b w:val="1"/>
            <w:bCs w:val="1"/>
            <w:u w:val="single" w:color="auto"/>
            <w:color w:val="0000FF"/>
          </w:rPr>
          <w:t>10.27</w:t>
        </w:r>
      </w:hyperlink>
      <w:r>
        <w:rPr>
          <w:rFonts w:ascii="Times New Roman" w:cs="Times New Roman" w:eastAsia="Times New Roman" w:hAnsi="Times New Roman"/>
          <w:sz w:val="18"/>
          <w:szCs w:val="18"/>
          <w:b w:val="1"/>
          <w:bCs w:val="1"/>
          <w:color w:val="0000FF"/>
        </w:rPr>
        <w:tab/>
        <w:t>Form of Deed of Indemnification for directors and executive officers of Pentair plc (Incorporated by reference to Exhibit 10.15 in the Current Report on Form 8-K of Pentair plc filed with the Commission on June 3, 2014 (File No. 001-11625)).*</w:t>
      </w:r>
    </w:p>
    <w:p>
      <w:pPr>
        <w:spacing w:after="0" w:line="121" w:lineRule="exact"/>
        <w:rPr>
          <w:sz w:val="20"/>
          <w:szCs w:val="20"/>
          <w:color w:val="auto"/>
        </w:rPr>
      </w:pPr>
    </w:p>
    <w:p>
      <w:pPr>
        <w:ind w:left="820" w:right="480" w:hanging="809"/>
        <w:spacing w:after="0" w:line="282" w:lineRule="auto"/>
        <w:tabs>
          <w:tab w:leader="none" w:pos="800" w:val="left"/>
        </w:tabs>
        <w:rPr>
          <w:rFonts w:ascii="Times New Roman" w:cs="Times New Roman" w:eastAsia="Times New Roman" w:hAnsi="Times New Roman"/>
          <w:sz w:val="18"/>
          <w:szCs w:val="18"/>
          <w:b w:val="1"/>
          <w:bCs w:val="1"/>
          <w:color w:val="0000FF"/>
        </w:rPr>
      </w:pPr>
      <w:hyperlink r:id="rId74">
        <w:r>
          <w:rPr>
            <w:rFonts w:ascii="Times New Roman" w:cs="Times New Roman" w:eastAsia="Times New Roman" w:hAnsi="Times New Roman"/>
            <w:sz w:val="18"/>
            <w:szCs w:val="18"/>
            <w:b w:val="1"/>
            <w:bCs w:val="1"/>
            <w:u w:val="single" w:color="auto"/>
            <w:color w:val="0000FF"/>
          </w:rPr>
          <w:t>10.28</w:t>
        </w:r>
      </w:hyperlink>
      <w:r>
        <w:rPr>
          <w:rFonts w:ascii="Times New Roman" w:cs="Times New Roman" w:eastAsia="Times New Roman" w:hAnsi="Times New Roman"/>
          <w:sz w:val="18"/>
          <w:szCs w:val="18"/>
          <w:b w:val="1"/>
          <w:bCs w:val="1"/>
          <w:color w:val="0000FF"/>
        </w:rPr>
        <w:tab/>
        <w:t>Form of Indemnification Agreement for directors and executive officers of Pentair plc (Incorporated by reference to Exhibit 10.16 in the Current Report on Form 8-K of Pentair plc filed with the Commission on June 3, 2014 (File No. 001-11625)).*</w:t>
      </w:r>
    </w:p>
    <w:p>
      <w:pPr>
        <w:spacing w:after="0" w:line="121" w:lineRule="exact"/>
        <w:rPr>
          <w:sz w:val="20"/>
          <w:szCs w:val="20"/>
          <w:color w:val="auto"/>
        </w:rPr>
      </w:pPr>
    </w:p>
    <w:p>
      <w:pPr>
        <w:ind w:left="820" w:right="720" w:hanging="809"/>
        <w:spacing w:after="0" w:line="266" w:lineRule="auto"/>
        <w:tabs>
          <w:tab w:leader="none" w:pos="800" w:val="left"/>
        </w:tabs>
        <w:rPr>
          <w:rFonts w:ascii="Times New Roman" w:cs="Times New Roman" w:eastAsia="Times New Roman" w:hAnsi="Times New Roman"/>
          <w:sz w:val="18"/>
          <w:szCs w:val="18"/>
          <w:b w:val="1"/>
          <w:bCs w:val="1"/>
          <w:color w:val="0000FF"/>
        </w:rPr>
      </w:pPr>
      <w:hyperlink r:id="rId75">
        <w:r>
          <w:rPr>
            <w:rFonts w:ascii="Times New Roman" w:cs="Times New Roman" w:eastAsia="Times New Roman" w:hAnsi="Times New Roman"/>
            <w:sz w:val="18"/>
            <w:szCs w:val="18"/>
            <w:b w:val="1"/>
            <w:bCs w:val="1"/>
            <w:u w:val="single" w:color="auto"/>
            <w:color w:val="0000FF"/>
          </w:rPr>
          <w:t>10.29</w:t>
        </w:r>
      </w:hyperlink>
      <w:r>
        <w:rPr>
          <w:rFonts w:ascii="Times New Roman" w:cs="Times New Roman" w:eastAsia="Times New Roman" w:hAnsi="Times New Roman"/>
          <w:sz w:val="18"/>
          <w:szCs w:val="18"/>
          <w:b w:val="1"/>
          <w:bCs w:val="1"/>
          <w:color w:val="0000FF"/>
        </w:rPr>
        <w:tab/>
        <w:t>Letter agreement, dated September 7, 2015, among Pentair plc, Edward P. Garden, Matthew Peltz, Brian Baldwin and Trian Fund Management, L.P. (Incorporated by reference to Exhibit 10.1 to the Current Report on Form 8-K of Pentair plc filed with the SEC on September 8, 2015 (File No. 001-11625)).</w:t>
      </w:r>
    </w:p>
    <w:p>
      <w:pPr>
        <w:sectPr>
          <w:pgSz w:w="11900" w:h="16838" w:orient="portrait"/>
          <w:cols w:equalWidth="0" w:num="1">
            <w:col w:w="11120"/>
          </w:cols>
          <w:pgMar w:left="500" w:top="738" w:right="279" w:bottom="1440" w:gutter="0" w:footer="0" w:header="0"/>
        </w:sectPr>
      </w:pPr>
    </w:p>
    <w:p>
      <w:pPr>
        <w:spacing w:after="0" w:line="136" w:lineRule="exact"/>
        <w:rPr>
          <w:sz w:val="20"/>
          <w:szCs w:val="20"/>
          <w:color w:val="auto"/>
        </w:rPr>
      </w:pPr>
    </w:p>
    <w:p>
      <w:pPr>
        <w:spacing w:after="0"/>
        <w:rPr>
          <w:rFonts w:ascii="Times New Roman" w:cs="Times New Roman" w:eastAsia="Times New Roman" w:hAnsi="Times New Roman"/>
          <w:sz w:val="17"/>
          <w:szCs w:val="17"/>
          <w:b w:val="1"/>
          <w:bCs w:val="1"/>
          <w:u w:val="single" w:color="auto"/>
          <w:color w:val="0000FF"/>
        </w:rPr>
      </w:pPr>
      <w:hyperlink r:id="rId76">
        <w:r>
          <w:rPr>
            <w:rFonts w:ascii="Times New Roman" w:cs="Times New Roman" w:eastAsia="Times New Roman" w:hAnsi="Times New Roman"/>
            <w:sz w:val="17"/>
            <w:szCs w:val="17"/>
            <w:b w:val="1"/>
            <w:bCs w:val="1"/>
            <w:u w:val="single" w:color="auto"/>
            <w:color w:val="0000FF"/>
          </w:rPr>
          <w:t>10.30</w:t>
        </w:r>
      </w:hyperlink>
    </w:p>
    <w:p>
      <w:pPr>
        <w:spacing w:after="0" w:line="200" w:lineRule="exact"/>
        <w:rPr>
          <w:sz w:val="20"/>
          <w:szCs w:val="20"/>
          <w:color w:val="auto"/>
        </w:rPr>
      </w:pPr>
    </w:p>
    <w:p>
      <w:pPr>
        <w:spacing w:after="0" w:line="266" w:lineRule="exact"/>
        <w:rPr>
          <w:sz w:val="20"/>
          <w:szCs w:val="20"/>
          <w:color w:val="auto"/>
        </w:rPr>
      </w:pPr>
    </w:p>
    <w:p>
      <w:pPr>
        <w:spacing w:after="0"/>
        <w:rPr>
          <w:rFonts w:ascii="Times New Roman" w:cs="Times New Roman" w:eastAsia="Times New Roman" w:hAnsi="Times New Roman"/>
          <w:sz w:val="17"/>
          <w:szCs w:val="17"/>
          <w:b w:val="1"/>
          <w:bCs w:val="1"/>
          <w:u w:val="single" w:color="auto"/>
          <w:color w:val="0000FF"/>
        </w:rPr>
      </w:pPr>
      <w:hyperlink r:id="rId77">
        <w:r>
          <w:rPr>
            <w:rFonts w:ascii="Times New Roman" w:cs="Times New Roman" w:eastAsia="Times New Roman" w:hAnsi="Times New Roman"/>
            <w:sz w:val="17"/>
            <w:szCs w:val="17"/>
            <w:b w:val="1"/>
            <w:bCs w:val="1"/>
            <w:u w:val="single" w:color="auto"/>
            <w:color w:val="0000FF"/>
          </w:rPr>
          <w:t>10.31</w:t>
        </w:r>
      </w:hyperlink>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Form of Executive Officer Stock Option Grant Agreement for grants made on or after January 1, 2017 (Incorporated by reference to Exhibit 10.31 to the Annual Report on Form 10-K of Pentair plc for the year ended December 31, 2016 (File No. 001-11625)).*</w:t>
      </w:r>
    </w:p>
    <w:p>
      <w:pPr>
        <w:spacing w:after="0" w:line="1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Form of Executive Officer Restricted Stock Unit Grant Agreement for grants made on or after January 2, 2017 (Incorporated by reference to Exhibit 10.32 to the Annual Report on Form 10-K of Pentair plc for the year ended December 31, 2016 (File No. 001-11625)).*</w:t>
      </w:r>
    </w:p>
    <w:p>
      <w:pPr>
        <w:spacing w:after="0" w:line="88" w:lineRule="exact"/>
        <w:rPr>
          <w:sz w:val="20"/>
          <w:szCs w:val="20"/>
          <w:color w:val="auto"/>
        </w:rPr>
      </w:pPr>
    </w:p>
    <w:p>
      <w:pPr>
        <w:sectPr>
          <w:pgSz w:w="11900" w:h="16838" w:orient="portrait"/>
          <w:cols w:equalWidth="0" w:num="2">
            <w:col w:w="400" w:space="420"/>
            <w:col w:w="10300"/>
          </w:cols>
          <w:pgMar w:left="500" w:top="738" w:right="27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80" w:type="dxa"/>
            <w:vAlign w:val="bottom"/>
            <w:tcBorders>
              <w:bottom w:val="single" w:sz="8" w:color="0000FF"/>
            </w:tcBorders>
          </w:tcPr>
          <w:p>
            <w:pPr>
              <w:jc w:val="right"/>
              <w:spacing w:after="0"/>
              <w:rPr>
                <w:rFonts w:ascii="Times New Roman" w:cs="Times New Roman" w:eastAsia="Times New Roman" w:hAnsi="Times New Roman"/>
                <w:sz w:val="18"/>
                <w:szCs w:val="18"/>
                <w:b w:val="1"/>
                <w:bCs w:val="1"/>
                <w:color w:val="0000FF"/>
                <w:w w:val="88"/>
              </w:rPr>
            </w:pPr>
            <w:hyperlink r:id="rId78">
              <w:r>
                <w:rPr>
                  <w:rFonts w:ascii="Times New Roman" w:cs="Times New Roman" w:eastAsia="Times New Roman" w:hAnsi="Times New Roman"/>
                  <w:sz w:val="18"/>
                  <w:szCs w:val="18"/>
                  <w:b w:val="1"/>
                  <w:bCs w:val="1"/>
                  <w:color w:val="0000FF"/>
                  <w:w w:val="88"/>
                </w:rPr>
                <w:t>10.</w:t>
              </w:r>
              <w:r>
                <w:rPr>
                  <w:rFonts w:ascii="Times New Roman" w:cs="Times New Roman" w:eastAsia="Times New Roman" w:hAnsi="Times New Roman"/>
                  <w:sz w:val="18"/>
                  <w:szCs w:val="18"/>
                  <w:b w:val="1"/>
                  <w:bCs w:val="1"/>
                  <w:u w:val="single" w:color="auto"/>
                  <w:color w:val="0000FF"/>
                  <w:w w:val="88"/>
                </w:rPr>
                <w:t>32</w:t>
              </w:r>
            </w:hyperlink>
          </w:p>
        </w:tc>
        <w:tc>
          <w:tcPr>
            <w:tcW w:w="102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Form of Executive Officer Performance Unit Grant Agreement for grants made on or after January 1, 2017 (Incorporated by reference to</w:t>
            </w:r>
          </w:p>
        </w:tc>
      </w:tr>
      <w:tr>
        <w:trPr>
          <w:trHeight w:val="264"/>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Exhibit 10.33 to the Annual Report on Form 10-K of Pentair plc for the year ended December 31, 2016 (File No. 001-11625)).*</w:t>
            </w:r>
          </w:p>
        </w:tc>
      </w:tr>
      <w:tr>
        <w:trPr>
          <w:trHeight w:val="63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jc w:val="right"/>
              <w:ind w:right="5030"/>
              <w:spacing w:after="0"/>
              <w:rPr>
                <w:sz w:val="20"/>
                <w:szCs w:val="20"/>
                <w:color w:val="auto"/>
              </w:rPr>
            </w:pPr>
            <w:r>
              <w:rPr>
                <w:rFonts w:ascii="Times New Roman" w:cs="Times New Roman" w:eastAsia="Times New Roman" w:hAnsi="Times New Roman"/>
                <w:sz w:val="18"/>
                <w:szCs w:val="18"/>
                <w:color w:val="auto"/>
              </w:rPr>
              <w:t>93</w:t>
            </w:r>
          </w:p>
        </w:tc>
      </w:tr>
    </w:tbl>
    <w:p>
      <w:pPr>
        <w:sectPr>
          <w:pgSz w:w="11900" w:h="16838" w:orient="portrait"/>
          <w:cols w:equalWidth="0" w:num="1">
            <w:col w:w="11120"/>
          </w:cols>
          <w:pgMar w:left="500" w:top="738" w:right="279" w:bottom="1440" w:gutter="0" w:footer="0" w:header="0"/>
          <w:type w:val="continuous"/>
        </w:sectPr>
      </w:pPr>
    </w:p>
    <w:bookmarkStart w:id="95" w:name="page96"/>
    <w:bookmarkEnd w:id="95"/>
    <w:p>
      <w:pPr>
        <w:ind w:left="1080" w:right="40" w:hanging="809"/>
        <w:spacing w:after="0" w:line="266" w:lineRule="auto"/>
        <w:tabs>
          <w:tab w:leader="none" w:pos="1060" w:val="left"/>
        </w:tabs>
        <w:rPr>
          <w:rFonts w:ascii="Times New Roman" w:cs="Times New Roman" w:eastAsia="Times New Roman" w:hAnsi="Times New Roman"/>
          <w:sz w:val="18"/>
          <w:szCs w:val="18"/>
          <w:b w:val="1"/>
          <w:bCs w:val="1"/>
          <w:color w:val="0000FF"/>
        </w:rPr>
      </w:pPr>
      <w:hyperlink r:id="rId79">
        <w:r>
          <w:rPr>
            <w:rFonts w:ascii="Times New Roman" w:cs="Times New Roman" w:eastAsia="Times New Roman" w:hAnsi="Times New Roman"/>
            <w:sz w:val="18"/>
            <w:szCs w:val="18"/>
            <w:b w:val="1"/>
            <w:bCs w:val="1"/>
            <w:u w:val="single" w:color="auto"/>
            <w:color w:val="0000FF"/>
          </w:rPr>
          <w:t>10.33</w:t>
        </w:r>
      </w:hyperlink>
      <w:r>
        <w:rPr>
          <w:rFonts w:ascii="Times New Roman" w:cs="Times New Roman" w:eastAsia="Times New Roman" w:hAnsi="Times New Roman"/>
          <w:sz w:val="18"/>
          <w:szCs w:val="18"/>
          <w:b w:val="1"/>
          <w:bCs w:val="1"/>
          <w:color w:val="0000FF"/>
        </w:rPr>
        <w:tab/>
        <w:t>Separation Agreement and Release, dated as of January 5, 2018, between Pentair Management Company and Karen L. Keegans (Incorporated by reference to Exhibit 10.1 to the Current Report on Form 8-K of Pentair plc filed with the Commission on January 9, 2018 (File No. 001-11625)).*</w:t>
      </w:r>
    </w:p>
    <w:p>
      <w:pPr>
        <w:spacing w:after="0" w:line="136" w:lineRule="exact"/>
        <w:rPr>
          <w:sz w:val="20"/>
          <w:szCs w:val="20"/>
          <w:color w:val="auto"/>
        </w:rPr>
      </w:pPr>
    </w:p>
    <w:p>
      <w:pPr>
        <w:ind w:left="1080" w:right="20" w:hanging="809"/>
        <w:spacing w:after="0" w:line="313" w:lineRule="auto"/>
        <w:tabs>
          <w:tab w:leader="none" w:pos="1060" w:val="left"/>
        </w:tabs>
        <w:rPr>
          <w:rFonts w:ascii="Times New Roman" w:cs="Times New Roman" w:eastAsia="Times New Roman" w:hAnsi="Times New Roman"/>
          <w:sz w:val="18"/>
          <w:szCs w:val="18"/>
          <w:b w:val="1"/>
          <w:bCs w:val="1"/>
          <w:color w:val="0000FF"/>
        </w:rPr>
      </w:pPr>
      <w:hyperlink r:id="rId80">
        <w:r>
          <w:rPr>
            <w:rFonts w:ascii="Times New Roman" w:cs="Times New Roman" w:eastAsia="Times New Roman" w:hAnsi="Times New Roman"/>
            <w:sz w:val="18"/>
            <w:szCs w:val="18"/>
            <w:b w:val="1"/>
            <w:bCs w:val="1"/>
            <w:u w:val="single" w:color="auto"/>
            <w:color w:val="0000FF"/>
          </w:rPr>
          <w:t>10.34</w:t>
        </w:r>
      </w:hyperlink>
      <w:r>
        <w:rPr>
          <w:rFonts w:ascii="Times New Roman" w:cs="Times New Roman" w:eastAsia="Times New Roman" w:hAnsi="Times New Roman"/>
          <w:sz w:val="18"/>
          <w:szCs w:val="18"/>
          <w:b w:val="1"/>
          <w:bCs w:val="1"/>
          <w:color w:val="0000FF"/>
        </w:rPr>
        <w:tab/>
      </w:r>
      <w:r>
        <w:rPr>
          <w:rFonts w:ascii="Times New Roman" w:cs="Times New Roman" w:eastAsia="Times New Roman" w:hAnsi="Times New Roman"/>
          <w:sz w:val="17"/>
          <w:szCs w:val="17"/>
          <w:b w:val="1"/>
          <w:bCs w:val="1"/>
          <w:color w:val="0000FF"/>
        </w:rPr>
        <w:t>Separation Agreement, dated as of May 2, 2017, between Pentair Management Company and Dennis J. Cassidy, Jr. (Incorporated by reference to Exhibit 10.1 to the Current Report on Form 8-K of Pentair plc filed with the Commission on June 5, 2017 (File No. 001-11625)).*</w:t>
      </w:r>
    </w:p>
    <w:p>
      <w:pPr>
        <w:spacing w:after="0" w:line="318" w:lineRule="exact"/>
        <w:rPr>
          <w:sz w:val="20"/>
          <w:szCs w:val="20"/>
          <w:color w:val="auto"/>
        </w:rPr>
      </w:pPr>
    </w:p>
    <w:p>
      <w:pPr>
        <w:ind w:left="1080" w:hanging="703"/>
        <w:spacing w:after="0"/>
        <w:tabs>
          <w:tab w:leader="none" w:pos="1080" w:val="left"/>
        </w:tabs>
        <w:numPr>
          <w:ilvl w:val="0"/>
          <w:numId w:val="79"/>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List of Pentair plc subsidiaries.</w:t>
      </w:r>
    </w:p>
    <w:p>
      <w:pPr>
        <w:spacing w:after="0" w:line="185" w:lineRule="exact"/>
        <w:rPr>
          <w:sz w:val="20"/>
          <w:szCs w:val="20"/>
          <w:color w:val="auto"/>
        </w:rPr>
      </w:pPr>
    </w:p>
    <w:p>
      <w:pPr>
        <w:ind w:left="1080" w:hanging="703"/>
        <w:spacing w:after="0"/>
        <w:tabs>
          <w:tab w:leader="none" w:pos="1080" w:val="left"/>
        </w:tabs>
        <w:numPr>
          <w:ilvl w:val="0"/>
          <w:numId w:val="80"/>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Consent of Independent Registered Public Accounting Firm — Deloitte &amp; Touche LLP.</w:t>
      </w:r>
    </w:p>
    <w:p>
      <w:pPr>
        <w:spacing w:after="0" w:line="184" w:lineRule="exact"/>
        <w:rPr>
          <w:rFonts w:ascii="Times New Roman" w:cs="Times New Roman" w:eastAsia="Times New Roman" w:hAnsi="Times New Roman"/>
          <w:sz w:val="18"/>
          <w:szCs w:val="18"/>
          <w:b w:val="1"/>
          <w:bCs w:val="1"/>
          <w:u w:val="single" w:color="auto"/>
          <w:color w:val="0000FF"/>
        </w:rPr>
      </w:pPr>
    </w:p>
    <w:p>
      <w:pPr>
        <w:ind w:left="1080" w:hanging="703"/>
        <w:spacing w:after="0"/>
        <w:tabs>
          <w:tab w:leader="none" w:pos="1080" w:val="left"/>
        </w:tabs>
        <w:numPr>
          <w:ilvl w:val="0"/>
          <w:numId w:val="80"/>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Power of attorney.</w:t>
      </w:r>
    </w:p>
    <w:p>
      <w:pPr>
        <w:spacing w:after="0" w:line="181" w:lineRule="exact"/>
        <w:rPr>
          <w:sz w:val="20"/>
          <w:szCs w:val="20"/>
          <w:color w:val="auto"/>
        </w:rPr>
      </w:pPr>
    </w:p>
    <w:p>
      <w:pPr>
        <w:ind w:left="300"/>
        <w:spacing w:after="0"/>
        <w:tabs>
          <w:tab w:leader="none" w:pos="1060" w:val="left"/>
        </w:tabs>
        <w:rPr>
          <w:rFonts w:ascii="Times New Roman" w:cs="Times New Roman" w:eastAsia="Times New Roman" w:hAnsi="Times New Roman"/>
          <w:sz w:val="18"/>
          <w:szCs w:val="18"/>
          <w:b w:val="1"/>
          <w:bCs w:val="1"/>
          <w:color w:val="0000FF"/>
        </w:rPr>
      </w:pPr>
      <w:hyperlink w:anchor="page107">
        <w:r>
          <w:rPr>
            <w:rFonts w:ascii="Times New Roman" w:cs="Times New Roman" w:eastAsia="Times New Roman" w:hAnsi="Times New Roman"/>
            <w:sz w:val="18"/>
            <w:szCs w:val="18"/>
            <w:b w:val="1"/>
            <w:bCs w:val="1"/>
            <w:u w:val="single" w:color="auto"/>
            <w:color w:val="0000FF"/>
          </w:rPr>
          <w:t>31.1</w:t>
        </w:r>
      </w:hyperlink>
      <w:r>
        <w:rPr>
          <w:rFonts w:ascii="Times New Roman" w:cs="Times New Roman" w:eastAsia="Times New Roman" w:hAnsi="Times New Roman"/>
          <w:sz w:val="18"/>
          <w:szCs w:val="18"/>
          <w:b w:val="1"/>
          <w:bCs w:val="1"/>
          <w:color w:val="0000FF"/>
        </w:rPr>
        <w:tab/>
      </w:r>
      <w:r>
        <w:rPr>
          <w:rFonts w:ascii="Times New Roman" w:cs="Times New Roman" w:eastAsia="Times New Roman" w:hAnsi="Times New Roman"/>
          <w:sz w:val="17"/>
          <w:szCs w:val="17"/>
          <w:b w:val="1"/>
          <w:bCs w:val="1"/>
          <w:color w:val="0000FF"/>
        </w:rPr>
        <w:t>Certification of Chief Executive Officer.</w:t>
      </w:r>
    </w:p>
    <w:p>
      <w:pPr>
        <w:spacing w:after="0" w:line="185" w:lineRule="exact"/>
        <w:rPr>
          <w:sz w:val="20"/>
          <w:szCs w:val="20"/>
          <w:color w:val="auto"/>
        </w:rPr>
      </w:pPr>
    </w:p>
    <w:p>
      <w:pPr>
        <w:ind w:left="300"/>
        <w:spacing w:after="0"/>
        <w:tabs>
          <w:tab w:leader="none" w:pos="1060" w:val="left"/>
        </w:tabs>
        <w:rPr>
          <w:rFonts w:ascii="Times New Roman" w:cs="Times New Roman" w:eastAsia="Times New Roman" w:hAnsi="Times New Roman"/>
          <w:sz w:val="18"/>
          <w:szCs w:val="18"/>
          <w:b w:val="1"/>
          <w:bCs w:val="1"/>
          <w:color w:val="0000FF"/>
        </w:rPr>
      </w:pPr>
      <w:hyperlink w:anchor="page108">
        <w:r>
          <w:rPr>
            <w:rFonts w:ascii="Times New Roman" w:cs="Times New Roman" w:eastAsia="Times New Roman" w:hAnsi="Times New Roman"/>
            <w:sz w:val="18"/>
            <w:szCs w:val="18"/>
            <w:b w:val="1"/>
            <w:bCs w:val="1"/>
            <w:u w:val="single" w:color="auto"/>
            <w:color w:val="0000FF"/>
          </w:rPr>
          <w:t>31.2</w:t>
        </w:r>
      </w:hyperlink>
      <w:r>
        <w:rPr>
          <w:rFonts w:ascii="Times New Roman" w:cs="Times New Roman" w:eastAsia="Times New Roman" w:hAnsi="Times New Roman"/>
          <w:sz w:val="18"/>
          <w:szCs w:val="18"/>
          <w:b w:val="1"/>
          <w:bCs w:val="1"/>
          <w:color w:val="0000FF"/>
        </w:rPr>
        <w:tab/>
      </w:r>
      <w:r>
        <w:rPr>
          <w:rFonts w:ascii="Times New Roman" w:cs="Times New Roman" w:eastAsia="Times New Roman" w:hAnsi="Times New Roman"/>
          <w:sz w:val="17"/>
          <w:szCs w:val="17"/>
          <w:b w:val="1"/>
          <w:bCs w:val="1"/>
          <w:color w:val="0000FF"/>
        </w:rPr>
        <w:t>Certification of Chief Financial Officer.</w:t>
      </w:r>
    </w:p>
    <w:p>
      <w:pPr>
        <w:spacing w:after="0" w:line="185" w:lineRule="exact"/>
        <w:rPr>
          <w:sz w:val="20"/>
          <w:szCs w:val="20"/>
          <w:color w:val="auto"/>
        </w:rPr>
      </w:pPr>
    </w:p>
    <w:p>
      <w:pPr>
        <w:ind w:left="1080" w:right="140" w:hanging="764"/>
        <w:spacing w:after="0" w:line="282" w:lineRule="auto"/>
        <w:tabs>
          <w:tab w:leader="none" w:pos="1060" w:val="left"/>
        </w:tabs>
        <w:rPr>
          <w:rFonts w:ascii="Times New Roman" w:cs="Times New Roman" w:eastAsia="Times New Roman" w:hAnsi="Times New Roman"/>
          <w:sz w:val="18"/>
          <w:szCs w:val="18"/>
          <w:b w:val="1"/>
          <w:bCs w:val="1"/>
          <w:color w:val="0000FF"/>
        </w:rPr>
      </w:pPr>
      <w:hyperlink w:anchor="page109">
        <w:r>
          <w:rPr>
            <w:rFonts w:ascii="Times New Roman" w:cs="Times New Roman" w:eastAsia="Times New Roman" w:hAnsi="Times New Roman"/>
            <w:sz w:val="18"/>
            <w:szCs w:val="18"/>
            <w:b w:val="1"/>
            <w:bCs w:val="1"/>
            <w:u w:val="single" w:color="auto"/>
            <w:color w:val="0000FF"/>
          </w:rPr>
          <w:t>32.1</w:t>
        </w:r>
      </w:hyperlink>
      <w:r>
        <w:rPr>
          <w:rFonts w:ascii="Times New Roman" w:cs="Times New Roman" w:eastAsia="Times New Roman" w:hAnsi="Times New Roman"/>
          <w:sz w:val="18"/>
          <w:szCs w:val="18"/>
          <w:b w:val="1"/>
          <w:bCs w:val="1"/>
          <w:color w:val="0000FF"/>
        </w:rPr>
        <w:tab/>
        <w:t>Certification of Chief Executive Officer, Pursuant to 18 U.S.C. Section 1350, as Adopted Pursuant to Section 906 of the Sarbanes-Oxley Act of 2002.</w:t>
      </w:r>
    </w:p>
    <w:p>
      <w:pPr>
        <w:spacing w:after="0" w:line="121" w:lineRule="exact"/>
        <w:rPr>
          <w:sz w:val="20"/>
          <w:szCs w:val="20"/>
          <w:color w:val="auto"/>
        </w:rPr>
      </w:pPr>
    </w:p>
    <w:p>
      <w:pPr>
        <w:ind w:left="300"/>
        <w:spacing w:after="0"/>
        <w:tabs>
          <w:tab w:leader="none" w:pos="1060" w:val="left"/>
        </w:tabs>
        <w:rPr>
          <w:rFonts w:ascii="Times New Roman" w:cs="Times New Roman" w:eastAsia="Times New Roman" w:hAnsi="Times New Roman"/>
          <w:sz w:val="18"/>
          <w:szCs w:val="18"/>
          <w:b w:val="1"/>
          <w:bCs w:val="1"/>
          <w:color w:val="0000FF"/>
        </w:rPr>
      </w:pPr>
      <w:hyperlink w:anchor="page110">
        <w:r>
          <w:rPr>
            <w:rFonts w:ascii="Times New Roman" w:cs="Times New Roman" w:eastAsia="Times New Roman" w:hAnsi="Times New Roman"/>
            <w:sz w:val="18"/>
            <w:szCs w:val="18"/>
            <w:b w:val="1"/>
            <w:bCs w:val="1"/>
            <w:u w:val="single" w:color="auto"/>
            <w:color w:val="0000FF"/>
          </w:rPr>
          <w:t>32.2</w:t>
        </w:r>
      </w:hyperlink>
      <w:r>
        <w:rPr>
          <w:rFonts w:ascii="Times New Roman" w:cs="Times New Roman" w:eastAsia="Times New Roman" w:hAnsi="Times New Roman"/>
          <w:sz w:val="18"/>
          <w:szCs w:val="18"/>
          <w:b w:val="1"/>
          <w:bCs w:val="1"/>
          <w:color w:val="0000FF"/>
        </w:rPr>
        <w:tab/>
      </w:r>
      <w:r>
        <w:rPr>
          <w:rFonts w:ascii="Times New Roman" w:cs="Times New Roman" w:eastAsia="Times New Roman" w:hAnsi="Times New Roman"/>
          <w:sz w:val="17"/>
          <w:szCs w:val="17"/>
          <w:b w:val="1"/>
          <w:bCs w:val="1"/>
          <w:color w:val="0000FF"/>
        </w:rPr>
        <w:t>Certification of Chief Financial Officer, Pursuant to 18 U.S.C. Section 1350, as Adopted Pursuant to Section 906 of the Sarbanes-Oxley Act of</w:t>
      </w:r>
    </w:p>
    <w:p>
      <w:pPr>
        <w:spacing w:after="0" w:line="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2002.</w:t>
      </w:r>
    </w:p>
    <w:p>
      <w:pPr>
        <w:spacing w:after="0" w:line="166" w:lineRule="exact"/>
        <w:rPr>
          <w:sz w:val="20"/>
          <w:szCs w:val="20"/>
          <w:color w:val="auto"/>
        </w:rPr>
      </w:pPr>
    </w:p>
    <w:p>
      <w:pPr>
        <w:ind w:left="1080" w:right="20" w:hanging="748"/>
        <w:spacing w:after="0" w:line="258" w:lineRule="auto"/>
        <w:tabs>
          <w:tab w:leader="none" w:pos="108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materials from Pentair plc's Annual Report on Form 10-K for the year ended December 31, 2017 are filed herewith, formatted in XBRL (Extensible Business Reporting Language): (i) the Consolidated Statements of Operations and Comprehensive Income (Loss) for the years ended December 31, 2017, 2016 and 2015, (ii) the Consolidated Balance Sheets as of December 31, 2017 and 2016, (iii) the Consolidated Statements of Cash Flows for the years ended December 31, 2017, 2016 and 2015, (iv) the Consolidated Statements of Changes in Equity for the years ended December 31, 2017, 2016 and 2015 and (v) the Notes to the Consolidated Financial Statements.</w:t>
      </w:r>
    </w:p>
    <w:p>
      <w:pPr>
        <w:spacing w:after="0" w:line="170" w:lineRule="exact"/>
        <w:rPr>
          <w:rFonts w:ascii="Times New Roman" w:cs="Times New Roman" w:eastAsia="Times New Roman" w:hAnsi="Times New Roman"/>
          <w:sz w:val="18"/>
          <w:szCs w:val="18"/>
          <w:b w:val="1"/>
          <w:bCs w:val="1"/>
          <w:color w:val="auto"/>
        </w:rPr>
      </w:pPr>
    </w:p>
    <w:p>
      <w:pPr>
        <w:ind w:left="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60"/>
          </w:cols>
          <w:pgMar w:left="240" w:top="738" w:right="299" w:bottom="1440" w:gutter="0" w:footer="0" w:header="0"/>
        </w:sectPr>
      </w:pPr>
    </w:p>
    <w:bookmarkStart w:id="96" w:name="page97"/>
    <w:bookmarkEnd w:id="96"/>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27, 2018.</w:t>
      </w:r>
    </w:p>
    <w:p>
      <w:pPr>
        <w:spacing w:after="0" w:line="108"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PENTAIR PLC</w:t>
      </w:r>
    </w:p>
    <w:p>
      <w:pPr>
        <w:spacing w:after="0" w:line="3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 /s/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L. Stauch</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27, 2018.</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3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4160" w:type="dxa"/>
            <w:vAlign w:val="bottom"/>
          </w:tcPr>
          <w:p>
            <w:pPr>
              <w:spacing w:after="0"/>
              <w:rPr>
                <w:sz w:val="17"/>
                <w:szCs w:val="17"/>
                <w:color w:val="auto"/>
              </w:rPr>
            </w:pPr>
          </w:p>
        </w:tc>
      </w:tr>
      <w:tr>
        <w:trPr>
          <w:trHeight w:val="291"/>
        </w:trPr>
        <w:tc>
          <w:tcPr>
            <w:tcW w:w="420" w:type="dxa"/>
            <w:vAlign w:val="bottom"/>
          </w:tcPr>
          <w:p>
            <w:pPr>
              <w:spacing w:after="0"/>
              <w:rPr>
                <w:sz w:val="24"/>
                <w:szCs w:val="24"/>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/s/ Randall J. Hogan</w:t>
            </w: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Randall J. Hogan</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/s/ John L. Stauch</w:t>
            </w: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John L. Stauch</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/s/ Mark C. Borin</w:t>
            </w: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Chief Accounting Officer and Treasurer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8"/>
              </w:rPr>
              <w:t>Mark C. Borin</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264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Glynis A. Bryan</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264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8"/>
              </w:rPr>
              <w:t>Jerry W. Burris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264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Carol Anthony (John) Davidson</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264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Jacques Esculier</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264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Edward P. Garden</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264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98"/>
              </w:rPr>
              <w:t>T. Michael Glenn</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264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7"/>
              </w:rPr>
              <w:t>David H. Y. Ho</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264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David A. Jones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264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Ronald L. Merriman</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264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7"/>
              </w:rPr>
              <w:t>William T. Monahan</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2640" w:type="dxa"/>
            <w:vAlign w:val="bottom"/>
            <w:gridSpan w:val="2"/>
          </w:tcPr>
          <w:p>
            <w:pPr>
              <w:jc w:val="center"/>
              <w:ind w:left="17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Billie I. Williamson</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405"/>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rPr>
              <w:t>/s/ Angela D. Jilek</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6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49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9"/>
              </w:rPr>
              <w:t>Angela D. Jilek</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270"/>
        </w:trPr>
        <w:tc>
          <w:tcPr>
            <w:tcW w:w="420" w:type="dxa"/>
            <w:vAlign w:val="bottom"/>
          </w:tcPr>
          <w:p>
            <w:pPr>
              <w:spacing w:after="0"/>
              <w:rPr>
                <w:sz w:val="23"/>
                <w:szCs w:val="23"/>
                <w:color w:val="auto"/>
              </w:rPr>
            </w:pPr>
          </w:p>
        </w:tc>
        <w:tc>
          <w:tcPr>
            <w:tcW w:w="49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16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40"/>
          </w:cols>
          <w:pgMar w:left="240" w:top="576" w:right="419" w:bottom="1440" w:gutter="0" w:footer="0" w:header="0"/>
        </w:sectPr>
      </w:pPr>
    </w:p>
    <w:p>
      <w:pPr>
        <w:spacing w:after="0" w:line="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240" w:top="576" w:right="419" w:bottom="1440" w:gutter="0" w:footer="0" w:header="0"/>
          <w:type w:val="continuous"/>
        </w:sectPr>
      </w:pPr>
    </w:p>
    <w:bookmarkStart w:id="97" w:name="page98"/>
    <w:bookmarkEnd w:id="9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Additions charged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credited) to costs and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72"/>
        </w:trPr>
        <w:tc>
          <w:tcPr>
            <w:tcW w:w="3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70"/>
              <w:spacing w:after="0" w:line="265" w:lineRule="exact"/>
              <w:rPr>
                <w:sz w:val="20"/>
                <w:szCs w:val="20"/>
                <w:color w:val="auto"/>
              </w:rPr>
            </w:pPr>
            <w:r>
              <w:rPr>
                <w:rFonts w:ascii="Times New Roman" w:cs="Times New Roman" w:eastAsia="Times New Roman" w:hAnsi="Times New Roman"/>
                <w:sz w:val="18"/>
                <w:szCs w:val="18"/>
                <w:b w:val="1"/>
                <w:bCs w:val="1"/>
                <w:color w:val="auto"/>
                <w:w w:val="98"/>
              </w:rPr>
              <w:t xml:space="preserve">Deductions </w:t>
            </w:r>
            <w:r>
              <w:rPr>
                <w:rFonts w:ascii="Times New Roman" w:cs="Times New Roman" w:eastAsia="Times New Roman" w:hAnsi="Times New Roman"/>
                <w:sz w:val="25"/>
                <w:szCs w:val="25"/>
                <w:b w:val="1"/>
                <w:bCs w:val="1"/>
                <w:color w:val="auto"/>
                <w:w w:val="98"/>
                <w:vertAlign w:val="superscript"/>
              </w:rPr>
              <w:t>(1)</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0"/>
              <w:spacing w:after="0" w:line="265" w:lineRule="exact"/>
              <w:rPr>
                <w:sz w:val="20"/>
                <w:szCs w:val="20"/>
                <w:color w:val="auto"/>
              </w:rPr>
            </w:pPr>
            <w:r>
              <w:rPr>
                <w:rFonts w:ascii="Times New Roman" w:cs="Times New Roman" w:eastAsia="Times New Roman" w:hAnsi="Times New Roman"/>
                <w:sz w:val="18"/>
                <w:szCs w:val="18"/>
                <w:b w:val="1"/>
                <w:bCs w:val="1"/>
                <w:color w:val="auto"/>
              </w:rPr>
              <w:t xml:space="preserve">changes </w:t>
            </w:r>
            <w:r>
              <w:rPr>
                <w:rFonts w:ascii="Times New Roman" w:cs="Times New Roman" w:eastAsia="Times New Roman" w:hAnsi="Times New Roman"/>
                <w:sz w:val="25"/>
                <w:szCs w:val="25"/>
                <w:b w:val="1"/>
                <w:bCs w:val="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Allowances for doubtful accounts</w:t>
            </w: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3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r>
      <w:tr>
        <w:trPr>
          <w:trHeight w:val="243"/>
        </w:trPr>
        <w:tc>
          <w:tcPr>
            <w:tcW w:w="3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December 31, 2015</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r>
    </w:tbl>
    <w:p>
      <w:pPr>
        <w:spacing w:after="0" w:line="171"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Uncollectible accounts written off, net of recoveries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of foreign currency effects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240" w:top="576" w:right="4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8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Pentair plc and subsidiaries as of December 31, 2017</w:t>
            </w:r>
          </w:p>
        </w:tc>
      </w:tr>
      <w:tr>
        <w:trPr>
          <w:trHeight w:val="372"/>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Name of Company</w:t>
            </w: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Jurisdiction of Incorporation</w:t>
            </w:r>
          </w:p>
        </w:tc>
      </w:tr>
      <w:tr>
        <w:trPr>
          <w:trHeight w:val="33"/>
        </w:trPr>
        <w:tc>
          <w:tcPr>
            <w:tcW w:w="35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Alberta Electronic Company Limited</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Hong Kong</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Alliance Integrated Systems, Inc.</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Aplex Industries, Inc.</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Century Mfg. Co.</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344"/>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Chansuba Pumps Private Limited </w:t>
            </w:r>
            <w:r>
              <w:rPr>
                <w:rFonts w:ascii="Times New Roman" w:cs="Times New Roman" w:eastAsia="Times New Roman" w:hAnsi="Times New Roman"/>
                <w:sz w:val="21"/>
                <w:szCs w:val="21"/>
                <w:color w:val="auto"/>
                <w:vertAlign w:val="superscript"/>
              </w:rPr>
              <w:t>(1)</w:t>
            </w: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India</w:t>
            </w:r>
          </w:p>
        </w:tc>
      </w:tr>
      <w:tr>
        <w:trPr>
          <w:trHeight w:val="236"/>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Davies Pumps &amp; Co Limited</w:t>
            </w: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New Zealand</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Edward Barber &amp; Company Limited</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311"/>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Edward Barber (U.K.) Limited</w:t>
            </w: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Electronic Enclosures, LLC</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Epps, Ltd.</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Mauritius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B.V.</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Netherlands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Canada Inc.</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Canada</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Chile Comercial e Industrial Ltda.</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Chile</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del Pacifico Comercial e Industrial Limitada</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Chile</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do Brasil Comercio e Industria Ltda.</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Brazil</w:t>
            </w:r>
          </w:p>
        </w:tc>
      </w:tr>
      <w:tr>
        <w:trPr>
          <w:trHeight w:val="311"/>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Europa (G.B.) Limited</w:t>
            </w: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Europe B.V.</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Netherlands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Europe Holding B.V.</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Netherlands</w:t>
            </w:r>
          </w:p>
        </w:tc>
      </w:tr>
      <w:tr>
        <w:trPr>
          <w:trHeight w:val="311"/>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France Sarl</w:t>
            </w: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France</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Global Company</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GmbH</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Germany</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International Corporation</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Italia S.r.l.</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Italy</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Lightning Technologies Pty Limited</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Australia</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Limited</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Hong Kong</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Ltd.</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China</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Mexico, S.A. de C.V.</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Mexico</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Pacific Ltd.</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Taiwan</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Poland SP. Z.o.o.</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Poland</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Products Australia Pty Limited</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Australia</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ERICO US Holding LLC</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ETE Coliban Pty Limited</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Australia</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EuroPentair GmbH</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Germany</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Everpure Japan Kabushiki Kaisha</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Japan</w:t>
            </w:r>
          </w:p>
        </w:tc>
      </w:tr>
      <w:tr>
        <w:trPr>
          <w:trHeight w:val="33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FARADYNE Motors (Suzhou) Co., Ltd </w:t>
            </w:r>
            <w:r>
              <w:rPr>
                <w:rFonts w:ascii="Times New Roman" w:cs="Times New Roman" w:eastAsia="Times New Roman" w:hAnsi="Times New Roman"/>
                <w:sz w:val="21"/>
                <w:szCs w:val="21"/>
                <w:color w:val="auto"/>
                <w:vertAlign w:val="superscript"/>
              </w:rPr>
              <w:t>(2)</w:t>
            </w: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China</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Faradyne Motors LLC </w:t>
            </w:r>
            <w:r>
              <w:rPr>
                <w:rFonts w:ascii="Times New Roman" w:cs="Times New Roman" w:eastAsia="Times New Roman" w:hAnsi="Times New Roman"/>
                <w:sz w:val="21"/>
                <w:szCs w:val="21"/>
                <w:color w:val="auto"/>
                <w:vertAlign w:val="superscript"/>
              </w:rPr>
              <w:t>(2)</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FilterSoft, LLC</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Fleck Controls, Inc.</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Goyen Controls Co Pty Ltd</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Australia</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Goyen Controls Co UK Limited</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Goyen Valve LLC</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Great American Aquaculture, LLC</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Greenspan Environmental Technology Pty Ltd</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Australia</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Greenspan Singapore Private Limited</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Singapore</w:t>
            </w:r>
          </w:p>
        </w:tc>
      </w:tr>
      <w:tr>
        <w:trPr>
          <w:trHeight w:val="311"/>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Haffmans B.V.</w:t>
            </w: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Netherlands</w:t>
            </w:r>
          </w:p>
        </w:tc>
      </w:tr>
      <w:tr>
        <w:trPr>
          <w:trHeight w:val="311"/>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Haffmans North America, Inc.</w:t>
            </w: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Hawley Group Canada Limited</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Canada</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Hoffman Enclosures (Mex.), LLC</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70"/>
        </w:trPr>
        <w:tc>
          <w:tcPr>
            <w:tcW w:w="3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Hoffman Enclosures Inc.</w:t>
            </w:r>
          </w:p>
        </w:tc>
        <w:tc>
          <w:tcPr>
            <w:tcW w:w="3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United States</w:t>
            </w:r>
          </w:p>
        </w:tc>
      </w:tr>
    </w:tbl>
    <w:p>
      <w:pPr>
        <w:sectPr>
          <w:pgSz w:w="11900" w:h="16838" w:orient="portrait"/>
          <w:cols w:equalWidth="0" w:num="1">
            <w:col w:w="11420"/>
          </w:cols>
          <w:pgMar w:left="240" w:top="576"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color w:val="auto"/>
        </w:rPr>
        <w:t>Hoffman Enclosures Mexico, S. de R.L. de C.V.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Hoffman Schroff Pte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Singapore</w:t>
      </w:r>
    </w:p>
    <w:p>
      <w:pPr>
        <w:spacing w:after="0" w:line="138" w:lineRule="exact"/>
        <w:rPr>
          <w:sz w:val="20"/>
          <w:szCs w:val="20"/>
          <w:color w:val="auto"/>
        </w:rPr>
      </w:pPr>
    </w:p>
    <w:p>
      <w:pPr>
        <w:sectPr>
          <w:pgSz w:w="11900" w:h="16838" w:orient="portrait"/>
          <w:cols w:equalWidth="0" w:num="2">
            <w:col w:w="6360" w:space="720"/>
            <w:col w:w="3099"/>
          </w:cols>
          <w:pgMar w:left="280" w:top="760" w:right="1440" w:bottom="1081" w:gutter="0" w:footer="0" w:header="0"/>
        </w:sectPr>
      </w:pPr>
    </w:p>
    <w:p>
      <w:pPr>
        <w:spacing w:after="0"/>
        <w:rPr>
          <w:sz w:val="20"/>
          <w:szCs w:val="20"/>
          <w:color w:val="auto"/>
        </w:rPr>
      </w:pPr>
      <w:r>
        <w:rPr>
          <w:rFonts w:ascii="Times New Roman" w:cs="Times New Roman" w:eastAsia="Times New Roman" w:hAnsi="Times New Roman"/>
          <w:sz w:val="15"/>
          <w:szCs w:val="15"/>
          <w:color w:val="auto"/>
        </w:rPr>
        <w:t>Holding Nijhuis Pompen B.V.</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Hypro EU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138" w:lineRule="exact"/>
        <w:rPr>
          <w:sz w:val="20"/>
          <w:szCs w:val="20"/>
          <w:color w:val="auto"/>
        </w:rPr>
      </w:pPr>
    </w:p>
    <w:p>
      <w:pPr>
        <w:sectPr>
          <w:pgSz w:w="11900" w:h="16838" w:orient="portrait"/>
          <w:cols w:equalWidth="0" w:num="2">
            <w:col w:w="6360" w:space="720"/>
            <w:col w:w="3099"/>
          </w:cols>
          <w:pgMar w:left="280" w:top="760" w:right="1440" w:bottom="1081"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 xml:space="preserve">Infinite Water Solutions Private Limited </w:t>
      </w:r>
      <w:r>
        <w:rPr>
          <w:rFonts w:ascii="Times New Roman" w:cs="Times New Roman" w:eastAsia="Times New Roman" w:hAnsi="Times New Roman"/>
          <w:sz w:val="10"/>
          <w:szCs w:val="10"/>
          <w:color w:val="auto"/>
        </w:rPr>
        <w:t>(2)</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Jung Pumpen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Limited Liability Company Pentair Rus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Lincoln Automotive Company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McNeil (Ohio) Corporation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MECAIR S.r.L.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Milperra Developments Pty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Moraine Properties,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Nano Terra, Inc. </w:t>
      </w:r>
      <w:r>
        <w:rPr>
          <w:rFonts w:ascii="Times New Roman" w:cs="Times New Roman" w:eastAsia="Times New Roman" w:hAnsi="Times New Roman"/>
          <w:sz w:val="10"/>
          <w:szCs w:val="10"/>
          <w:color w:val="auto"/>
        </w:rPr>
        <w:t>(3)</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Nijhuis International B.V.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Nijhuis Pompen B.V.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Nijhuis Pompen BVBA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Nijhuis Pompen Exploitatiemaatschappij B.V.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Finance Group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Finance Holding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Finance S.a.r.l.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Global S.a.r.l.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Holdings,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International (UK)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International Holding S.a.r.l.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Russian Federation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127" w:lineRule="exact"/>
        <w:rPr>
          <w:sz w:val="20"/>
          <w:szCs w:val="20"/>
          <w:color w:val="auto"/>
        </w:rPr>
      </w:pPr>
    </w:p>
    <w:p>
      <w:pPr>
        <w:sectPr>
          <w:pgSz w:w="11900" w:h="16838" w:orient="portrait"/>
          <w:cols w:equalWidth="0" w:num="2">
            <w:col w:w="6360" w:space="720"/>
            <w:col w:w="3099"/>
          </w:cols>
          <w:pgMar w:left="280" w:top="760" w:right="1440" w:bottom="1081"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nVent International Holdings, Inc.</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Luxembourg S.a.r.l.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Management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127" w:lineRule="exact"/>
        <w:rPr>
          <w:sz w:val="20"/>
          <w:szCs w:val="20"/>
          <w:color w:val="auto"/>
        </w:rPr>
      </w:pPr>
    </w:p>
    <w:p>
      <w:pPr>
        <w:sectPr>
          <w:pgSz w:w="11900" w:h="16838" w:orient="portrait"/>
          <w:cols w:equalWidth="0" w:num="2">
            <w:col w:w="6360" w:space="720"/>
            <w:col w:w="3099"/>
          </w:cols>
          <w:pgMar w:left="280" w:top="760" w:right="1440" w:bottom="1081"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nVent Middle East FZE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Services Canada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Services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Services Holding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Thermal Europe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nVent UK Holdings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Optima Enclosures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Panthro Acquisition Co.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(NZ)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Aquatic Eco-Systems (Canada),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Aquatic Eco-Systems,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Asia Pte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Australia Holdings Pty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Bermuda Holdings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Arab Emirates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Bermuda</w:t>
      </w:r>
    </w:p>
    <w:p>
      <w:pPr>
        <w:spacing w:after="0" w:line="127" w:lineRule="exact"/>
        <w:rPr>
          <w:sz w:val="20"/>
          <w:szCs w:val="20"/>
          <w:color w:val="auto"/>
        </w:rPr>
      </w:pPr>
    </w:p>
    <w:p>
      <w:pPr>
        <w:sectPr>
          <w:pgSz w:w="11900" w:h="16838" w:orient="portrait"/>
          <w:cols w:equalWidth="0" w:num="2">
            <w:col w:w="6360" w:space="720"/>
            <w:col w:w="3099"/>
          </w:cols>
          <w:pgMar w:left="280" w:top="760" w:right="1440" w:bottom="1081"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Pentair Bermuda,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Beteiligungs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Canada,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Chile SpA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Clean Process Technologies India Private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Denmark Holding ApS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DMP Corp.</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Electronic Packaging de Mexico S.a.r.l.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Electronics &amp; Electrical Protection China Co.,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Enclosures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Enclosures S. de R.L. de C.V.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Environmental Systems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Chile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Denmark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ectPr>
          <w:pgSz w:w="11900" w:h="16838" w:orient="portrait"/>
          <w:cols w:equalWidth="0" w:num="2">
            <w:col w:w="6360" w:space="720"/>
            <w:col w:w="3099"/>
          </w:cols>
          <w:pgMar w:left="280" w:top="760" w:right="1440" w:bottom="1081"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color w:val="auto"/>
        </w:rPr>
        <w:t>Pentair Epsilon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European Security Holdings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Bermuda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127" w:lineRule="exact"/>
        <w:rPr>
          <w:sz w:val="20"/>
          <w:szCs w:val="20"/>
          <w:color w:val="auto"/>
        </w:rPr>
      </w:pPr>
    </w:p>
    <w:p>
      <w:pPr>
        <w:sectPr>
          <w:pgSz w:w="11900" w:h="16838" w:orient="portrait"/>
          <w:cols w:equalWidth="0" w:num="2">
            <w:col w:w="6360" w:space="720"/>
            <w:col w:w="3099"/>
          </w:cols>
          <w:pgMar w:left="280" w:top="760" w:right="1440"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Pentair Federal Pump,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127" w:lineRule="exact"/>
        <w:rPr>
          <w:sz w:val="20"/>
          <w:szCs w:val="20"/>
          <w:color w:val="auto"/>
        </w:rPr>
      </w:pPr>
    </w:p>
    <w:p>
      <w:pPr>
        <w:sectPr>
          <w:pgSz w:w="11900" w:h="16838" w:orient="portrait"/>
          <w:cols w:equalWidth="0" w:num="2">
            <w:col w:w="6360" w:space="720"/>
            <w:col w:w="3099"/>
          </w:cols>
          <w:pgMar w:left="280" w:top="76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Pentair Filtration Solutions,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Finance Group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Finance Holding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Finance S.a.r.l.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Flow Control Holding NL B.V.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Flow Control International Pty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Flow FZE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Flow Services AG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Flow Technologies de Mexico, S. de R.L. de C.V.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Flow Technologies Pacific Pty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Flow Technologies,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France SARL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Germany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Global Holdings B.V.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Global S.a.r.l.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Group (Thailand)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Holdings C.V.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Holdings S.a.r.l.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Holdings,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Housing,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Housing, LP</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Iceland Holdings ehf</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International Armaturen Holding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International Holding S.a.r.l.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International PLT Deutschland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International Sarl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Investments Switzerland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Ireland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Janus Holding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Janus Holdings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Kenya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Lionel Acquisition Co.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Luxembourg S.a.r.l.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Management Company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Manufacturing Belgium BVBA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Manufacturing France S.A.S.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Manufacturing Italy S.r.L.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Middle East FZE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Nanosoft Bermuda Holdings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Nanosoft US Holdings,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Netherlands Holding B.V.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Pacific Rim (Water)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Pacific Rim,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Pentair Philippines, Inc. </w:t>
      </w:r>
      <w:r>
        <w:rPr>
          <w:rFonts w:ascii="Times New Roman" w:cs="Times New Roman" w:eastAsia="Times New Roman" w:hAnsi="Times New Roman"/>
          <w:sz w:val="10"/>
          <w:szCs w:val="10"/>
          <w:color w:val="auto"/>
        </w:rPr>
        <w:t>(4)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Poland Sp.z.o.o.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Project Services Canada,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Residential Filtration,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Services France S.A.S.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Shenzhen Enclosure Company,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Steinhauer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Arab Emirates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Iceland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Bermuda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Kenya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Arab Emirates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Bermuda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Philippines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ectPr>
          <w:pgSz w:w="11900" w:h="16838" w:orient="portrait"/>
          <w:cols w:equalWidth="0" w:num="2">
            <w:col w:w="6360" w:space="720"/>
            <w:col w:w="3099"/>
          </w:cols>
          <w:pgMar w:left="280" w:top="760" w:right="1440"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color w:val="auto"/>
        </w:rPr>
        <w:t>Pentair Sudmo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Pentair Tamimi LLC </w:t>
      </w:r>
      <w:r>
        <w:rPr>
          <w:rFonts w:ascii="Times New Roman" w:cs="Times New Roman" w:eastAsia="Times New Roman" w:hAnsi="Times New Roman"/>
          <w:sz w:val="10"/>
          <w:szCs w:val="10"/>
          <w:color w:val="auto"/>
        </w:rPr>
        <w:t>(5)</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Taunus Eletrometalurgica Ltda.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Technical Products Holdings,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Technical Products India Private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Technical Products S.a.r.l.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Technical Products Service Co.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Technical Products,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Technical Products, S. de R.L. de C.V.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Pentair Technical Services L.L.C. </w:t>
      </w:r>
      <w:r>
        <w:rPr>
          <w:rFonts w:ascii="Times New Roman" w:cs="Times New Roman" w:eastAsia="Times New Roman" w:hAnsi="Times New Roman"/>
          <w:sz w:val="10"/>
          <w:szCs w:val="10"/>
          <w:color w:val="auto"/>
        </w:rPr>
        <w:t>(6)</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Technical Solutions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Technical Solutions Japan Co.,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Technical Solutions Nordic AB</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Technical Solutions S.r.l.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Technical Solutions SAS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Technical Solutions Shanghai Co.,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Technical Solutions UK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Teknoloji Sistemleri Ticaret Limited Sirketi</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(Shanghai) Co.,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(Shanghai) Engineering Co.,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Belgium NV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Canada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Czech, s.r.o.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France SAS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Germany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Holding Germany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Holdings B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Saudi Arabia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Arab Emirates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Sweden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Turkey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127" w:lineRule="exact"/>
        <w:rPr>
          <w:sz w:val="20"/>
          <w:szCs w:val="20"/>
          <w:color w:val="auto"/>
        </w:rPr>
      </w:pPr>
    </w:p>
    <w:p>
      <w:pPr>
        <w:sectPr>
          <w:pgSz w:w="11900" w:h="16838" w:orient="portrait"/>
          <w:cols w:equalWidth="0" w:num="2">
            <w:col w:w="6360" w:space="720"/>
            <w:col w:w="3099"/>
          </w:cols>
          <w:pgMar w:left="280" w:top="760" w:right="1440"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Pentair Thermal Management India Private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India</w:t>
      </w:r>
    </w:p>
    <w:p>
      <w:pPr>
        <w:spacing w:after="0" w:line="138" w:lineRule="exact"/>
        <w:rPr>
          <w:sz w:val="20"/>
          <w:szCs w:val="20"/>
          <w:color w:val="auto"/>
        </w:rPr>
      </w:pPr>
    </w:p>
    <w:p>
      <w:pPr>
        <w:sectPr>
          <w:pgSz w:w="11900" w:h="16838" w:orient="portrait"/>
          <w:cols w:equalWidth="0" w:num="2">
            <w:col w:w="6360" w:space="720"/>
            <w:col w:w="3099"/>
          </w:cols>
          <w:pgMar w:left="280" w:top="76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Pentair Thermal Management Korea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KZ LLP</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Netherlands B.V.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Norway AS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Polska Sp. z.o.o.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Thermal Management Romania SRL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Trading (Shanghai) Co.,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Transport,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Tubing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UK Group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UK Holdings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Valves &amp; Controls del Uruguay S.A.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Verwaltungs GmbH and Co. KG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(Suzhou) Company,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Asia Pacific Pte.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Australia Pty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Belgium BVBA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Brazil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do Brasil Ltda.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France SAS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Group,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Holdings Pty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Korea, Republic of</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Kazakhstan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Norway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Romania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Uruguay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ectPr>
          <w:pgSz w:w="11900" w:h="16838" w:orient="portrait"/>
          <w:cols w:equalWidth="0" w:num="2">
            <w:col w:w="6360" w:space="720"/>
            <w:col w:w="3099"/>
          </w:cols>
          <w:pgMar w:left="280" w:top="760" w:right="1440"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color w:val="auto"/>
        </w:rPr>
        <w:t>Pentair Water India Private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Italy S.r.l.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Latinamerica S.A.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New Zealand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Operations Australia Pty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Polska Sp.zoo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Pool and Spa,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Proces Technologie Holding B.V.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Process Technology B.V.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Purification Systems (Shanghai) Co.,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South Africa (Proprietary)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Spain, S.L.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Treatment (OH) Company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Treatment Company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Pentair Water Treatment Private Limited </w:t>
      </w:r>
      <w:r>
        <w:rPr>
          <w:rFonts w:ascii="Times New Roman" w:cs="Times New Roman" w:eastAsia="Times New Roman" w:hAnsi="Times New Roman"/>
          <w:sz w:val="10"/>
          <w:szCs w:val="10"/>
          <w:color w:val="auto"/>
        </w:rPr>
        <w:t>(7)</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Water-Mexico, S. de R.L. de C.V.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Pentair,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Penwald Insurance Company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Peocon ehf.</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PES Pty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PFAM,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Plymouth Products,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PNR Technical Solutions Finland Oy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Porter-Cable de Mexico S.A. de C.V.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Productos ERICO, S.A.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PTG Accessories Corp.</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Raychem HTS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Schroff Co. Ltd. Taiwan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Schroff Holdings Germany GmbH</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Schroff UK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Seghers-Applied Pty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Seneca Enterprises Co.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Sta-Rite de Mexico, S.A. de C.V.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Sta-Rite de Puerto Rico,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Sta-Rite Industries,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Sudmo (UK)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Surface Logix LLC </w:t>
      </w:r>
      <w:r>
        <w:rPr>
          <w:rFonts w:ascii="Times New Roman" w:cs="Times New Roman" w:eastAsia="Times New Roman" w:hAnsi="Times New Roman"/>
          <w:sz w:val="10"/>
          <w:szCs w:val="10"/>
          <w:color w:val="auto"/>
        </w:rPr>
        <w:t>(8)</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Tracer Construction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Tracer Industries Canada Limited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Tracer Industries Management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Tracer Industries,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Tupelo Real Estate,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Union Engineering (NingBo) Co., Ltd.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Union Engineering A/S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Union Engineering Holding II A/S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Union Engineering Holding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Union Engineering Latam Ltda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Argentina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Africa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Iceland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Finland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Taiwan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Denmark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Denmark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127" w:lineRule="exact"/>
        <w:rPr>
          <w:sz w:val="20"/>
          <w:szCs w:val="20"/>
          <w:color w:val="auto"/>
        </w:rPr>
      </w:pPr>
    </w:p>
    <w:p>
      <w:pPr>
        <w:sectPr>
          <w:pgSz w:w="11900" w:h="16838" w:orient="portrait"/>
          <w:cols w:equalWidth="0" w:num="2">
            <w:col w:w="6360" w:space="720"/>
            <w:col w:w="3099"/>
          </w:cols>
          <w:pgMar w:left="280" w:top="760" w:right="1440" w:bottom="973" w:gutter="0" w:footer="0" w:header="0"/>
        </w:sectPr>
      </w:pPr>
    </w:p>
    <w:p>
      <w:pPr>
        <w:spacing w:after="0"/>
        <w:rPr>
          <w:sz w:val="20"/>
          <w:szCs w:val="20"/>
          <w:color w:val="auto"/>
        </w:rPr>
      </w:pPr>
      <w:r>
        <w:rPr>
          <w:rFonts w:ascii="Times New Roman" w:cs="Times New Roman" w:eastAsia="Times New Roman" w:hAnsi="Times New Roman"/>
          <w:sz w:val="16"/>
          <w:szCs w:val="16"/>
          <w:color w:val="auto"/>
        </w:rPr>
        <w:t>Union Engineering North America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Urban Organics Pentair Group, LLC </w:t>
      </w:r>
      <w:r>
        <w:rPr>
          <w:rFonts w:ascii="Times New Roman" w:cs="Times New Roman" w:eastAsia="Times New Roman" w:hAnsi="Times New Roman"/>
          <w:sz w:val="10"/>
          <w:szCs w:val="10"/>
          <w:color w:val="auto"/>
        </w:rPr>
        <w:t>(9)</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Urban Organics Schmidt Real Estate Group,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Urban Organics St. Paul, LLC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Vaki A/S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Vaki Aquaculture Systems ehf.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Norway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Iceland</w:t>
      </w:r>
    </w:p>
    <w:p>
      <w:pPr>
        <w:sectPr>
          <w:pgSz w:w="11900" w:h="16838" w:orient="portrait"/>
          <w:cols w:equalWidth="0" w:num="2">
            <w:col w:w="6360" w:space="720"/>
            <w:col w:w="3099"/>
          </w:cols>
          <w:pgMar w:left="280" w:top="760" w:right="1440" w:bottom="973"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5"/>
          <w:szCs w:val="15"/>
          <w:color w:val="auto"/>
        </w:rPr>
        <w:t>Vaki Chile Ltda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Chile</w:t>
      </w:r>
    </w:p>
    <w:p>
      <w:pPr>
        <w:spacing w:after="0" w:line="98" w:lineRule="exact"/>
        <w:rPr>
          <w:sz w:val="20"/>
          <w:szCs w:val="20"/>
          <w:color w:val="auto"/>
        </w:rPr>
      </w:pPr>
    </w:p>
    <w:p>
      <w:pPr>
        <w:sectPr>
          <w:pgSz w:w="11900" w:h="16838" w:orient="portrait"/>
          <w:cols w:equalWidth="0" w:num="2">
            <w:col w:w="6360" w:space="720"/>
            <w:col w:w="3099"/>
          </w:cols>
          <w:pgMar w:left="280" w:top="760" w:right="1440" w:bottom="1440" w:gutter="0" w:footer="0" w:header="0"/>
        </w:sectPr>
      </w:pPr>
    </w:p>
    <w:p>
      <w:pPr>
        <w:spacing w:after="0"/>
        <w:rPr>
          <w:sz w:val="20"/>
          <w:szCs w:val="20"/>
          <w:color w:val="auto"/>
        </w:rPr>
      </w:pPr>
      <w:r>
        <w:rPr>
          <w:rFonts w:ascii="Times New Roman" w:cs="Times New Roman" w:eastAsia="Times New Roman" w:hAnsi="Times New Roman"/>
          <w:sz w:val="15"/>
          <w:szCs w:val="15"/>
          <w:color w:val="auto"/>
        </w:rPr>
        <w:t>Vaki Scotland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98" w:lineRule="exact"/>
        <w:rPr>
          <w:sz w:val="20"/>
          <w:szCs w:val="20"/>
          <w:color w:val="auto"/>
        </w:rPr>
      </w:pPr>
    </w:p>
    <w:p>
      <w:pPr>
        <w:sectPr>
          <w:pgSz w:w="11900" w:h="16838" w:orient="portrait"/>
          <w:cols w:equalWidth="0" w:num="2">
            <w:col w:w="6360" w:space="720"/>
            <w:col w:w="3099"/>
          </w:cols>
          <w:pgMar w:left="280" w:top="76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 xml:space="preserve">Voltea Ltd. </w:t>
      </w: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United Kingdom</w:t>
      </w:r>
    </w:p>
    <w:p>
      <w:pPr>
        <w:spacing w:after="0" w:line="97" w:lineRule="exact"/>
        <w:rPr>
          <w:sz w:val="20"/>
          <w:szCs w:val="20"/>
          <w:color w:val="auto"/>
        </w:rPr>
      </w:pPr>
    </w:p>
    <w:p>
      <w:pPr>
        <w:sectPr>
          <w:pgSz w:w="11900" w:h="16838" w:orient="portrait"/>
          <w:cols w:equalWidth="0" w:num="2">
            <w:col w:w="6360" w:space="720"/>
            <w:col w:w="3099"/>
          </w:cols>
          <w:pgMar w:left="280" w:top="76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Webster Electric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United States</w:t>
      </w:r>
    </w:p>
    <w:p>
      <w:pPr>
        <w:spacing w:after="0" w:line="86" w:lineRule="exact"/>
        <w:rPr>
          <w:sz w:val="20"/>
          <w:szCs w:val="20"/>
          <w:color w:val="auto"/>
        </w:rPr>
      </w:pPr>
    </w:p>
    <w:p>
      <w:pPr>
        <w:sectPr>
          <w:pgSz w:w="11900" w:h="16838" w:orient="portrait"/>
          <w:cols w:equalWidth="0" w:num="2">
            <w:col w:w="6360" w:space="720"/>
            <w:col w:w="3099"/>
          </w:cols>
          <w:pgMar w:left="280" w:top="76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Wicor Industries (Australia)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Australia</w:t>
      </w:r>
    </w:p>
    <w:p>
      <w:pPr>
        <w:spacing w:after="0" w:line="98" w:lineRule="exact"/>
        <w:rPr>
          <w:sz w:val="20"/>
          <w:szCs w:val="20"/>
          <w:color w:val="auto"/>
        </w:rPr>
      </w:pPr>
    </w:p>
    <w:p>
      <w:pPr>
        <w:sectPr>
          <w:pgSz w:w="11900" w:h="16838" w:orient="portrait"/>
          <w:cols w:equalWidth="0" w:num="2">
            <w:col w:w="6360" w:space="720"/>
            <w:col w:w="3099"/>
          </w:cols>
          <w:pgMar w:left="280" w:top="76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X-Flow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86" w:lineRule="exact"/>
        <w:rPr>
          <w:sz w:val="20"/>
          <w:szCs w:val="20"/>
          <w:color w:val="auto"/>
        </w:rPr>
      </w:pPr>
    </w:p>
    <w:p>
      <w:pPr>
        <w:sectPr>
          <w:pgSz w:w="11900" w:h="16838" w:orient="portrait"/>
          <w:cols w:equalWidth="0" w:num="2">
            <w:col w:w="6360" w:space="720"/>
            <w:col w:w="3099"/>
          </w:cols>
          <w:pgMar w:left="280" w:top="76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Yabaida Electronics (Shenzhen) Company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130810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6360" w:space="720"/>
            <w:col w:w="3099"/>
          </w:cols>
          <w:pgMar w:left="280" w:top="760" w:right="1440" w:bottom="1440" w:gutter="0" w:footer="0" w:header="0"/>
          <w:type w:val="continuous"/>
        </w:sectPr>
      </w:pPr>
    </w:p>
    <w:p>
      <w:pPr>
        <w:ind w:left="460" w:hanging="346"/>
        <w:spacing w:after="0"/>
        <w:tabs>
          <w:tab w:leader="none" w:pos="46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47% owned</w:t>
      </w:r>
    </w:p>
    <w:p>
      <w:pPr>
        <w:spacing w:after="0" w:line="58" w:lineRule="exact"/>
        <w:rPr>
          <w:rFonts w:ascii="Times New Roman" w:cs="Times New Roman" w:eastAsia="Times New Roman" w:hAnsi="Times New Roman"/>
          <w:sz w:val="22"/>
          <w:szCs w:val="22"/>
          <w:color w:val="auto"/>
          <w:vertAlign w:val="superscript"/>
        </w:rPr>
      </w:pPr>
    </w:p>
    <w:p>
      <w:pPr>
        <w:ind w:left="460" w:hanging="346"/>
        <w:spacing w:after="0" w:line="188" w:lineRule="auto"/>
        <w:tabs>
          <w:tab w:leader="none" w:pos="46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50% owned</w:t>
      </w:r>
    </w:p>
    <w:p>
      <w:pPr>
        <w:spacing w:after="0" w:line="64" w:lineRule="exact"/>
        <w:rPr>
          <w:rFonts w:ascii="Times New Roman" w:cs="Times New Roman" w:eastAsia="Times New Roman" w:hAnsi="Times New Roman"/>
          <w:sz w:val="22"/>
          <w:szCs w:val="22"/>
          <w:color w:val="auto"/>
          <w:vertAlign w:val="superscript"/>
        </w:rPr>
      </w:pPr>
    </w:p>
    <w:p>
      <w:pPr>
        <w:ind w:left="460" w:hanging="346"/>
        <w:spacing w:after="0" w:line="182" w:lineRule="auto"/>
        <w:tabs>
          <w:tab w:leader="none" w:pos="46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4.81% owned</w:t>
      </w:r>
    </w:p>
    <w:p>
      <w:pPr>
        <w:spacing w:after="0" w:line="64" w:lineRule="exact"/>
        <w:rPr>
          <w:rFonts w:ascii="Times New Roman" w:cs="Times New Roman" w:eastAsia="Times New Roman" w:hAnsi="Times New Roman"/>
          <w:sz w:val="22"/>
          <w:szCs w:val="22"/>
          <w:color w:val="auto"/>
          <w:vertAlign w:val="superscript"/>
        </w:rPr>
      </w:pPr>
    </w:p>
    <w:p>
      <w:pPr>
        <w:ind w:left="460" w:hanging="346"/>
        <w:spacing w:after="0" w:line="191" w:lineRule="auto"/>
        <w:tabs>
          <w:tab w:leader="none" w:pos="460" w:val="left"/>
        </w:tabs>
        <w:numPr>
          <w:ilvl w:val="0"/>
          <w:numId w:val="8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99.99% owned</w:t>
      </w:r>
    </w:p>
    <w:p>
      <w:pPr>
        <w:spacing w:after="0" w:line="58" w:lineRule="exact"/>
        <w:rPr>
          <w:rFonts w:ascii="Times New Roman" w:cs="Times New Roman" w:eastAsia="Times New Roman" w:hAnsi="Times New Roman"/>
          <w:sz w:val="21"/>
          <w:szCs w:val="21"/>
          <w:color w:val="auto"/>
          <w:vertAlign w:val="superscript"/>
        </w:rPr>
      </w:pPr>
    </w:p>
    <w:p>
      <w:pPr>
        <w:ind w:left="460" w:hanging="346"/>
        <w:spacing w:after="0" w:line="188" w:lineRule="auto"/>
        <w:tabs>
          <w:tab w:leader="none" w:pos="46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70% owned</w:t>
      </w:r>
    </w:p>
    <w:p>
      <w:pPr>
        <w:spacing w:after="0" w:line="58" w:lineRule="exact"/>
        <w:rPr>
          <w:rFonts w:ascii="Times New Roman" w:cs="Times New Roman" w:eastAsia="Times New Roman" w:hAnsi="Times New Roman"/>
          <w:sz w:val="22"/>
          <w:szCs w:val="22"/>
          <w:color w:val="auto"/>
          <w:vertAlign w:val="superscript"/>
        </w:rPr>
      </w:pPr>
    </w:p>
    <w:p>
      <w:pPr>
        <w:ind w:left="460" w:hanging="346"/>
        <w:spacing w:after="0" w:line="188" w:lineRule="auto"/>
        <w:tabs>
          <w:tab w:leader="none" w:pos="46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49% owned</w:t>
      </w:r>
    </w:p>
    <w:p>
      <w:pPr>
        <w:spacing w:after="0" w:line="58" w:lineRule="exact"/>
        <w:rPr>
          <w:rFonts w:ascii="Times New Roman" w:cs="Times New Roman" w:eastAsia="Times New Roman" w:hAnsi="Times New Roman"/>
          <w:sz w:val="22"/>
          <w:szCs w:val="22"/>
          <w:color w:val="auto"/>
          <w:vertAlign w:val="superscript"/>
        </w:rPr>
      </w:pPr>
    </w:p>
    <w:p>
      <w:pPr>
        <w:ind w:left="460" w:hanging="346"/>
        <w:spacing w:after="0" w:line="188" w:lineRule="auto"/>
        <w:tabs>
          <w:tab w:leader="none" w:pos="46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74% owned</w:t>
      </w:r>
    </w:p>
    <w:p>
      <w:pPr>
        <w:spacing w:after="0" w:line="64" w:lineRule="exact"/>
        <w:rPr>
          <w:rFonts w:ascii="Times New Roman" w:cs="Times New Roman" w:eastAsia="Times New Roman" w:hAnsi="Times New Roman"/>
          <w:sz w:val="22"/>
          <w:szCs w:val="22"/>
          <w:color w:val="auto"/>
          <w:vertAlign w:val="superscript"/>
        </w:rPr>
      </w:pPr>
    </w:p>
    <w:p>
      <w:pPr>
        <w:ind w:left="460" w:hanging="346"/>
        <w:spacing w:after="0" w:line="182" w:lineRule="auto"/>
        <w:tabs>
          <w:tab w:leader="none" w:pos="460"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0.03% owned</w:t>
      </w:r>
    </w:p>
    <w:p>
      <w:pPr>
        <w:spacing w:after="0" w:line="64" w:lineRule="exact"/>
        <w:rPr>
          <w:rFonts w:ascii="Times New Roman" w:cs="Times New Roman" w:eastAsia="Times New Roman" w:hAnsi="Times New Roman"/>
          <w:sz w:val="22"/>
          <w:szCs w:val="22"/>
          <w:color w:val="auto"/>
          <w:vertAlign w:val="superscript"/>
        </w:rPr>
      </w:pPr>
    </w:p>
    <w:p>
      <w:pPr>
        <w:ind w:left="460" w:hanging="346"/>
        <w:spacing w:after="0" w:line="191" w:lineRule="auto"/>
        <w:tabs>
          <w:tab w:leader="none" w:pos="460" w:val="left"/>
        </w:tabs>
        <w:numPr>
          <w:ilvl w:val="0"/>
          <w:numId w:val="8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69.87% owned</w:t>
      </w:r>
    </w:p>
    <w:p>
      <w:pPr>
        <w:spacing w:after="0" w:line="4" w:lineRule="exact"/>
        <w:rPr>
          <w:sz w:val="20"/>
          <w:szCs w:val="20"/>
          <w:color w:val="auto"/>
        </w:rPr>
      </w:pPr>
    </w:p>
    <w:p>
      <w:pPr>
        <w:ind w:left="460" w:hanging="373"/>
        <w:spacing w:after="0"/>
        <w:tabs>
          <w:tab w:leader="none" w:pos="460" w:val="left"/>
        </w:tabs>
        <w:numPr>
          <w:ilvl w:val="0"/>
          <w:numId w:val="8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10% owned</w:t>
      </w:r>
    </w:p>
    <w:p>
      <w:pPr>
        <w:sectPr>
          <w:pgSz w:w="11900" w:h="16838" w:orient="portrait"/>
          <w:cols w:equalWidth="0" w:num="1">
            <w:col w:w="10179"/>
          </w:cols>
          <w:pgMar w:left="280" w:top="760" w:right="1440" w:bottom="1440" w:gutter="0" w:footer="0" w:header="0"/>
          <w:type w:val="continuous"/>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333-184150, 333-184151 and 333-184152 on Form S-8 and Registration Statement Nos. 333-204066 and 333-209769 on Form S-3 of our reports dated February 27, 2018, relating to the consolidated financial statements and consolidated financial statement schedule of Pentair plc and subsidiaries, and the effectiveness of Pentair plc and subsidiaries' internal control over financial reporting, appearing in this Annual Report on Form 10-K of Pentair plc and subsidiaries for the year ended December 31, 2017.</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2018</w:t>
      </w:r>
    </w:p>
    <w:p>
      <w:pPr>
        <w:sectPr>
          <w:pgSz w:w="11900" w:h="16838" w:orient="portrait"/>
          <w:cols w:equalWidth="0" w:num="1">
            <w:col w:w="11420"/>
          </w:cols>
          <w:pgMar w:left="240" w:top="576"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directors of Pentair plc, an entity organized under the laws of Ireland, hereby constitute and appoint John L. Stauch and Angela D. Jilek, or either of them, his/her attorney-in-fact and agent, with full power of substitution, for the purpose of signing on his/her behalf as a director of Pentair plc the Annual Report on Form 10-K, to be filed with the Securities and Exchange Commission within the next sixty days, and to file the same, with all exhibits thereto and other supporting documents, with the Commission, granting unto such attorney-in-fact, full power and authority to do and perform any and all acts necessary or incidental to the performance and execution of the powers herein expressly granted.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2018</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
        </w:trPr>
        <w:tc>
          <w:tcPr>
            <w:tcW w:w="2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85"/>
        </w:trPr>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Glynis A. Bryan</w:t>
            </w:r>
          </w:p>
        </w:tc>
        <w:tc>
          <w:tcPr>
            <w:tcW w:w="6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Glynis A. Bryan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Jerry W. Burris</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Jerry W. Burris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Carol A. Davidson</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Carol A. Davidson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Jacques Esculier</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Jacques Esculier</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Edward P. Garden</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Edward P. Garden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T. Michael Glenn</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 Michael Glenn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David H. Y. Ho</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David H. Y. Ho</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David A. Jones</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David A. Jones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Ronald L. Merriman</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Ronald L. Merriman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William T. Monahan</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William T. Monahan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2"/>
        </w:trPr>
        <w:tc>
          <w:tcPr>
            <w:tcW w:w="6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Billie I. Williamson</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2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Billie I. Williamson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ectPr>
          <w:pgSz w:w="11900" w:h="16838" w:orient="portrait"/>
          <w:cols w:equalWidth="0" w:num="1">
            <w:col w:w="11420"/>
          </w:cols>
          <w:pgMar w:left="240" w:top="576"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Randall J. Hogan, certify that:</w:t>
      </w:r>
    </w:p>
    <w:p>
      <w:pPr>
        <w:spacing w:after="0" w:line="225" w:lineRule="exact"/>
        <w:rPr>
          <w:sz w:val="20"/>
          <w:szCs w:val="20"/>
          <w:color w:val="auto"/>
        </w:rPr>
      </w:pPr>
    </w:p>
    <w:p>
      <w:pPr>
        <w:ind w:left="280" w:hanging="258"/>
        <w:spacing w:after="0"/>
        <w:tabs>
          <w:tab w:leader="none" w:pos="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10-K of Pentair plc;</w:t>
      </w:r>
    </w:p>
    <w:p>
      <w:pPr>
        <w:spacing w:after="0" w:line="225" w:lineRule="exact"/>
        <w:rPr>
          <w:rFonts w:ascii="Times New Roman" w:cs="Times New Roman" w:eastAsia="Times New Roman" w:hAnsi="Times New Roman"/>
          <w:sz w:val="18"/>
          <w:szCs w:val="18"/>
          <w:color w:val="auto"/>
        </w:rPr>
      </w:pPr>
    </w:p>
    <w:p>
      <w:pPr>
        <w:ind w:left="280" w:hanging="258"/>
        <w:spacing w:after="0" w:line="282" w:lineRule="auto"/>
        <w:tabs>
          <w:tab w:leader="none" w:pos="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80" w:hanging="258"/>
        <w:spacing w:after="0" w:line="282" w:lineRule="auto"/>
        <w:tabs>
          <w:tab w:leader="none" w:pos="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80" w:hanging="258"/>
        <w:spacing w:after="0" w:line="266" w:lineRule="auto"/>
        <w:tabs>
          <w:tab w:leader="none" w:pos="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500" w:hanging="262"/>
        <w:spacing w:after="0" w:line="266" w:lineRule="auto"/>
        <w:tabs>
          <w:tab w:leader="none" w:pos="5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500" w:hanging="262"/>
        <w:spacing w:after="0" w:line="266" w:lineRule="auto"/>
        <w:tabs>
          <w:tab w:leader="none" w:pos="5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00" w:hanging="262"/>
        <w:spacing w:after="0" w:line="282" w:lineRule="auto"/>
        <w:tabs>
          <w:tab w:leader="none" w:pos="5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262"/>
        <w:spacing w:after="0" w:line="266" w:lineRule="auto"/>
        <w:tabs>
          <w:tab w:leader="none" w:pos="5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280" w:hanging="258"/>
        <w:spacing w:after="0" w:line="282" w:lineRule="auto"/>
        <w:tabs>
          <w:tab w:leader="none" w:pos="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262"/>
        <w:spacing w:after="0" w:line="282" w:lineRule="auto"/>
        <w:tabs>
          <w:tab w:leader="none" w:pos="5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0" w:hanging="262"/>
        <w:spacing w:after="0" w:line="282" w:lineRule="auto"/>
        <w:tabs>
          <w:tab w:leader="none" w:pos="5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0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2018</w:t>
      </w:r>
      <w:r>
        <w:rPr>
          <w:sz w:val="20"/>
          <w:szCs w:val="20"/>
          <w:color w:val="auto"/>
        </w:rPr>
        <w:tab/>
      </w:r>
      <w:r>
        <w:rPr>
          <w:rFonts w:ascii="Times New Roman" w:cs="Times New Roman" w:eastAsia="Times New Roman" w:hAnsi="Times New Roman"/>
          <w:sz w:val="17"/>
          <w:szCs w:val="17"/>
          <w:color w:val="auto"/>
        </w:rPr>
        <w:t>/s/ Randall J.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Randall J. Hogan</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576"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 Stauch, certify that:</w:t>
      </w:r>
    </w:p>
    <w:p>
      <w:pPr>
        <w:spacing w:after="0" w:line="225" w:lineRule="exact"/>
        <w:rPr>
          <w:sz w:val="20"/>
          <w:szCs w:val="20"/>
          <w:color w:val="auto"/>
        </w:rPr>
      </w:pPr>
    </w:p>
    <w:p>
      <w:pPr>
        <w:ind w:left="280" w:hanging="258"/>
        <w:spacing w:after="0"/>
        <w:tabs>
          <w:tab w:leader="none" w:pos="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10-K of Pentair plc;</w:t>
      </w:r>
    </w:p>
    <w:p>
      <w:pPr>
        <w:spacing w:after="0" w:line="225" w:lineRule="exact"/>
        <w:rPr>
          <w:rFonts w:ascii="Times New Roman" w:cs="Times New Roman" w:eastAsia="Times New Roman" w:hAnsi="Times New Roman"/>
          <w:sz w:val="18"/>
          <w:szCs w:val="18"/>
          <w:color w:val="auto"/>
        </w:rPr>
      </w:pPr>
    </w:p>
    <w:p>
      <w:pPr>
        <w:ind w:left="280" w:hanging="258"/>
        <w:spacing w:after="0" w:line="282" w:lineRule="auto"/>
        <w:tabs>
          <w:tab w:leader="none" w:pos="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80" w:hanging="258"/>
        <w:spacing w:after="0" w:line="282" w:lineRule="auto"/>
        <w:tabs>
          <w:tab w:leader="none" w:pos="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80" w:hanging="258"/>
        <w:spacing w:after="0" w:line="266" w:lineRule="auto"/>
        <w:tabs>
          <w:tab w:leader="none" w:pos="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500" w:hanging="262"/>
        <w:spacing w:after="0" w:line="266" w:lineRule="auto"/>
        <w:tabs>
          <w:tab w:leader="none" w:pos="5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500" w:hanging="262"/>
        <w:spacing w:after="0" w:line="266" w:lineRule="auto"/>
        <w:tabs>
          <w:tab w:leader="none" w:pos="5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00" w:hanging="262"/>
        <w:spacing w:after="0" w:line="282" w:lineRule="auto"/>
        <w:tabs>
          <w:tab w:leader="none" w:pos="5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262"/>
        <w:spacing w:after="0" w:line="266" w:lineRule="auto"/>
        <w:tabs>
          <w:tab w:leader="none" w:pos="5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280" w:hanging="258"/>
        <w:spacing w:after="0" w:line="282" w:lineRule="auto"/>
        <w:tabs>
          <w:tab w:leader="none" w:pos="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262"/>
        <w:spacing w:after="0" w:line="282" w:lineRule="auto"/>
        <w:tabs>
          <w:tab w:leader="none" w:pos="5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0" w:hanging="262"/>
        <w:spacing w:after="0" w:line="282" w:lineRule="auto"/>
        <w:tabs>
          <w:tab w:leader="none" w:pos="5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0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2018</w:t>
      </w:r>
      <w:r>
        <w:rPr>
          <w:sz w:val="20"/>
          <w:szCs w:val="20"/>
          <w:color w:val="auto"/>
        </w:rPr>
        <w:tab/>
      </w:r>
      <w:r>
        <w:rPr>
          <w:rFonts w:ascii="Times New Roman" w:cs="Times New Roman" w:eastAsia="Times New Roman" w:hAnsi="Times New Roman"/>
          <w:sz w:val="17"/>
          <w:szCs w:val="17"/>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John L. Stauch</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Pentair plc (the “Company”) on Form 10-K for the period ended December 31, 2017 as filed with the Securities and Exchange Commission on the date hereof (the “Report”), I, Randall J. Hogan, Chairman and Chief Executive Officer of the Company, certify, pursuant to 18 U.S.C. § 1350, as adopted pursuant to Section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87" w:lineRule="exact"/>
        <w:rPr>
          <w:sz w:val="20"/>
          <w:szCs w:val="20"/>
          <w:color w:val="auto"/>
        </w:rPr>
      </w:pPr>
    </w:p>
    <w:p>
      <w:pPr>
        <w:ind w:left="40"/>
        <w:spacing w:after="0"/>
        <w:tabs>
          <w:tab w:leader="none" w:pos="70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2018</w:t>
      </w:r>
      <w:r>
        <w:rPr>
          <w:sz w:val="20"/>
          <w:szCs w:val="20"/>
          <w:color w:val="auto"/>
        </w:rPr>
        <w:tab/>
      </w:r>
      <w:r>
        <w:rPr>
          <w:rFonts w:ascii="Times New Roman" w:cs="Times New Roman" w:eastAsia="Times New Roman" w:hAnsi="Times New Roman"/>
          <w:sz w:val="17"/>
          <w:szCs w:val="17"/>
          <w:color w:val="auto"/>
        </w:rPr>
        <w:t>/s/ Randall J.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Randall J. Hogan</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576"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Pentair plc (the “Company”) on Form 10-K for the period ended December 31, 2017 as filed with the Securities and Exchange Commission on the date hereof (the “Report”), I, John L. Stauch, Executive Vice President and Chief Financial Officer of the Company, certify, pursuant to 18 U.S.C. § 1350, as adopted pursuant to Section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87" w:lineRule="exact"/>
        <w:rPr>
          <w:sz w:val="20"/>
          <w:szCs w:val="20"/>
          <w:color w:val="auto"/>
        </w:rPr>
      </w:pPr>
    </w:p>
    <w:p>
      <w:pPr>
        <w:ind w:left="40"/>
        <w:spacing w:after="0"/>
        <w:tabs>
          <w:tab w:leader="none" w:pos="70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2018</w:t>
      </w:r>
      <w:r>
        <w:rPr>
          <w:sz w:val="20"/>
          <w:szCs w:val="20"/>
          <w:color w:val="auto"/>
        </w:rPr>
        <w:tab/>
      </w:r>
      <w:r>
        <w:rPr>
          <w:rFonts w:ascii="Times New Roman" w:cs="Times New Roman" w:eastAsia="Times New Roman" w:hAnsi="Times New Roman"/>
          <w:sz w:val="17"/>
          <w:szCs w:val="17"/>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John L. Stauch</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1)"/>
      <w:numFmt w:val="lowerRoman"/>
      <w:start w:val="2"/>
    </w:lvl>
  </w:abstractNum>
  <w:abstractNum w:abstractNumId="9">
    <w:nsid w:val="684A481A"/>
    <w:multiLevelType w:val="hybridMultilevel"/>
    <w:lvl w:ilvl="0">
      <w:lvlJc w:val="left"/>
      <w:lvlText w:val="(%1)"/>
      <w:numFmt w:val="lowerLetter"/>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1."/>
      <w:numFmt w:val="decimal"/>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1."/>
      <w:numFmt w:val="decimal"/>
      <w:start w:val="2"/>
    </w:lvl>
  </w:abstractNum>
  <w:abstractNum w:abstractNumId="51">
    <w:nsid w:val="5F5E7FD0"/>
    <w:multiLevelType w:val="hybridMultilevel"/>
    <w:lvl w:ilvl="0">
      <w:lvlJc w:val="left"/>
      <w:lvlText w:val="%1."/>
      <w:numFmt w:val="decimal"/>
      <w:start w:val="3"/>
    </w:lvl>
  </w:abstractNum>
  <w:abstractNum w:abstractNumId="52">
    <w:nsid w:val="98A3148"/>
    <w:multiLevelType w:val="hybridMultilevel"/>
    <w:lvl w:ilvl="0">
      <w:lvlJc w:val="left"/>
      <w:lvlText w:val="%1."/>
      <w:numFmt w:val="decimal"/>
      <w:start w:val="4"/>
    </w:lvl>
  </w:abstractNum>
  <w:abstractNum w:abstractNumId="53">
    <w:nsid w:val="799D0247"/>
    <w:multiLevelType w:val="hybridMultilevel"/>
    <w:lvl w:ilvl="0">
      <w:lvlJc w:val="left"/>
      <w:lvlText w:val="%1."/>
      <w:numFmt w:val="decimal"/>
      <w:start w:val="5"/>
    </w:lvl>
  </w:abstractNum>
  <w:abstractNum w:abstractNumId="54">
    <w:nsid w:val="6B94764"/>
    <w:multiLevelType w:val="hybridMultilevel"/>
    <w:lvl w:ilvl="0">
      <w:lvlJc w:val="left"/>
      <w:lvlText w:val="%1."/>
      <w:numFmt w:val="decimal"/>
      <w:start w:val="6"/>
    </w:lvl>
  </w:abstractNum>
  <w:abstractNum w:abstractNumId="55">
    <w:nsid w:val="42C296BD"/>
    <w:multiLevelType w:val="hybridMultilevel"/>
    <w:lvl w:ilvl="0">
      <w:lvlJc w:val="left"/>
      <w:lvlText w:val="%1."/>
      <w:numFmt w:val="decimal"/>
      <w:start w:val="7"/>
    </w:lvl>
  </w:abstractNum>
  <w:abstractNum w:abstractNumId="56">
    <w:nsid w:val="168E121F"/>
    <w:multiLevelType w:val="hybridMultilevel"/>
    <w:lvl w:ilvl="0">
      <w:lvlJc w:val="left"/>
      <w:lvlText w:val="%1."/>
      <w:numFmt w:val="decimal"/>
      <w:start w:val="8"/>
    </w:lvl>
  </w:abstractNum>
  <w:abstractNum w:abstractNumId="57">
    <w:nsid w:val="1EBA5D23"/>
    <w:multiLevelType w:val="hybridMultilevel"/>
    <w:lvl w:ilvl="0">
      <w:lvlJc w:val="left"/>
      <w:lvlText w:val="%1."/>
      <w:numFmt w:val="decimal"/>
      <w:start w:val="9"/>
    </w:lvl>
  </w:abstractNum>
  <w:abstractNum w:abstractNumId="58">
    <w:nsid w:val="661E3F1E"/>
    <w:multiLevelType w:val="hybridMultilevel"/>
    <w:lvl w:ilvl="0">
      <w:lvlJc w:val="left"/>
      <w:lvlText w:val="(%1)"/>
      <w:numFmt w:val="decimal"/>
      <w:start w:val="1"/>
    </w:lvl>
  </w:abstractNum>
  <w:abstractNum w:abstractNumId="59">
    <w:nsid w:val="5DC79EA8"/>
    <w:multiLevelType w:val="hybridMultilevel"/>
    <w:lvl w:ilvl="0">
      <w:lvlJc w:val="left"/>
      <w:lvlText w:val="%1."/>
      <w:numFmt w:val="decimal"/>
      <w:start w:val="1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1"/>
      <w:numFmt w:val="decimal"/>
      <w:start w:val="1"/>
    </w:lvl>
    <w:lvl w:ilvl="1">
      <w:lvlJc w:val="left"/>
      <w:lvlText w:val="(%2)"/>
      <w:numFmt w:val="decimal"/>
      <w:start w:val="1"/>
    </w:lvl>
  </w:abstractNum>
  <w:abstractNum w:abstractNumId="62">
    <w:nsid w:val="51D9C564"/>
    <w:multiLevelType w:val="hybridMultilevel"/>
    <w:lvl w:ilvl="0">
      <w:lvlJc w:val="left"/>
      <w:lvlText w:val="%1."/>
      <w:numFmt w:val="decimal"/>
      <w:start w:val="12"/>
    </w:lvl>
    <w:lvl w:ilvl="1">
      <w:lvlJc w:val="left"/>
      <w:lvlText w:val="%2"/>
      <w:numFmt w:val="decimal"/>
      <w:start w:val="1"/>
    </w:lvl>
  </w:abstractNum>
  <w:abstractNum w:abstractNumId="63">
    <w:nsid w:val="613EFDC5"/>
    <w:multiLevelType w:val="hybridMultilevel"/>
    <w:lvl w:ilvl="0">
      <w:lvlJc w:val="left"/>
      <w:lvlText w:val="(%1)"/>
      <w:numFmt w:val="decimal"/>
      <w:start w:val="1"/>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decimal"/>
      <w:start w:val="13"/>
    </w:lvl>
  </w:abstractNum>
  <w:abstractNum w:abstractNumId="66">
    <w:nsid w:val="42963E5A"/>
    <w:multiLevelType w:val="hybridMultilevel"/>
    <w:lvl w:ilvl="0">
      <w:lvlJc w:val="left"/>
      <w:lvlText w:val="(%1)"/>
      <w:numFmt w:val="decimal"/>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1."/>
      <w:numFmt w:val="decimal"/>
      <w:start w:val="14"/>
    </w:lvl>
  </w:abstractNum>
  <w:abstractNum w:abstractNumId="69">
    <w:nsid w:val="1A32234B"/>
    <w:multiLevelType w:val="hybridMultilevel"/>
    <w:lvl w:ilvl="0">
      <w:lvlJc w:val="left"/>
      <w:lvlText w:val="%1."/>
      <w:numFmt w:val="decimal"/>
      <w:start w:val="15"/>
    </w:lvl>
  </w:abstractNum>
  <w:abstractNum w:abstractNumId="70">
    <w:nsid w:val="3B0FD379"/>
    <w:multiLevelType w:val="hybridMultilevel"/>
    <w:lvl w:ilvl="0">
      <w:lvlJc w:val="left"/>
      <w:lvlText w:val="%1."/>
      <w:numFmt w:val="decimal"/>
      <w:start w:val="16"/>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1)"/>
      <w:numFmt w:val="decimal"/>
      <w:start w:val="1"/>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decimal"/>
      <w:start w:val="17"/>
    </w:lvl>
  </w:abstractNum>
  <w:abstractNum w:abstractNumId="75">
    <w:nsid w:val="14330624"/>
    <w:multiLevelType w:val="hybridMultilevel"/>
    <w:lvl w:ilvl="0">
      <w:lvlJc w:val="left"/>
      <w:lvlText w:val="(%1)"/>
      <w:numFmt w:val="decimal"/>
      <w:start w:val="1"/>
    </w:lvl>
  </w:abstractNum>
  <w:abstractNum w:abstractNumId="76">
    <w:nsid w:val="7FFFCA11"/>
    <w:multiLevelType w:val="hybridMultilevel"/>
    <w:lvl w:ilvl="0">
      <w:lvlJc w:val="left"/>
      <w:lvlText w:val="%1."/>
      <w:numFmt w:val="decimal"/>
      <w:start w:val="19"/>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decimal"/>
      <w:start w:val="21"/>
    </w:lvl>
  </w:abstractNum>
  <w:abstractNum w:abstractNumId="79">
    <w:nsid w:val="100F59DC"/>
    <w:multiLevelType w:val="hybridMultilevel"/>
    <w:lvl w:ilvl="0">
      <w:lvlJc w:val="left"/>
      <w:lvlText w:val="%1"/>
      <w:numFmt w:val="decimal"/>
      <w:start w:val="23"/>
    </w:lvl>
  </w:abstractNum>
  <w:abstractNum w:abstractNumId="80">
    <w:nsid w:val="7FB7E0AA"/>
    <w:multiLevelType w:val="hybridMultilevel"/>
    <w:lvl w:ilvl="0">
      <w:lvlJc w:val="left"/>
      <w:lvlText w:val="*"/>
      <w:numFmt w:val="bullet"/>
      <w:start w:val="1"/>
    </w:lvl>
    <w:lvl w:ilvl="1">
      <w:lvlJc w:val="left"/>
      <w:lvlText w:val="%2"/>
      <w:numFmt w:val="decimal"/>
      <w:start w:val="101"/>
    </w:lvl>
  </w:abstractNum>
  <w:abstractNum w:abstractNumId="81">
    <w:nsid w:val="6EB5BD4"/>
    <w:multiLevelType w:val="hybridMultilevel"/>
    <w:lvl w:ilvl="0">
      <w:lvlJc w:val="left"/>
      <w:lvlText w:val="(%1)"/>
      <w:numFmt w:val="decimal"/>
      <w:start w:val="1"/>
    </w:lvl>
  </w:abstractNum>
  <w:abstractNum w:abstractNumId="82">
    <w:nsid w:val="6F6DD9AC"/>
    <w:multiLevelType w:val="hybridMultilevel"/>
    <w:lvl w:ilvl="0">
      <w:lvlJc w:val="left"/>
      <w:lvlText w:val="(%1)"/>
      <w:numFmt w:val="decimal"/>
      <w:start w:val="1"/>
    </w:lvl>
  </w:abstractNum>
  <w:abstractNum w:abstractNumId="83">
    <w:nsid w:val="94211F2"/>
    <w:multiLevelType w:val="hybridMultilevel"/>
    <w:lvl w:ilvl="0">
      <w:lvlJc w:val="left"/>
      <w:lvlText w:val="(%1)"/>
      <w:numFmt w:val="decimal"/>
      <w:start w:val="10"/>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81" Type="http://schemas.openxmlformats.org/officeDocument/2006/relationships/image" Target="media/image16.png"/><Relationship Id="rId82" Type="http://schemas.openxmlformats.org/officeDocument/2006/relationships/image" Target="media/image17.png"/><Relationship Id="rId83" Type="http://schemas.openxmlformats.org/officeDocument/2006/relationships/image" Target="media/image18.png"/><Relationship Id="rId84" Type="http://schemas.openxmlformats.org/officeDocument/2006/relationships/image" Target="media/image19.png"/><Relationship Id="rId85" Type="http://schemas.openxmlformats.org/officeDocument/2006/relationships/image" Target="media/image20.png"/><Relationship Id="rId86" Type="http://schemas.openxmlformats.org/officeDocument/2006/relationships/image" Target="media/image21.png"/><Relationship Id="rId87" Type="http://schemas.openxmlformats.org/officeDocument/2006/relationships/image" Target="media/image22.png"/><Relationship Id="rId23" Type="http://schemas.openxmlformats.org/officeDocument/2006/relationships/hyperlink" Target="http://www.sec.gov/Archives/edgar/data/77360/000119312515294098/d92608dex21.htm" TargetMode="External"/><Relationship Id="rId24" Type="http://schemas.openxmlformats.org/officeDocument/2006/relationships/hyperlink" Target="http://www.sec.gov/Archives/edgar/data/77360/000007736016000088/ex21sharepurchaseagreement.htm" TargetMode="External"/><Relationship Id="rId25" Type="http://schemas.openxmlformats.org/officeDocument/2006/relationships/hyperlink" Target="http://www.sec.gov/Archives/edgar/data/77360/000119312517164403/d365501dex31.htm" TargetMode="External"/><Relationship Id="rId26" Type="http://schemas.openxmlformats.org/officeDocument/2006/relationships/hyperlink" Target="http://www.sec.gov/Archives/edgar/data/77360/000119312512408001/d409131dex41.htm" TargetMode="External"/><Relationship Id="rId27" Type="http://schemas.openxmlformats.org/officeDocument/2006/relationships/hyperlink" Target="http://www.sec.gov/Archives/edgar/data/77360/000119312512408001/d409131dex43.htm" TargetMode="External"/><Relationship Id="rId28" Type="http://schemas.openxmlformats.org/officeDocument/2006/relationships/hyperlink" Target="http://www.sec.gov/Archives/edgar/data/77360/000119312512483347/d445454dex42.htm" TargetMode="External"/><Relationship Id="rId29" Type="http://schemas.openxmlformats.org/officeDocument/2006/relationships/hyperlink" Target="http://www.sec.gov/Archives/edgar/data/77360/000119312512506767/d456536dex41.htm" TargetMode="External"/><Relationship Id="rId30" Type="http://schemas.openxmlformats.org/officeDocument/2006/relationships/hyperlink" Target="http://www.sec.gov/Archives/edgar/data/77360/000119312514206241/d728966dex43.htm" TargetMode="External"/><Relationship Id="rId31" Type="http://schemas.openxmlformats.org/officeDocument/2006/relationships/hyperlink" Target="http://www.sec.gov/Archives/edgar/data/77360/000007736017000025/exhibit41seventhsupplement.htm" TargetMode="External"/><Relationship Id="rId32" Type="http://schemas.openxmlformats.org/officeDocument/2006/relationships/hyperlink" Target="http://www.sec.gov/Archives/edgar/data/77360/000104746911004332/a2203678zex-4_5.htm" TargetMode="External"/><Relationship Id="rId33" Type="http://schemas.openxmlformats.org/officeDocument/2006/relationships/hyperlink" Target="http://www.sec.gov/Archives/edgar/data/77360/000110465911027276/a11-10890_9ex4d2.htm" TargetMode="External"/><Relationship Id="rId34" Type="http://schemas.openxmlformats.org/officeDocument/2006/relationships/hyperlink" Target="http://www.sec.gov/Archives/edgar/data/77360/000119312512411468/d417892dex41.htm" TargetMode="External"/><Relationship Id="rId35" Type="http://schemas.openxmlformats.org/officeDocument/2006/relationships/hyperlink" Target="http://www.sec.gov/Archives/edgar/data/77360/000119312512506767/d456536dex42.htm" TargetMode="External"/><Relationship Id="rId36" Type="http://schemas.openxmlformats.org/officeDocument/2006/relationships/hyperlink" Target="http://www.sec.gov/Archives/edgar/data/77360/000119312514206241/d728966dex42.htm" TargetMode="External"/><Relationship Id="rId37" Type="http://schemas.openxmlformats.org/officeDocument/2006/relationships/hyperlink" Target="http://www.sec.gov/Archives/edgar/data/77360/000007736017000025/exhibit42sixthsupplemental.htm" TargetMode="External"/><Relationship Id="rId38" Type="http://schemas.openxmlformats.org/officeDocument/2006/relationships/hyperlink" Target="http://www.sec.gov/Archives/edgar/data/77360/000007736014000034/ex4120141009.htm" TargetMode="External"/><Relationship Id="rId39" Type="http://schemas.openxmlformats.org/officeDocument/2006/relationships/hyperlink" Target="http://www.sec.gov/Archives/edgar/data/77360/000119312515311259/d92174dex41.htm" TargetMode="External"/><Relationship Id="rId40" Type="http://schemas.openxmlformats.org/officeDocument/2006/relationships/hyperlink" Target="http://www.sec.gov/Archives/edgar/data/77360/000119312515311259/d92174dex42.htm" TargetMode="External"/><Relationship Id="rId41" Type="http://schemas.openxmlformats.org/officeDocument/2006/relationships/hyperlink" Target="http://www.sec.gov/Archives/edgar/data/77360/000119312516712251/d260249dex41.htm" TargetMode="External"/><Relationship Id="rId42" Type="http://schemas.openxmlformats.org/officeDocument/2006/relationships/hyperlink" Target="http://www.sec.gov/Archives/edgar/data/77360/000119312515321236/d19886dex41.htm" TargetMode="External"/><Relationship Id="rId43" Type="http://schemas.openxmlformats.org/officeDocument/2006/relationships/hyperlink" Target="http://www.sec.gov/Archives/edgar/data/77360/000119312515321236/d19886dex42.htm" TargetMode="External"/><Relationship Id="rId44" Type="http://schemas.openxmlformats.org/officeDocument/2006/relationships/hyperlink" Target="http://www.sec.gov/Archives/edgar/data/77360/000119312515321236/d19886dex43.htm" TargetMode="External"/><Relationship Id="rId45" Type="http://schemas.openxmlformats.org/officeDocument/2006/relationships/hyperlink" Target="http://www.sec.gov/Archives/edgar/data/77360/000119312515321236/d19886dex44.htm" TargetMode="External"/><Relationship Id="rId46" Type="http://schemas.openxmlformats.org/officeDocument/2006/relationships/hyperlink" Target="http://www.sec.gov/Archives/edgar/data/77360/000119312515322105/d97350dex42.htm" TargetMode="External"/><Relationship Id="rId47" Type="http://schemas.openxmlformats.org/officeDocument/2006/relationships/hyperlink" Target="http://www.sec.gov/Archives/edgar/data/77360/000007736017000025/exhibit43fifthsupplemental.htm" TargetMode="External"/><Relationship Id="rId48" Type="http://schemas.openxmlformats.org/officeDocument/2006/relationships/hyperlink" Target="http://www.sec.gov/Archives/edgar/data/77360/000119312512408001/d409131dex101.htm" TargetMode="External"/><Relationship Id="rId49" Type="http://schemas.openxmlformats.org/officeDocument/2006/relationships/hyperlink" Target="http://www.sec.gov/Archives/edgar/data/77360/000007736017000008/ex102pentairplc2012stockan.htm" TargetMode="External"/><Relationship Id="rId50" Type="http://schemas.openxmlformats.org/officeDocument/2006/relationships/hyperlink" Target="http://www.sec.gov/Archives/edgar/data/77360/000119312514223285/d738414dex107.htm" TargetMode="External"/><Relationship Id="rId51" Type="http://schemas.openxmlformats.org/officeDocument/2006/relationships/hyperlink" Target="http://www.sec.gov/Archives/edgar/data/77360/000119312514223285/d738414dex108.htm" TargetMode="External"/><Relationship Id="rId52" Type="http://schemas.openxmlformats.org/officeDocument/2006/relationships/hyperlink" Target="http://www.sec.gov/Archives/edgar/data/77360/000119312514223285/d738414dex109.htm" TargetMode="External"/><Relationship Id="rId53" Type="http://schemas.openxmlformats.org/officeDocument/2006/relationships/hyperlink" Target="http://www.sec.gov/Archives/edgar/data/77360/000119312514223285/d738414dex1010.htm" TargetMode="External"/><Relationship Id="rId54" Type="http://schemas.openxmlformats.org/officeDocument/2006/relationships/hyperlink" Target="http://www.sec.gov/Archives/edgar/data/77360/000119312514223285/d738414dex1011.htm" TargetMode="External"/><Relationship Id="rId55" Type="http://schemas.openxmlformats.org/officeDocument/2006/relationships/hyperlink" Target="http://www.sec.gov/Archives/edgar/data/77360/000007736016000058/ex108formofperformanceshar.htm" TargetMode="External"/><Relationship Id="rId56" Type="http://schemas.openxmlformats.org/officeDocument/2006/relationships/hyperlink" Target="http://www.sec.gov/Archives/edgar/data/77360/000007736017000008/ex1092008omnibusstockincen.htm" TargetMode="External"/><Relationship Id="rId57" Type="http://schemas.openxmlformats.org/officeDocument/2006/relationships/hyperlink" Target="http://www.sec.gov/Archives/edgar/data/77360/000119312514223285/d738414dex103.htm" TargetMode="External"/><Relationship Id="rId58" Type="http://schemas.openxmlformats.org/officeDocument/2006/relationships/hyperlink" Target="http://www.sec.gov/Archives/edgar/data/77360/000119312514223285/d738414dex104.htm" TargetMode="External"/><Relationship Id="rId59" Type="http://schemas.openxmlformats.org/officeDocument/2006/relationships/hyperlink" Target="http://www.sec.gov/Archives/edgar/data/77360/000119312512411468/d417892dex1012.htm" TargetMode="External"/><Relationship Id="rId60" Type="http://schemas.openxmlformats.org/officeDocument/2006/relationships/hyperlink" Target="http://www.sec.gov/Archives/edgar/data/77360/000095013709001270/c49230exv10w10.htm" TargetMode="External"/><Relationship Id="rId61" Type="http://schemas.openxmlformats.org/officeDocument/2006/relationships/hyperlink" Target="http://www.sec.gov/Archives/edgar/data/77360/000095013709001270/c49230exv10w12.htm" TargetMode="External"/><Relationship Id="rId62" Type="http://schemas.openxmlformats.org/officeDocument/2006/relationships/hyperlink" Target="http://www.sec.gov/Archives/edgar/data/77360/000007736014000010/ex1016keesa.htm" TargetMode="External"/><Relationship Id="rId63" Type="http://schemas.openxmlformats.org/officeDocument/2006/relationships/hyperlink" Target="http://www.sec.gov/Archives/edgar/data/77360/000007736016000058/ex1016keyexecutiveemployme.htm" TargetMode="External"/><Relationship Id="rId64" Type="http://schemas.openxmlformats.org/officeDocument/2006/relationships/hyperlink" Target="http://www.sec.gov/Archives/edgar/data/77360/000119312514223285/d738414dex106.htm" TargetMode="External"/><Relationship Id="rId65" Type="http://schemas.openxmlformats.org/officeDocument/2006/relationships/hyperlink" Target="http://www.sec.gov/Archives/edgar/data/77360/000119312514223285/d738414dex105.htm" TargetMode="External"/><Relationship Id="rId66" Type="http://schemas.openxmlformats.org/officeDocument/2006/relationships/hyperlink" Target="http://www.sec.gov/Archives/edgar/data/77360/0000077360-96-000028.txt" TargetMode="External"/><Relationship Id="rId67" Type="http://schemas.openxmlformats.org/officeDocument/2006/relationships/hyperlink" Target="http://www.sec.gov/Archives/edgar/data/77360/000095012400005725/c57456ex10-8.txt" TargetMode="External"/><Relationship Id="rId68" Type="http://schemas.openxmlformats.org/officeDocument/2006/relationships/hyperlink" Target="http://www.sec.gov/Archives/edgar/data/77360/000119312514223285/d738414dex1012.htm" TargetMode="External"/><Relationship Id="rId69" Type="http://schemas.openxmlformats.org/officeDocument/2006/relationships/hyperlink" Target="http://www.sec.gov/Archives/edgar/data/77360/000095012400005725/c57456ex10-2.txt" TargetMode="External"/><Relationship Id="rId70" Type="http://schemas.openxmlformats.org/officeDocument/2006/relationships/hyperlink" Target="http://www.sec.gov/Archives/edgar/data/77360/000119312514223285/d738414dex1013.htm" TargetMode="External"/><Relationship Id="rId71" Type="http://schemas.openxmlformats.org/officeDocument/2006/relationships/hyperlink" Target="http://www.sec.gov/Archives/edgar/data/77360/000095012400005725/c57456ex10-3.txt" TargetMode="External"/><Relationship Id="rId72" Type="http://schemas.openxmlformats.org/officeDocument/2006/relationships/hyperlink" Target="http://www.sec.gov/Archives/edgar/data/77360/000119312514223285/d738414dex1014.htm" TargetMode="External"/><Relationship Id="rId73" Type="http://schemas.openxmlformats.org/officeDocument/2006/relationships/hyperlink" Target="http://www.sec.gov/Archives/edgar/data/77360/000119312514223285/d738414dex1015.htm" TargetMode="External"/><Relationship Id="rId74" Type="http://schemas.openxmlformats.org/officeDocument/2006/relationships/hyperlink" Target="http://www.sec.gov/Archives/edgar/data/77360/000119312514223285/d738414dex1016.htm" TargetMode="External"/><Relationship Id="rId75" Type="http://schemas.openxmlformats.org/officeDocument/2006/relationships/hyperlink" Target="http://www.sec.gov/Archives/edgar/data/77360/000119312515313621/d43554dex101.htm" TargetMode="External"/><Relationship Id="rId76" Type="http://schemas.openxmlformats.org/officeDocument/2006/relationships/hyperlink" Target="http://www.sec.gov/Archives/edgar/data/77360/000007736017000008/ex1031pentairplc2012stocka.htm" TargetMode="External"/><Relationship Id="rId77" Type="http://schemas.openxmlformats.org/officeDocument/2006/relationships/hyperlink" Target="http://www.sec.gov/Archives/edgar/data/77360/000007736017000008/ex1032pentairplc2012stocka.htm" TargetMode="External"/><Relationship Id="rId78" Type="http://schemas.openxmlformats.org/officeDocument/2006/relationships/hyperlink" Target="http://www.sec.gov/Archives/edgar/data/77360/000007736017000008/ex1033pentairplc2012stocka.htm" TargetMode="External"/><Relationship Id="rId79" Type="http://schemas.openxmlformats.org/officeDocument/2006/relationships/hyperlink" Target="http://www.sec.gov/Archives/edgar/data/77360/000119312518007217/d518900dex101.htm" TargetMode="External"/><Relationship Id="rId80" Type="http://schemas.openxmlformats.org/officeDocument/2006/relationships/hyperlink" Target="http://www.sec.gov/Archives/edgar/data/77360/000119312517194739/d35160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2020-01-14T11:59:04Z</dcterms:created>
  <dcterms:modified xsi:type="dcterms:W3CDTF">2020-01-14T11:59:04Z</dcterms:modified>
</cp:coreProperties>
</file>