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0" w:lineRule="exact"/>
        <w:rPr>
          <w:sz w:val="24"/>
          <w:szCs w:val="24"/>
          <w:color w:val="auto"/>
        </w:rPr>
      </w:pPr>
    </w:p>
    <w:p>
      <w:pPr>
        <w:ind w:left="1180" w:right="1080" w:hanging="1145"/>
        <w:spacing w:after="0" w:line="485" w:lineRule="auto"/>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001-11625</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Ireland</w:t>
            </w:r>
          </w:p>
        </w:tc>
        <w:tc>
          <w:tcPr>
            <w:tcW w:w="536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98-1141328</w:t>
            </w:r>
          </w:p>
        </w:tc>
      </w:tr>
      <w:tr>
        <w:trPr>
          <w:trHeight w:val="27"/>
        </w:trPr>
        <w:tc>
          <w:tcPr>
            <w:tcW w:w="5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Station Road, Longstanton, Cambridge, CB24 3DS,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44-19-5426-2325</w:t>
      </w:r>
    </w:p>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(§223.405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1"/>
              </w:rPr>
              <w:t>Smaller reporting</w:t>
            </w:r>
          </w:p>
        </w:tc>
        <w:tc>
          <w:tcPr>
            <w:tcW w:w="1600" w:type="dxa"/>
            <w:vAlign w:val="bottom"/>
          </w:tcPr>
          <w:p>
            <w:pPr>
              <w:jc w:val="center"/>
              <w:ind w:left="25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50"/>
        </w:trPr>
        <w:tc>
          <w:tcPr>
            <w:tcW w:w="2140" w:type="dxa"/>
            <w:vAlign w:val="bottom"/>
            <w:vMerge w:val="continue"/>
          </w:tcPr>
          <w:p>
            <w:pPr>
              <w:spacing w:after="0"/>
              <w:rPr>
                <w:sz w:val="21"/>
                <w:szCs w:val="21"/>
                <w:color w:val="auto"/>
              </w:rPr>
            </w:pPr>
          </w:p>
        </w:tc>
        <w:tc>
          <w:tcPr>
            <w:tcW w:w="1840" w:type="dxa"/>
            <w:vAlign w:val="bottom"/>
          </w:tcPr>
          <w:p>
            <w:pPr>
              <w:ind w:left="300"/>
              <w:spacing w:after="0"/>
              <w:rPr>
                <w:sz w:val="20"/>
                <w:szCs w:val="20"/>
                <w:color w:val="auto"/>
              </w:rPr>
            </w:pPr>
            <w:r>
              <w:rPr>
                <w:rFonts w:ascii="Arial" w:cs="Arial" w:eastAsia="Arial" w:hAnsi="Arial"/>
                <w:sz w:val="18"/>
                <w:szCs w:val="18"/>
                <w:color w:val="auto"/>
              </w:rPr>
              <w:t>Accelerated filer o</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company o</w:t>
            </w:r>
          </w:p>
        </w:tc>
        <w:tc>
          <w:tcPr>
            <w:tcW w:w="1600" w:type="dxa"/>
            <w:vAlign w:val="bottom"/>
          </w:tcPr>
          <w:p>
            <w:pPr>
              <w:jc w:val="center"/>
              <w:ind w:left="230"/>
              <w:spacing w:after="0"/>
              <w:rPr>
                <w:sz w:val="20"/>
                <w:szCs w:val="20"/>
                <w:color w:val="auto"/>
              </w:rPr>
            </w:pPr>
            <w:r>
              <w:rPr>
                <w:rFonts w:ascii="Arial" w:cs="Arial" w:eastAsia="Arial" w:hAnsi="Arial"/>
                <w:sz w:val="18"/>
                <w:szCs w:val="18"/>
                <w:color w:val="auto"/>
                <w:w w:val="90"/>
              </w:rPr>
              <w:t>company o</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1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1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September 30, 2018, 173,601,030 shares of Registrant’s common stock were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89"/>
              </w:rPr>
              <w:t>Pentair plc and Subsidiaries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460" w:type="dxa"/>
            <w:vAlign w:val="bottom"/>
            <w:gridSpan w:val="12"/>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5"/>
            <w:vMerge w:val="continue"/>
          </w:tcPr>
          <w:p>
            <w:pPr>
              <w:spacing w:after="0"/>
              <w:rPr>
                <w:sz w:val="24"/>
                <w:szCs w:val="24"/>
                <w:color w:val="auto"/>
              </w:rPr>
            </w:pPr>
          </w:p>
        </w:tc>
        <w:tc>
          <w:tcPr>
            <w:tcW w:w="7460" w:type="dxa"/>
            <w:vAlign w:val="bottom"/>
            <w:gridSpan w:val="12"/>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57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w:t>
              </w:r>
            </w:hyperlink>
          </w:p>
        </w:tc>
        <w:tc>
          <w:tcPr>
            <w:tcW w:w="25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Equity</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4200" w:type="dxa"/>
            <w:vAlign w:val="bottom"/>
            <w:tcBorders>
              <w:top w:val="single" w:sz="8" w:color="0000EE"/>
            </w:tcBorders>
            <w:gridSpan w:val="12"/>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Notes to Condensed Consolidated Financial Statements</w:t>
              </w:r>
            </w:hyperlink>
          </w:p>
        </w:tc>
        <w:tc>
          <w:tcPr>
            <w:tcW w:w="412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3"/>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Controls and Procedures</w:t>
              </w:r>
            </w:hyperlink>
          </w:p>
        </w:tc>
        <w:tc>
          <w:tcPr>
            <w:tcW w:w="2540" w:type="dxa"/>
            <w:vAlign w:val="bottom"/>
            <w:gridSpan w:val="6"/>
          </w:tcPr>
          <w:p>
            <w:pPr>
              <w:spacing w:after="0"/>
              <w:rPr>
                <w:sz w:val="24"/>
                <w:szCs w:val="24"/>
                <w:color w:val="auto"/>
              </w:rPr>
            </w:pPr>
          </w:p>
        </w:tc>
        <w:tc>
          <w:tcPr>
            <w:tcW w:w="40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7760" w:type="dxa"/>
            <w:vAlign w:val="bottom"/>
            <w:gridSpan w:val="15"/>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5"/>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Risk Factors</w:t>
              </w:r>
            </w:hyperlink>
          </w:p>
        </w:tc>
        <w:tc>
          <w:tcPr>
            <w:tcW w:w="420" w:type="dxa"/>
            <w:vAlign w:val="bottom"/>
          </w:tcPr>
          <w:p>
            <w:pPr>
              <w:spacing w:after="0"/>
              <w:rPr>
                <w:sz w:val="24"/>
                <w:szCs w:val="24"/>
                <w:color w:val="auto"/>
              </w:rPr>
            </w:pPr>
          </w:p>
        </w:tc>
        <w:tc>
          <w:tcPr>
            <w:tcW w:w="69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gridSpan w:val="13"/>
          </w:tcPr>
          <w:p>
            <w:pPr>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Unregistered Sales of Equity Securities and Use of Proceeds</w:t>
              </w:r>
            </w:hyperlink>
          </w:p>
        </w:tc>
        <w:tc>
          <w:tcPr>
            <w:tcW w:w="40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6.</w:t>
            </w:r>
          </w:p>
        </w:tc>
        <w:tc>
          <w:tcPr>
            <w:tcW w:w="4320" w:type="dxa"/>
            <w:vAlign w:val="bottom"/>
            <w:gridSpan w:val="13"/>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40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Signatures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885"/>
        </w:trPr>
        <w:tc>
          <w:tcPr>
            <w:tcW w:w="21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2960" w:type="dxa"/>
            <w:vAlign w:val="bottom"/>
            <w:gridSpan w:val="7"/>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6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3"/>
                <w:szCs w:val="13"/>
                <w:color w:val="auto"/>
              </w:rPr>
            </w:pPr>
          </w:p>
        </w:tc>
        <w:tc>
          <w:tcPr>
            <w:tcW w:w="11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205"/>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2,124.9</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467.6</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1,444.9</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1,391.1</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243.8</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779.7</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733.8</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399.0</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386.2</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54.7</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323.7</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292.9</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Loss on sale of business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early extinguishment of debt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Net interest expense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74.2</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101.8</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274.0</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110.3</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91.2</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227.5</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58.2</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219.8</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(Loss) gain from sale of discontinued operations, net of tax</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198.9</w:t>
            </w:r>
          </w:p>
        </w:tc>
      </w:tr>
      <w:tr>
        <w:trPr>
          <w:trHeight w:val="264"/>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125.4</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476.9</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476.9</w:t>
            </w:r>
          </w:p>
        </w:tc>
      </w:tr>
      <w:tr>
        <w:trPr>
          <w:trHeight w:val="157"/>
        </w:trPr>
        <w:tc>
          <w:tcPr>
            <w:tcW w:w="6280" w:type="dxa"/>
            <w:vAlign w:val="bottom"/>
          </w:tcPr>
          <w:p>
            <w:pPr>
              <w:ind w:left="40"/>
              <w:spacing w:after="0" w:line="157" w:lineRule="exact"/>
              <w:rPr>
                <w:sz w:val="20"/>
                <w:szCs w:val="20"/>
                <w:color w:val="auto"/>
              </w:rPr>
            </w:pPr>
            <w:r>
              <w:rPr>
                <w:rFonts w:ascii="Arial" w:cs="Arial" w:eastAsia="Arial" w:hAnsi="Arial"/>
                <w:sz w:val="14"/>
                <w:szCs w:val="14"/>
                <w:color w:val="auto"/>
                <w:w w:val="95"/>
              </w:rPr>
              <w:t>Changes in cumulative translation adjustment (inclusive of divestiture of business reclassified to gain from</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8"/>
        </w:trPr>
        <w:tc>
          <w:tcPr>
            <w:tcW w:w="6280" w:type="dxa"/>
            <w:vAlign w:val="bottom"/>
          </w:tcPr>
          <w:p>
            <w:pPr>
              <w:ind w:left="40"/>
              <w:spacing w:after="0"/>
              <w:rPr>
                <w:sz w:val="20"/>
                <w:szCs w:val="20"/>
                <w:color w:val="auto"/>
              </w:rPr>
            </w:pPr>
            <w:r>
              <w:rPr>
                <w:rFonts w:ascii="Arial" w:cs="Arial" w:eastAsia="Arial" w:hAnsi="Arial"/>
                <w:sz w:val="14"/>
                <w:szCs w:val="14"/>
                <w:color w:val="auto"/>
              </w:rPr>
              <w:t>sale of $0.0 and $374.2 for the three and nine months ended September 30, 2017, respectively)</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502.8</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30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977.4</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ordinary share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0.11</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r>
      <w:tr>
        <w:trPr>
          <w:trHeight w:val="264"/>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0.69</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0.11</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r>
      <w:tr>
        <w:trPr>
          <w:trHeight w:val="264"/>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0.68</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174.3</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176.8</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181.7</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175.7</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178.5</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183.7</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dividends paid per ordinary share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0.175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September 30,</w:t>
            </w:r>
          </w:p>
        </w:tc>
        <w:tc>
          <w:tcPr>
            <w:tcW w:w="22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3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40"/>
        </w:trPr>
        <w:tc>
          <w:tcPr>
            <w:tcW w:w="8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812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$16.0 and $14.2, respectively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402.4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483.1</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356.9</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114.5</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 held for sale</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708.0</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989.6</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1,748.8</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289.4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321.8</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Non-current assets held for sale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3,989.6</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2,545.7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6,605.1</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3,809.5</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8,633.7</w:t>
            </w:r>
          </w:p>
        </w:tc>
      </w:tr>
      <w:tr>
        <w:trPr>
          <w:trHeight w:val="73"/>
        </w:trPr>
        <w:tc>
          <w:tcPr>
            <w:tcW w:w="8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8120" w:type="dxa"/>
            <w:vAlign w:val="bottom"/>
            <w:tcBorders>
              <w:bottom w:val="single" w:sz="8" w:color="CCEEFF"/>
            </w:tcBorders>
            <w:shd w:val="clear" w:color="auto" w:fill="CCEEFF"/>
          </w:tcPr>
          <w:p>
            <w:pPr>
              <w:ind w:left="496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321.5</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Employee compensation and benefits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115.8</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 held for sale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360.8</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1,440.7</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109.8</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96.4</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207.0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213.8</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held for sale</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537.0</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1,929.3</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3,595.9</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1"/>
              </w:rPr>
              <w:t>Ordinary shares $0.01 par value, 426.0 authorized, 173.6 and 180.3 issued at September 30, 2018 and December 31, 2017,</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812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1,991.9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2,797.7</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2,481.7</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(243.4)</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equity</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1,880.2</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5,037.8</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3,809.5</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8,633.7</w:t>
            </w:r>
          </w:p>
        </w:tc>
      </w:tr>
      <w:tr>
        <w:trPr>
          <w:trHeight w:val="20"/>
        </w:trPr>
        <w:tc>
          <w:tcPr>
            <w:tcW w:w="8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40"/>
        </w:trPr>
        <w:tc>
          <w:tcPr>
            <w:tcW w:w="8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6"/>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September 30,</w:t>
            </w:r>
          </w:p>
        </w:tc>
        <w:tc>
          <w:tcPr>
            <w:tcW w:w="22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September 30,</w:t>
            </w:r>
          </w:p>
        </w:tc>
      </w:tr>
      <w:tr>
        <w:trPr>
          <w:trHeight w:val="210"/>
        </w:trPr>
        <w:tc>
          <w:tcPr>
            <w:tcW w:w="82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40"/>
        </w:trPr>
        <w:tc>
          <w:tcPr>
            <w:tcW w:w="8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254.5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476.9</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(219.8)</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Gain from sale of discontinued operations, net of tax</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(198.9)</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0"/>
              </w:rPr>
              <w:t>Adjustments to reconcile net income from continuing operations to net cash provided by (used for) operating activities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3"/>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of continuing operations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Equity income of unconsolidated subsidiaries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Amortization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Loss on sale of business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Loss on early extinguishment of debt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17.1</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101.4</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Accounts and notes receivable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66.9</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Employee compensation and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(25.4)</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non-current assets and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operating activities of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147.6</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(used for) operating activities of discontinued operations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214.2</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361.8</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due to) proceeds from the sale of businesses, net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2,764.0</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Acquisitions, net of cash acquired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 of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2,695.9</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(used for) investing activities of discontinued operations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2,654.6</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repayments of short-term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receipts (repayments) of commercial paper and revolving long-term debt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(842.3)</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(2,009.3)</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Debt issuance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paid on early extinguishment of debt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Transfer of cash to nVent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of cash from nVent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 withheld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34.3</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(156.7)</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(188.9)</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financing activities of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(3,201.9)</w:t>
            </w:r>
          </w:p>
        </w:tc>
      </w:tr>
      <w:tr>
        <w:trPr>
          <w:trHeight w:val="243"/>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(used for) financing activities of discontinued operations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(3,201.9)</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w:t>
            </w:r>
          </w:p>
        </w:tc>
      </w:tr>
      <w:tr>
        <w:trPr>
          <w:trHeight w:val="21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(135.6)</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216.9</w:t>
            </w:r>
          </w:p>
        </w:tc>
      </w:tr>
      <w:tr>
        <w:trPr>
          <w:trHeight w:val="21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81.3</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20"/>
          </w:cols>
          <w:pgMar w:left="240" w:top="122" w:right="239" w:bottom="206"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206"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29"/>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10"/>
              <w:spacing w:after="0" w:line="117"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2017</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2,797.7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2,481.7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5,037.8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254.5</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254.5</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accounting changes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70.3</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to nVent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(2,290.7)</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(2,776.8)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(124.0)</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 September 30, 2018</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173.6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1,991.9</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107.5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(221.0)</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1,880.2</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60" w:type="dxa"/>
            <w:vAlign w:val="bottom"/>
          </w:tcPr>
          <w:p>
            <w:pPr>
              <w:spacing w:after="0"/>
              <w:rPr>
                <w:sz w:val="24"/>
                <w:szCs w:val="24"/>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29"/>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10"/>
              <w:spacing w:after="0" w:line="117"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4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2016</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181.8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2,920.8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2,068.1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4,254.4</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476.9</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476.9</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500.5</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(189.7)</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 September 30, 2017</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181.6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2,887.3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2,355.3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(235.8)</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5,008.6</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2017.</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9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On April 30, 2018, Pentair completed the previously announced separation of its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On May 1, 2018, following the Separation and Distribution, nVent became an independent publicly traded company, trading on the New York Stock Exchange under the symbol “NVT.”</w:t>
      </w:r>
    </w:p>
    <w:p>
      <w:pPr>
        <w:spacing w:after="0" w:line="3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did not retain any equity interest in nVent. nVent’s historical financial results are reflected in the Company’s condensed consolidated financial statements as a discontinued operation. Refer to Note 3 for further discussion.</w:t>
      </w:r>
    </w:p>
    <w:p>
      <w:pPr>
        <w:spacing w:after="0" w:line="11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connection with the Distribution of nVent, the Company and nVent entered into several agreements covering administrative and tax matters to provide or obtain services on a transitional basis, as needed, for varying periods after the Distribution. The administrative agreements cover various services such as information technology, human resources and finance. The Company expects all services to be substantially complete within one year after the Distribution.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On January 1, 2018, we adopted Accounting Standards Update (“ASU”) No. 2017-07, “Retirement Benefits-Improving the Presentation of Net Periodic Pension Cost and Net Periodic Postretirement Benefit Cost.” As a result of the adoption, the interest cost, expected return on plan assets and net actuarial gain/loss components of net periodic pension and post-retirement benefit cost have been reclassified from </w:t>
      </w: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xml:space="preserve"> to </w:t>
      </w:r>
      <w:r>
        <w:rPr>
          <w:rFonts w:ascii="Arial" w:cs="Arial" w:eastAsia="Arial" w:hAnsi="Arial"/>
          <w:sz w:val="16"/>
          <w:szCs w:val="16"/>
          <w:i w:val="1"/>
          <w:iCs w:val="1"/>
          <w:color w:val="auto"/>
        </w:rPr>
        <w:t>Other expense (income)</w:t>
      </w:r>
      <w:r>
        <w:rPr>
          <w:rFonts w:ascii="Arial" w:cs="Arial" w:eastAsia="Arial" w:hAnsi="Arial"/>
          <w:sz w:val="16"/>
          <w:szCs w:val="16"/>
          <w:color w:val="auto"/>
        </w:rPr>
        <w:t>. Only the service cost component remains in</w:t>
      </w:r>
      <w:r>
        <w:rPr>
          <w:rFonts w:ascii="Arial" w:cs="Arial" w:eastAsia="Arial" w:hAnsi="Arial"/>
          <w:sz w:val="16"/>
          <w:szCs w:val="16"/>
          <w:i w:val="1"/>
          <w:iCs w:val="1"/>
          <w:color w:val="auto"/>
        </w:rPr>
        <w:t xml:space="preserve"> Operating income </w:t>
      </w:r>
      <w:r>
        <w:rPr>
          <w:rFonts w:ascii="Arial" w:cs="Arial" w:eastAsia="Arial" w:hAnsi="Arial"/>
          <w:sz w:val="16"/>
          <w:szCs w:val="16"/>
          <w:color w:val="auto"/>
        </w:rPr>
        <w:t>and will be eligible for capitalization in assets on a prospective basis.</w:t>
      </w:r>
    </w:p>
    <w:p>
      <w:pPr>
        <w:spacing w:after="0" w:line="10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The effect of the retrospective presentation change related to the net periodic cost of our defined benefit pension and other post-retirement plans on our Condensed Consolidated Statements of Operations and Comprehensive Income was a reclassification of $1.4 million and $4.1 million for the three and nine months ended September 30, 2017, respectively, from </w:t>
      </w: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xml:space="preserve"> to </w:t>
      </w:r>
      <w:r>
        <w:rPr>
          <w:rFonts w:ascii="Arial" w:cs="Arial" w:eastAsia="Arial" w:hAnsi="Arial"/>
          <w:sz w:val="17"/>
          <w:szCs w:val="17"/>
          <w:i w:val="1"/>
          <w:iCs w:val="1"/>
          <w:color w:val="auto"/>
        </w:rPr>
        <w:t>Other expense (income)</w:t>
      </w:r>
      <w:r>
        <w:rPr>
          <w:rFonts w:ascii="Arial" w:cs="Arial" w:eastAsia="Arial" w:hAnsi="Arial"/>
          <w:sz w:val="17"/>
          <w:szCs w:val="17"/>
          <w:color w:val="auto"/>
        </w:rPr>
        <w:t>.</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 2018, we adopted ASU No. 2016-16, “Accounting for Income Taxes: Intra-Entity Asset Transfers of Assets Other than Inventory.” This ASU requires the tax effects of all intra-entity sales of assets other than inventory to be recognized in the period in which the transaction occurs. The adoption resulted in a $215.8 million cumulative-effect adjustment (of which $174.6 million related to nVent) recorded in retained earnings as of the beginning of 2018. The adjustment reflects a $254.3 million reduction of a prepaid long term tax asset, partially offset by the establishment of $38.5 million of deferred tax assets.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 2018, we adopted ASU No. 2014-09, “Revenue from Contracts with Customers” and the related amendments (“ASC 606” or “the new revenue standard”) using the modified retrospective method. The cumulative impact to our retained earnings at January 1, 2018 was not material. 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majority of our net sales continue to be recognized when products are shipped from our manufacturing facilities or delivery has occurred, depending on terms of the sale. Under the new revenue standard, timing for recognition of certain revenue may be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accelerated such that a portion of revenue will be recognized prior to shipment or delivery dependent upon contract-specific terms.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cumulative effect of the changes made to our January 1, 2018 Condensed Consolidated Balance Sheet from the modified retrospective adoption of ASU 2016-16 and ASU 2014-09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5"/>
          </w:tcPr>
          <w:p>
            <w:pPr>
              <w:ind w:left="40"/>
              <w:spacing w:after="0"/>
              <w:rPr>
                <w:sz w:val="20"/>
                <w:szCs w:val="20"/>
                <w:color w:val="auto"/>
              </w:rPr>
            </w:pPr>
            <w:r>
              <w:rPr>
                <w:rFonts w:ascii="Arial" w:cs="Arial" w:eastAsia="Arial" w:hAnsi="Arial"/>
                <w:sz w:val="18"/>
                <w:szCs w:val="18"/>
                <w:b w:val="1"/>
                <w:bCs w:val="1"/>
                <w:color w:val="auto"/>
              </w:rPr>
              <w:t>Condensed Consolidated Balance Sheets</w:t>
            </w: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at December</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 due to</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 due to</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Balance at January</w:t>
            </w:r>
          </w:p>
        </w:tc>
      </w:tr>
      <w:tr>
        <w:trPr>
          <w:trHeight w:val="234"/>
        </w:trPr>
        <w:tc>
          <w:tcPr>
            <w:tcW w:w="3880" w:type="dxa"/>
            <w:vAlign w:val="bottom"/>
            <w:gridSpan w:val="5"/>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31, 2017</w:t>
            </w: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ASU 2016-16</w:t>
            </w:r>
          </w:p>
        </w:tc>
        <w:tc>
          <w:tcPr>
            <w:tcW w:w="24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ASU 2014-09</w:t>
            </w:r>
          </w:p>
        </w:tc>
        <w:tc>
          <w:tcPr>
            <w:tcW w:w="3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1, 2018</w:t>
            </w:r>
          </w:p>
        </w:tc>
      </w:tr>
      <w:tr>
        <w:trPr>
          <w:trHeight w:val="27"/>
        </w:trPr>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388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43"/>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Accounts and notes receivable, net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483.1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485.8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355.3</w:t>
            </w:r>
          </w:p>
        </w:tc>
      </w:tr>
      <w:tr>
        <w:trPr>
          <w:trHeight w:val="243"/>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Other current assets</w:t>
            </w:r>
          </w:p>
        </w:tc>
        <w:tc>
          <w:tcPr>
            <w:tcW w:w="10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116.1</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711.8</w:t>
            </w:r>
          </w:p>
        </w:tc>
      </w:tr>
      <w:tr>
        <w:trPr>
          <w:trHeight w:val="243"/>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Other non-current assets</w:t>
            </w:r>
          </w:p>
        </w:tc>
        <w:tc>
          <w:tcPr>
            <w:tcW w:w="10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180.9</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3,989.6</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3,788.0</w:t>
            </w:r>
          </w:p>
        </w:tc>
      </w:tr>
      <w:tr>
        <w:trPr>
          <w:trHeight w:val="203"/>
        </w:trPr>
        <w:tc>
          <w:tcPr>
            <w:tcW w:w="38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43"/>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Deferred tax liabilities</w:t>
            </w:r>
          </w:p>
        </w:tc>
        <w:tc>
          <w:tcPr>
            <w:tcW w:w="10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r>
      <w:tr>
        <w:trPr>
          <w:trHeight w:val="203"/>
        </w:trPr>
        <w:tc>
          <w:tcPr>
            <w:tcW w:w="38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43"/>
        </w:trPr>
        <w:tc>
          <w:tcPr>
            <w:tcW w:w="38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0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2,481.7</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2,267.7</w:t>
            </w:r>
          </w:p>
        </w:tc>
      </w:tr>
      <w:tr>
        <w:trPr>
          <w:trHeight w:val="27"/>
        </w:trPr>
        <w:tc>
          <w:tcPr>
            <w:tcW w:w="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issued but not yet adopted</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February 2016, the Financial Accounting Standards Board issued ASU 2016-02, “Leases” (“the new lease standard” or “ASC 842”), which requires an entity to recognize both assets and liabilities arising from financing and operating leases, along with additional qualitative and quantitative disclosures. The new lease standard requirements are effective for annual reporting periods beginning after December 15, 2018, including interim periods within that reporting period, and early adoption is permitted. The Company has begun evaluating the new lease standard, including the review and implementation of the necessary changes to our existing processes and systems that will be required to implement the new lease standard. While we are unable to quantify the impact at this time, we expect the primary impact upon adoption will be the recognition, on a discounted basis, of our minimum commitments under noncancelable operating leases on our consolidated balance sheets resulting in the recording of right of use assets and lease obligations. We currently do not expect ASC 842 to have a material effect on either our condensed consolidated statements of operations and comprehensive income or condensed consolidated statements of cash flows. We plan to adopt ASC 842 in the first quarter of 2019.</w:t>
      </w:r>
    </w:p>
    <w:p>
      <w:pPr>
        <w:spacing w:after="0" w:line="286" w:lineRule="exact"/>
        <w:rPr>
          <w:sz w:val="20"/>
          <w:szCs w:val="20"/>
          <w:color w:val="auto"/>
        </w:rPr>
      </w:pPr>
    </w:p>
    <w:p>
      <w:pPr>
        <w:ind w:right="9940" w:firstLine="8"/>
        <w:spacing w:after="0" w:line="293" w:lineRule="auto"/>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i w:val="1"/>
          <w:iCs w:val="1"/>
          <w:color w:val="auto"/>
        </w:rPr>
        <w:t>Revenue recognition</w:t>
      </w:r>
    </w:p>
    <w:p>
      <w:pPr>
        <w:spacing w:after="0" w:line="1" w:lineRule="exact"/>
        <w:rPr>
          <w:rFonts w:ascii="Arial" w:cs="Arial" w:eastAsia="Arial" w:hAnsi="Arial"/>
          <w:sz w:val="16"/>
          <w:szCs w:val="16"/>
          <w:b w:val="1"/>
          <w:bCs w:val="1"/>
          <w:color w:val="auto"/>
        </w:rPr>
      </w:pPr>
    </w:p>
    <w:p>
      <w:pPr>
        <w:ind w:right="2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Revenue is recognized when control of the promised goods or services are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spacing w:after="0" w:line="5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performance obligations are satisfied at a point in time or over time as work progresses. Revenue from goods and services transferred to customers at a point in time accounted for 90.5% and 91.3% of our revenue for the three months ended September 30, 2018 and 2017, respectively, and 92.3% and 92.8% of our revenue for the nine months ended September 30, 2018 and 2017, respectively. Revenue on these contracts is recognized when obligations under the terms of the contract with our customer are satisfied; generally this occurs with the transfer of control upon shipment.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Revenue from products and services transferred to customers over time accounted for 9.5% and 8.7% of our revenue for the three months ended</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September 30, 2018 and 2017, respectively, and 7.7% and 7.2% of our revenue for the nine months ended September 30, 2018 and 2017,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w:t>
      </w:r>
    </w:p>
    <w:p>
      <w:pPr>
        <w:spacing w:after="0" w:line="12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September 30, 2018, we had $69.1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right of return may exist explicitly or implicitly with our customers. Our return policy allows for customer returns only upon our authorization. Goods returned must be product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23"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Our sales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spacing w:after="0" w:line="1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spacing w:after="0" w:line="16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on historical experience and reduce sales for the probable cost of the discount. The cost of these refunds is recorded as a reduction of the transaction price.</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reforecast the most likely amount of the rebate to be paid based on forecasted sales levels. These forecasts are updated at least quarterly for each customer, and the transaction price is reduced for the anticipated cost of the rebate. If the forecasted sales for a customer changes, the accrual for rebates is adjusted to reflect the new amount of rebates expected to be earned by the customer.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Amounts billed to customers for shipping and handling activities after the customer obtains control are treated as a promised service performance obligation and recorded in </w:t>
      </w:r>
      <w:r>
        <w:rPr>
          <w:rFonts w:ascii="Arial" w:cs="Arial" w:eastAsia="Arial" w:hAnsi="Arial"/>
          <w:sz w:val="17"/>
          <w:szCs w:val="17"/>
          <w:i w:val="1"/>
          <w:iCs w:val="1"/>
          <w:color w:val="auto"/>
        </w:rPr>
        <w:t>Net sales</w:t>
      </w:r>
      <w:r>
        <w:rPr>
          <w:rFonts w:ascii="Arial" w:cs="Arial" w:eastAsia="Arial" w:hAnsi="Arial"/>
          <w:sz w:val="17"/>
          <w:szCs w:val="17"/>
          <w:color w:val="auto"/>
        </w:rPr>
        <w:t xml:space="preserve"> in the accompanying Condensed Consolidated Statements of Operations and Comprehensive Income. Shipping and handling costs incurred by Pentair for the delivery of goods to customers are considered a cost to fulfill the contract and are included in </w:t>
      </w:r>
      <w:r>
        <w:rPr>
          <w:rFonts w:ascii="Arial" w:cs="Arial" w:eastAsia="Arial" w:hAnsi="Arial"/>
          <w:sz w:val="17"/>
          <w:szCs w:val="17"/>
          <w:i w:val="1"/>
          <w:iCs w:val="1"/>
          <w:color w:val="auto"/>
        </w:rPr>
        <w:t>Cost of goods sold</w:t>
      </w:r>
      <w:r>
        <w:rPr>
          <w:rFonts w:ascii="Arial" w:cs="Arial" w:eastAsia="Arial" w:hAnsi="Arial"/>
          <w:sz w:val="17"/>
          <w:szCs w:val="17"/>
          <w:color w:val="auto"/>
        </w:rPr>
        <w:t xml:space="preserve"> in the accompanying Condensed Consolidated Statements of Operations and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Contract assets are recorded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and contract liabilities are recorded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0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4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3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$3.1 million decrease in net contract assets from December 31, 2017 to September 30, 2018 was primarily the result of timing of milestone payments. Approximately 65% of our contract liabilities at December 31, 2017 were recognized in revenue in the first nine months of 2018. There were no impairment losses recognized on our contract assets for the three and nine months ended September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3"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 xml:space="preserve">We generally expense incremental costs of obtaining a contract when incurred because the amortization period would be less than one year. These costs primarily relate to sales commissions and are recorded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in the Condensed Consolidated Statements of Operations and Comprehensive Income.</w:t>
      </w:r>
    </w:p>
    <w:p>
      <w:pPr>
        <w:spacing w:after="0" w:line="19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category</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disaggregate our revenue from contracts with customers by segment, geographic location and vertical market, as we believe these best depict how the nature, amount, timing and uncertainty of our revenue and cash flows are affected by economic factors. Refer to Note 14 for revenue disaggregated by segment.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30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92.8</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311.2</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287.7</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117.3</w:t>
            </w: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346.0</w:t>
            </w:r>
          </w:p>
        </w:tc>
      </w:tr>
      <w:tr>
        <w:trPr>
          <w:trHeight w:val="270"/>
        </w:trPr>
        <w:tc>
          <w:tcPr>
            <w:tcW w:w="49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60.1</w:t>
            </w:r>
          </w:p>
        </w:tc>
        <w:tc>
          <w:tcPr>
            <w:tcW w:w="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173.4</w:t>
            </w: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2,124.9</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Developing includes China, Eastern Europe, Latin America, the Middle East and Southeast Asia.</w:t>
      </w:r>
    </w:p>
    <w:p>
      <w:pPr>
        <w:spacing w:after="0" w:line="64" w:lineRule="exact"/>
        <w:rPr>
          <w:rFonts w:ascii="Arial" w:cs="Arial" w:eastAsia="Arial" w:hAnsi="Arial"/>
          <w:sz w:val="22"/>
          <w:szCs w:val="22"/>
          <w:color w:val="auto"/>
          <w:vertAlign w:val="superscript"/>
        </w:rPr>
      </w:pPr>
    </w:p>
    <w:p>
      <w:pPr>
        <w:ind w:left="220" w:hanging="185"/>
        <w:spacing w:after="0" w:line="182" w:lineRule="auto"/>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Other Developed includes Australia, Canada and Japan.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Vertical market net sales information was as follows: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30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148.6</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475.4</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453.8</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486.0</w:t>
            </w: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687.6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2,224.6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2,124.9</w:t>
            </w:r>
          </w:p>
        </w:tc>
      </w:tr>
      <w:tr>
        <w:trPr>
          <w:trHeight w:val="27"/>
        </w:trPr>
        <w:tc>
          <w:tcPr>
            <w:tcW w:w="4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720" w:firstLine="8"/>
        <w:spacing w:after="0" w:line="284" w:lineRule="auto"/>
        <w:tabs>
          <w:tab w:leader="none" w:pos="783"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b w:val="1"/>
          <w:bCs w:val="1"/>
          <w:i w:val="1"/>
          <w:iCs w:val="1"/>
          <w:color w:val="auto"/>
        </w:rPr>
        <w:t>Electrical separation</w:t>
      </w:r>
    </w:p>
    <w:p>
      <w:pPr>
        <w:spacing w:after="0" w:line="1" w:lineRule="exact"/>
        <w:rPr>
          <w:rFonts w:ascii="Arial" w:cs="Arial" w:eastAsia="Arial" w:hAnsi="Arial"/>
          <w:sz w:val="17"/>
          <w:szCs w:val="17"/>
          <w:b w:val="1"/>
          <w:bCs w:val="1"/>
          <w:color w:val="auto"/>
        </w:rPr>
      </w:pPr>
    </w:p>
    <w:p>
      <w:pPr>
        <w:ind w:right="8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On April 30, 2018, the Company completed the previously announced separation of the Electrical business from the rest of Pentair by means of a dividend in specie of the Electrical business, which was effected by the transfer of the Electrical business from Pentair to nVent and the issuance by nVent of nVent ordinary shares directly to Pentair shareholders. We did not retain an equity interest in nVent.</w:t>
      </w:r>
    </w:p>
    <w:p>
      <w:pPr>
        <w:spacing w:after="0" w:line="1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results of the Electrical business have been presented as discontinued operations and the related assets and liabilities were reclassified as held for sale for all periods presented. The Electrical business had been previously disclosed as a stand-alone reporting segment. Separation costs related to the Separation and Distribution were $2.5 million and $11.7 million for the three months ended September 30, 2018 and 2017, respectively, and $82.4 million and $19.3 million for the nine months ended September 30, 2018 and 2017, respectively. These costs are reported in discontinued operations as they represent a cost directly related to the Separation and Distribution and were included within </w:t>
      </w:r>
      <w:r>
        <w:rPr>
          <w:rFonts w:ascii="Arial" w:cs="Arial" w:eastAsia="Arial" w:hAnsi="Arial"/>
          <w:sz w:val="16"/>
          <w:szCs w:val="16"/>
          <w:i w:val="1"/>
          <w:iCs w:val="1"/>
          <w:color w:val="auto"/>
        </w:rPr>
        <w:t>Income from discontinued operations, net of tax</w:t>
      </w:r>
      <w:r>
        <w:rPr>
          <w:rFonts w:ascii="Arial" w:cs="Arial" w:eastAsia="Arial" w:hAnsi="Arial"/>
          <w:sz w:val="16"/>
          <w:szCs w:val="16"/>
          <w:color w:val="auto"/>
        </w:rPr>
        <w:t xml:space="preserve"> presented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Valves &amp; Controls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April 28, 2017, we completed the sale of the Valves &amp; Controls business to Emerson Electric Co. for $3.15 billion in cash. The sale resulted in a gain of $181.1 million, net of tax. The results of the Valves &amp; Controls business have been presented as discontinued operations. The Valves &amp; Controls business was previously disclosed as a stand-alone reporting segment. Transaction costs of $1.7 million and $55.4 million related to the sale of Valves &amp; Controls were incurred during the three and nine months ended September 30, 2017, respectively, and were recorded within </w:t>
      </w:r>
      <w:r>
        <w:rPr>
          <w:rFonts w:ascii="Arial" w:cs="Arial" w:eastAsia="Arial" w:hAnsi="Arial"/>
          <w:sz w:val="18"/>
          <w:szCs w:val="18"/>
          <w:i w:val="1"/>
          <w:iCs w:val="1"/>
          <w:color w:val="auto"/>
        </w:rPr>
        <w:t>(Loss) gain from sale of discontinued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before income taxes </w:t>
      </w:r>
      <w:r>
        <w:rPr>
          <w:rFonts w:ascii="Arial" w:cs="Arial" w:eastAsia="Arial" w:hAnsi="Arial"/>
          <w:sz w:val="18"/>
          <w:szCs w:val="18"/>
          <w:color w:val="auto"/>
        </w:rPr>
        <w:t>presented below.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w w:val="98"/>
              </w:rPr>
              <w:t>Operating results of discontinued operations are summarized below:</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424.0</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1,268.9</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233.5</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440.6</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258.7</w:t>
            </w:r>
          </w:p>
        </w:tc>
      </w:tr>
      <w:tr>
        <w:trPr>
          <w:trHeight w:val="67"/>
        </w:trPr>
        <w:tc>
          <w:tcPr>
            <w:tcW w:w="5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102"/>
        </w:trPr>
        <w:tc>
          <w:tcPr>
            <w:tcW w:w="5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257.1</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219.8</w:t>
            </w:r>
          </w:p>
        </w:tc>
      </w:tr>
      <w:tr>
        <w:trPr>
          <w:trHeight w:val="67"/>
        </w:trPr>
        <w:tc>
          <w:tcPr>
            <w:tcW w:w="5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102"/>
        </w:trPr>
        <w:tc>
          <w:tcPr>
            <w:tcW w:w="5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w w:val="96"/>
              </w:rPr>
              <w:t>(Loss) gain from sale of discontinued operations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(Loss) gain from sale of discontinued operations before income taxes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198.9</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carrying amounts of major classes of assets and liabilities that were classified as held for sale on the Condensed Consolidated Balance Sheets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0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50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348.5</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50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5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50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265.8</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1,236.6</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Non-current assets held for sale</w:t>
            </w:r>
          </w:p>
        </w:tc>
        <w:tc>
          <w:tcPr>
            <w:tcW w:w="5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3,989.6</w:t>
            </w:r>
          </w:p>
        </w:tc>
      </w:tr>
      <w:tr>
        <w:trPr>
          <w:trHeight w:val="67"/>
        </w:trPr>
        <w:tc>
          <w:tcPr>
            <w:tcW w:w="502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70.8</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 held for sale</w:t>
            </w:r>
          </w:p>
        </w:tc>
        <w:tc>
          <w:tcPr>
            <w:tcW w:w="5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360.8</w:t>
            </w:r>
          </w:p>
        </w:tc>
      </w:tr>
      <w:tr>
        <w:trPr>
          <w:trHeight w:val="67"/>
        </w:trPr>
        <w:tc>
          <w:tcPr>
            <w:tcW w:w="502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286.2</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5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Non-current liabilities held for sale</w:t>
            </w:r>
          </w:p>
        </w:tc>
        <w:tc>
          <w:tcPr>
            <w:tcW w:w="5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537.0</w:t>
            </w:r>
          </w:p>
        </w:tc>
      </w:tr>
      <w:tr>
        <w:trPr>
          <w:trHeight w:val="27"/>
        </w:trPr>
        <w:tc>
          <w:tcPr>
            <w:tcW w:w="50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40"/>
        </w:trPr>
        <w:tc>
          <w:tcPr>
            <w:tcW w:w="5020" w:type="dxa"/>
            <w:vAlign w:val="bottom"/>
          </w:tcPr>
          <w:p>
            <w:pPr>
              <w:spacing w:after="0"/>
              <w:rPr>
                <w:sz w:val="24"/>
                <w:szCs w:val="24"/>
                <w:color w:val="auto"/>
              </w:rPr>
            </w:pPr>
          </w:p>
        </w:tc>
        <w:tc>
          <w:tcPr>
            <w:tcW w:w="5000" w:type="dxa"/>
            <w:vAlign w:val="bottom"/>
          </w:tcPr>
          <w:p>
            <w:pPr>
              <w:jc w:val="right"/>
              <w:ind w:right="4130"/>
              <w:spacing w:after="0"/>
              <w:rPr>
                <w:sz w:val="20"/>
                <w:szCs w:val="20"/>
                <w:color w:val="auto"/>
              </w:rPr>
            </w:pPr>
            <w:r>
              <w:rPr>
                <w:rFonts w:ascii="Arial" w:cs="Arial" w:eastAsia="Arial" w:hAnsi="Arial"/>
                <w:sz w:val="18"/>
                <w:szCs w:val="18"/>
                <w:color w:val="auto"/>
              </w:rPr>
              <w:t>12</w:t>
            </w: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nine months ended September 30, 2018 and 2017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Of the total share-based compensation expense noted above, $0.0 million and $1.7 million for the three months ended September 30, 2018 and 2017, respectively, and $3.4 million and $6.0 million for the nine months ended September 30, 2018 and 2017, respectively, was reported as part of </w:t>
      </w:r>
      <w:r>
        <w:rPr>
          <w:rFonts w:ascii="Arial" w:cs="Arial" w:eastAsia="Arial" w:hAnsi="Arial"/>
          <w:sz w:val="18"/>
          <w:szCs w:val="18"/>
          <w:i w:val="1"/>
          <w:iCs w:val="1"/>
          <w:color w:val="auto"/>
        </w:rPr>
        <w:t>Income from</w:t>
      </w:r>
      <w:r>
        <w:rPr>
          <w:rFonts w:ascii="Arial" w:cs="Arial" w:eastAsia="Arial" w:hAnsi="Arial"/>
          <w:sz w:val="18"/>
          <w:szCs w:val="18"/>
          <w:color w:val="auto"/>
        </w:rPr>
        <w:t xml:space="preserve"> </w:t>
      </w:r>
      <w:r>
        <w:rPr>
          <w:rFonts w:ascii="Arial" w:cs="Arial" w:eastAsia="Arial" w:hAnsi="Arial"/>
          <w:sz w:val="18"/>
          <w:szCs w:val="18"/>
          <w:i w:val="1"/>
          <w:iCs w:val="1"/>
          <w:color w:val="auto"/>
        </w:rPr>
        <w:t>discontinued operations, net of tax</w:t>
      </w:r>
      <w:r>
        <w:rPr>
          <w:rFonts w:ascii="Arial" w:cs="Arial" w:eastAsia="Arial" w:hAnsi="Arial"/>
          <w:sz w:val="18"/>
          <w:szCs w:val="18"/>
          <w:color w:val="auto"/>
        </w:rPr>
        <w:t>.</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May 2018, we issued our annual share-based compensation grants under the Pentair plc 2012 Stock and Incentive Plan to eligible employees. The total number of awards issued was approximately 0.8 million, of which 0.2 million were restricted stock units (“RSUs”), 0.5 million were stock options and 0.1 million were performance share units (“PSUs”). The weighted-average grant date fair value of the RSUs, stock options and PSUs issued was $45.42, $10.92, and $45.42, respectively.</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34"/>
        </w:trPr>
        <w:tc>
          <w:tcPr>
            <w:tcW w:w="6140" w:type="dxa"/>
            <w:vAlign w:val="bottom"/>
          </w:tcPr>
          <w:p>
            <w:pPr>
              <w:spacing w:after="0"/>
              <w:rPr>
                <w:sz w:val="20"/>
                <w:szCs w:val="20"/>
                <w:color w:val="auto"/>
              </w:rPr>
            </w:pPr>
          </w:p>
        </w:tc>
        <w:tc>
          <w:tcPr>
            <w:tcW w:w="52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27"/>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2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280" w:type="dxa"/>
            <w:vAlign w:val="bottom"/>
          </w:tcPr>
          <w:p>
            <w:pPr>
              <w:jc w:val="right"/>
              <w:ind w:right="90"/>
              <w:spacing w:after="0"/>
              <w:rPr>
                <w:sz w:val="20"/>
                <w:szCs w:val="20"/>
                <w:color w:val="auto"/>
              </w:rPr>
            </w:pPr>
            <w:r>
              <w:rPr>
                <w:rFonts w:ascii="Arial" w:cs="Arial" w:eastAsia="Arial" w:hAnsi="Arial"/>
                <w:sz w:val="18"/>
                <w:szCs w:val="18"/>
                <w:color w:val="auto"/>
              </w:rPr>
              <w:t>6.1</w:t>
            </w:r>
          </w:p>
        </w:tc>
      </w:tr>
    </w:tbl>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connection with the Separation and Distribution, the Company adjusted its outstanding equity awards on May 1, 2018 in accordance with the Employee Matters Agreement between Pentair and nVent. The outstanding awards will continue to vest over the original vesting period, which is generally three years from the grant date.</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RSUs, PSUs, and stock option awards issued before May 9, 2017 (the date of Pentair’s announcement of its intention to separate its Water and Electrical businesses) were converted into awards of both Pentair and nVent regardless of which company the award holder was employed by immediately after the Separation. These awards were converted as follows:</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For every unvested Pentair RSU award held, the holder received one nVent RSU.</w:t>
      </w:r>
    </w:p>
    <w:p>
      <w:pPr>
        <w:spacing w:after="0" w:line="225" w:lineRule="exact"/>
        <w:rPr>
          <w:rFonts w:ascii="Arial" w:cs="Arial" w:eastAsia="Arial" w:hAnsi="Arial"/>
          <w:sz w:val="18"/>
          <w:szCs w:val="18"/>
          <w:i w:val="1"/>
          <w:iCs w:val="1"/>
          <w:color w:val="auto"/>
        </w:rPr>
      </w:pPr>
    </w:p>
    <w:p>
      <w:pPr>
        <w:jc w:val="both"/>
        <w:ind w:left="660" w:right="700" w:hanging="328"/>
        <w:spacing w:after="0" w:line="312"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 units</w:t>
      </w:r>
      <w:r>
        <w:rPr>
          <w:rFonts w:ascii="Arial" w:cs="Arial" w:eastAsia="Arial" w:hAnsi="Arial"/>
          <w:sz w:val="16"/>
          <w:szCs w:val="16"/>
          <w:color w:val="auto"/>
        </w:rPr>
        <w:t>: Pentair PSUs were converted to Pentair RSUs immediately after the Distribution. The PSUs granted in 2016 were</w:t>
      </w:r>
      <w:r>
        <w:rPr>
          <w:rFonts w:ascii="Arial" w:cs="Arial" w:eastAsia="Arial" w:hAnsi="Arial"/>
          <w:sz w:val="16"/>
          <w:szCs w:val="16"/>
          <w:i w:val="1"/>
          <w:iCs w:val="1"/>
          <w:color w:val="auto"/>
        </w:rPr>
        <w:t xml:space="preserve"> </w:t>
      </w:r>
      <w:r>
        <w:rPr>
          <w:rFonts w:ascii="Arial" w:cs="Arial" w:eastAsia="Arial" w:hAnsi="Arial"/>
          <w:sz w:val="16"/>
          <w:szCs w:val="16"/>
          <w:color w:val="auto"/>
        </w:rPr>
        <w:t>converted at rate of 125% of target, and the PSUs granted in 2017 were converted at a rate of 100% of target. For every converted RSU, the shareholder also received one nVent RSU. The converted RSUs retain the original vesting schedule of the awarded PSUs.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left="660" w:right="60" w:hanging="328"/>
        <w:spacing w:after="0" w:line="276"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Every holder of unexercised (vested and unvested) Pentair stock options received both adjusted stock options of Pentair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of nVent, with the number of underlying shares and the exercise price adjusted accordingly to preserve the overall intrinsic value of the awards. The number of Pentair stock options was converted based upon the ratio of Pentair’s pre-Distribution stock price divided by the sum of the Pentair and nVent post-Distribution closing prices. The exercise price for the converted Pentair stock options was adjusted based on the Pentair post-Distribution closing price divided by the Pentair pre-Distribution closing price.</w:t>
      </w:r>
    </w:p>
    <w:p>
      <w:pPr>
        <w:spacing w:after="0" w:line="173"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The number of new nVent stock options awarded is the same as the converted number of Pentair stock options calculated as described above. The exercise price for the new nVent stock options was calculated based on nVent’s post-Distribution closing price divided by the Pentair pre-Distribution closing price.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unvested awards issued after May 9, 2017 were converted to awards of the Company that the shareholder was employed by immediately after the Separation, with adjustments to the number of underlying shares as appropriate to preserve the intrinsic value of such awards immediately prior to the Distribution. The adjustment of the underlying shares was based on the ratio of Pentair’s pre-Distribution stock price divided by the post-Distribution closing price of the respective company’s ordinary shares. The exercise prices of the stock options were converted using the inverse ratio in a manner designed to preserve the intrinsic value of such awards.</w:t>
      </w:r>
    </w:p>
    <w:p>
      <w:pPr>
        <w:spacing w:after="0" w:line="18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the nine months ended September 30, 2018 and the year ended December 31, 2017, we initiated and continued execution of certain business restructuring initiatives aimed at reducing our fixed cost structure and realigning our business. Initiatives during the nine months ended September 30, 2018 and the year ended December 31, 2017 included the reduction in hourly and salaried headcount of approximately 300 employees and 250 employees,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 related costs included 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costs for severance and other restructuring costs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5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nine months ended September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Costs incurred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7"/>
        </w:trPr>
        <w:tc>
          <w:tcPr>
            <w:tcW w:w="53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6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06"/>
        </w:trPr>
        <w:tc>
          <w:tcPr>
            <w:tcW w:w="620" w:type="dxa"/>
            <w:vAlign w:val="bottom"/>
          </w:tcPr>
          <w:p>
            <w:pPr>
              <w:spacing w:after="0"/>
              <w:rPr>
                <w:sz w:val="20"/>
                <w:szCs w:val="20"/>
                <w:color w:val="auto"/>
              </w:rPr>
            </w:pPr>
            <w:r>
              <w:rPr>
                <w:rFonts w:ascii="Arial" w:cs="Arial" w:eastAsia="Arial" w:hAnsi="Arial"/>
                <w:sz w:val="18"/>
                <w:szCs w:val="18"/>
                <w:b w:val="1"/>
                <w:bCs w:val="1"/>
                <w:color w:val="auto"/>
              </w:rPr>
              <w:t>6.</w:t>
            </w:r>
          </w:p>
        </w:tc>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40"/>
        </w:trPr>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6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r>
      <w:tr>
        <w:trPr>
          <w:trHeight w:val="20"/>
        </w:trPr>
        <w:tc>
          <w:tcPr>
            <w:tcW w:w="5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67"/>
        </w:trPr>
        <w:tc>
          <w:tcPr>
            <w:tcW w:w="538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rPr>
              <w:t>Basic</w:t>
            </w:r>
          </w:p>
        </w:tc>
        <w:tc>
          <w:tcPr>
            <w:tcW w:w="4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174.3</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181.7</w:t>
            </w: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Dilutive impact of stock options, restricted stock units and performance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62"/>
        </w:trPr>
        <w:tc>
          <w:tcPr>
            <w:tcW w:w="5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share units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Diluted</w:t>
            </w:r>
          </w:p>
        </w:tc>
        <w:tc>
          <w:tcPr>
            <w:tcW w:w="47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183.5</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178.5</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183.7</w:t>
            </w:r>
          </w:p>
        </w:tc>
      </w:tr>
      <w:tr>
        <w:trPr>
          <w:trHeight w:val="67"/>
        </w:trPr>
        <w:tc>
          <w:tcPr>
            <w:tcW w:w="538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ordinary share</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4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4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Diluted</w:t>
            </w:r>
          </w:p>
        </w:tc>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0"/>
        </w:trPr>
        <w:tc>
          <w:tcPr>
            <w:tcW w:w="5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5380" w:type="dxa"/>
            <w:vAlign w:val="bottom"/>
            <w:gridSpan w:val="2"/>
          </w:tcPr>
          <w:p>
            <w:pPr>
              <w:ind w:left="40"/>
              <w:spacing w:after="0" w:line="206" w:lineRule="exact"/>
              <w:rPr>
                <w:sz w:val="20"/>
                <w:szCs w:val="20"/>
                <w:color w:val="auto"/>
              </w:rPr>
            </w:pPr>
            <w:r>
              <w:rPr>
                <w:rFonts w:ascii="Arial" w:cs="Arial" w:eastAsia="Arial" w:hAnsi="Arial"/>
                <w:sz w:val="18"/>
                <w:szCs w:val="18"/>
                <w:b w:val="1"/>
                <w:bCs w:val="1"/>
                <w:color w:val="auto"/>
                <w:w w:val="93"/>
              </w:rPr>
              <w:t>Anti-dilutive stock options excluded from the calculation of diluted</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5380" w:type="dxa"/>
            <w:vAlign w:val="bottom"/>
            <w:gridSpan w:val="2"/>
          </w:tcPr>
          <w:p>
            <w:pPr>
              <w:ind w:left="20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64"/>
        </w:trPr>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5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Supplemental Balance Sheet Information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190.8</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108.2</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2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 excess of billings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assets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179.0</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184.3</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587.8</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571.3</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75.9</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Billings in excess of cost</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restructuring</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6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401.3</w:t>
            </w:r>
          </w:p>
        </w:tc>
      </w:tr>
      <w:tr>
        <w:trPr>
          <w:trHeight w:val="67"/>
        </w:trPr>
        <w:tc>
          <w:tcPr>
            <w:tcW w:w="570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6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61.3</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Self-insurance liabilities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Deferred compensation plan liabilities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2" w:right="299" w:bottom="1440" w:gutter="0" w:footer="0" w:header="0"/>
        </w:sect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122" w:right="29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December 31,</w:t>
            </w:r>
          </w:p>
        </w:tc>
        <w:tc>
          <w:tcPr>
            <w:tcW w:w="18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Foreign currency</w:t>
            </w:r>
          </w:p>
        </w:tc>
        <w:tc>
          <w:tcPr>
            <w:tcW w:w="18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translation/other</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7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973.1</w:t>
            </w:r>
          </w:p>
        </w:tc>
        <w:tc>
          <w:tcPr>
            <w:tcW w:w="92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472.1</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464.2</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667.6</w:t>
            </w:r>
          </w:p>
        </w:tc>
        <w:tc>
          <w:tcPr>
            <w:tcW w:w="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goodwill</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7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6"/>
              </w:rPr>
              <w:t>2,112.8</w:t>
            </w:r>
          </w:p>
        </w:tc>
        <w:tc>
          <w:tcPr>
            <w:tcW w:w="92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2,097.0</w:t>
            </w:r>
          </w:p>
        </w:tc>
      </w:tr>
      <w:tr>
        <w:trPr>
          <w:trHeight w:val="27"/>
        </w:trPr>
        <w:tc>
          <w:tcPr>
            <w:tcW w:w="4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59"/>
        </w:trPr>
        <w:tc>
          <w:tcPr>
            <w:tcW w:w="4460" w:type="dxa"/>
            <w:vAlign w:val="bottom"/>
            <w:gridSpan w:val="3"/>
          </w:tcPr>
          <w:p>
            <w:pPr>
              <w:spacing w:after="0"/>
              <w:rPr>
                <w:sz w:val="20"/>
                <w:szCs w:val="20"/>
                <w:color w:val="auto"/>
              </w:rPr>
            </w:pPr>
            <w:r>
              <w:rPr>
                <w:rFonts w:ascii="Arial" w:cs="Arial" w:eastAsia="Arial" w:hAnsi="Arial"/>
                <w:sz w:val="18"/>
                <w:szCs w:val="18"/>
                <w:color w:val="auto"/>
              </w:rPr>
              <w:t>Identifiable intangible assets consisted of the following:</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22"/>
        </w:trPr>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2017</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140" w:type="dxa"/>
            <w:vAlign w:val="bottom"/>
          </w:tcPr>
          <w:p>
            <w:pPr>
              <w:spacing w:after="0"/>
              <w:rPr>
                <w:sz w:val="20"/>
                <w:szCs w:val="20"/>
                <w:color w:val="auto"/>
              </w:rPr>
            </w:pPr>
          </w:p>
        </w:tc>
        <w:tc>
          <w:tcPr>
            <w:tcW w:w="1140" w:type="dxa"/>
            <w:vAlign w:val="bottom"/>
          </w:tcPr>
          <w:p>
            <w:pPr>
              <w:jc w:val="right"/>
              <w:ind w:right="353"/>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107.8</w:t>
            </w: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131.0</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Proprietary technology and patents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(89.3)</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62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(320.6)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Identifiable intangible asset amortization expense was $8.6 million and $9.2 million for the three months ended September 30, 2018 and 2017, respectively, and $27.0 million and $27.2 million for the nine months ended September 30, 2018 and 2017,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2018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Q4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r>
      <w:tr>
        <w:trPr>
          <w:trHeight w:val="27"/>
        </w:trPr>
        <w:tc>
          <w:tcPr>
            <w:tcW w:w="3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837"/>
        </w:trPr>
        <w:tc>
          <w:tcPr>
            <w:tcW w:w="3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7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Average interest rate as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7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of September 30, 2018</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3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2.934%</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3.461%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3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2.900%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r>
      <w:tr>
        <w:trPr>
          <w:trHeight w:val="270"/>
        </w:trPr>
        <w:tc>
          <w:tcPr>
            <w:tcW w:w="4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2.650%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0"/>
        </w:trPr>
        <w:tc>
          <w:tcPr>
            <w:tcW w:w="4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 Euro </w:t>
            </w:r>
            <w:r>
              <w:rPr>
                <w:rFonts w:ascii="Arial" w:cs="Arial" w:eastAsia="Arial" w:hAnsi="Arial"/>
                <w:sz w:val="25"/>
                <w:szCs w:val="25"/>
                <w:color w:val="auto"/>
                <w:vertAlign w:val="superscript"/>
              </w:rPr>
              <w:t>(1)</w:t>
            </w:r>
          </w:p>
        </w:tc>
        <w:tc>
          <w:tcPr>
            <w:tcW w:w="27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2.450%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594.4</w:t>
            </w:r>
          </w:p>
        </w:tc>
      </w:tr>
      <w:tr>
        <w:trPr>
          <w:trHeight w:val="270"/>
        </w:trPr>
        <w:tc>
          <w:tcPr>
            <w:tcW w:w="4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3.625%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3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0"/>
        </w:trPr>
        <w:tc>
          <w:tcPr>
            <w:tcW w:w="4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70"/>
        </w:trPr>
        <w:tc>
          <w:tcPr>
            <w:tcW w:w="4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3.150%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3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0"/>
        </w:trPr>
        <w:tc>
          <w:tcPr>
            <w:tcW w:w="4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4.650%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99"/>
              </w:rPr>
              <w:t>N/A</w:t>
            </w:r>
          </w:p>
        </w:tc>
        <w:tc>
          <w:tcPr>
            <w:tcW w:w="1220" w:type="dxa"/>
            <w:vAlign w:val="bottom"/>
          </w:tcPr>
          <w:p>
            <w:pPr>
              <w:jc w:val="center"/>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74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99"/>
              </w:rPr>
              <w:t>N/A</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2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220" w:hanging="185"/>
        <w:spacing w:after="0"/>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and PISG</w:t>
      </w:r>
    </w:p>
    <w:p>
      <w:pPr>
        <w:spacing w:after="0" w:line="2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25, 2018, Pentair, Pentair Investments Switzerland GmbH (“PISG”), Pentair Finance S.à r.l. (“PFSA”) and Pentair, Inc. entered into a credit agreement, providing for a five-year $800.0 million senior unsecured revolving credit facility (the “Senior Credit Facility”), with Pentair and PISG as guarantors and PFSA and Pentair, Inc. as borrowers. The Senior Credit Facility replaced PFSA’s existing credit facility under that certain Amended and Restated Credit Agreement, dated as of October 3, 2014. PFSA has the option to request to increase the Senior Credit Facility in an aggregate amount of up to $300.0 million, subject to customary conditions, including the commitment of the participating lenders.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$99.0 million of commercial paper outstanding as of September 30, 2018 and $34.0 million as of December 31, 2017,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The Senior Credit Facility contains covenants requiring us not to permit (i) the ratio of our consolidated debt (net of its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September 30, 2018, we were in compliance with all financial covenants in our debt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Total availability under the Senior Credit Facility was $691.6 million as of September 30, 2018.</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$21.1 million, of which there were no outstanding borrowings at September 30, 2018. Borrowings under these credit facilities bear interest at variable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June 2018, we used the $993.6 million of cash received from nVent as a result of the Distribution to pay down commercial paper and revolving credit facilities, redeem the remaining $255.3 million aggregate principal of our 2.9% fixed rate senior notes due 2018, and we completed a cash tender offer in the amount of €363.4 million aggregate principal of our 2.45% senior notes due 2019. All costs associated with the repurchases of debt were recorded as a </w:t>
      </w:r>
      <w:r>
        <w:rPr>
          <w:rFonts w:ascii="Arial" w:cs="Arial" w:eastAsia="Arial" w:hAnsi="Arial"/>
          <w:sz w:val="17"/>
          <w:szCs w:val="17"/>
          <w:i w:val="1"/>
          <w:iCs w:val="1"/>
          <w:color w:val="auto"/>
        </w:rPr>
        <w:t>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early extinguishment of debt </w:t>
      </w:r>
      <w:r>
        <w:rPr>
          <w:rFonts w:ascii="Arial" w:cs="Arial" w:eastAsia="Arial" w:hAnsi="Arial"/>
          <w:sz w:val="17"/>
          <w:szCs w:val="17"/>
          <w:color w:val="auto"/>
        </w:rPr>
        <w:t>in the Condensed Consolidated Statements of Operations and Comprehensive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$16.0 million premium paid</w:t>
      </w:r>
      <w:r>
        <w:rPr>
          <w:rFonts w:ascii="Arial" w:cs="Arial" w:eastAsia="Arial" w:hAnsi="Arial"/>
          <w:sz w:val="17"/>
          <w:szCs w:val="17"/>
          <w:i w:val="1"/>
          <w:iCs w:val="1"/>
          <w:color w:val="auto"/>
        </w:rPr>
        <w:t xml:space="preserve"> </w:t>
      </w:r>
      <w:r>
        <w:rPr>
          <w:rFonts w:ascii="Arial" w:cs="Arial" w:eastAsia="Arial" w:hAnsi="Arial"/>
          <w:sz w:val="17"/>
          <w:szCs w:val="17"/>
          <w:color w:val="auto"/>
        </w:rPr>
        <w:t>on early extinguishment and $1.1 million of unamortized deferred financing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September 30, 2018 matures on a calendar year basis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Q4</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Pr>
          <w:p>
            <w:pPr>
              <w:spacing w:after="0"/>
              <w:rPr>
                <w:sz w:val="23"/>
                <w:szCs w:val="23"/>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Thereafter</w:t>
            </w:r>
          </w:p>
        </w:tc>
        <w:tc>
          <w:tcPr>
            <w:tcW w:w="26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2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Contractual debt obligation maturities</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804.3</w:t>
            </w:r>
          </w:p>
        </w:tc>
      </w:tr>
      <w:tr>
        <w:trPr>
          <w:trHeight w:val="27"/>
        </w:trPr>
        <w:tc>
          <w:tcPr>
            <w:tcW w:w="2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7800" w:firstLine="8"/>
        <w:spacing w:after="0" w:line="276" w:lineRule="auto"/>
        <w:tabs>
          <w:tab w:leader="none" w:pos="648"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ind w:right="18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September 30, 2018 and December 31, 2017, we had outstanding foreign currency derivative contracts with gross national U.S. dollar equivalent amounts of $361.6 million and $481.4 million, respectively. The impact of these contracts on the Condensed Consolidated Statements of Operations and Comprehensive Income was not material for any period presented.</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Gains or losses on foreign currency contracts designated as hedges are reclassified out of Accumulated Other Comprehensive Loss (“AOCI”) and into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 the Condensed Consolidated Statements of Operations and Comprehensive Income upon settlement.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reclassifications during the three and nine months ended September 30, 2018 and 2017 were not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net investments in foreign subsidiaries that are subject to changes in the foreign currency exchange rate. In September 2015, we designated the €500 million 2.45% Senior Notes due 2019 (the “2019 Euro Notes”) as a net investment hedge for a portion of our net investment in our Euro denominated subsidiaries. In June 2018, the Company completed a tender offer for €363.4 million of the 2019 Euro Notes. The remaining €136.6 million of the 2019 Euro Notes have been re-designated as a net investment hedge in our Euro denominated subsidiaries. The gains/losses on the 2019 Euro Notes have been included as a component of the cumulative translation adjustment account within AOCI. As of September 30, 2018 and December 31, 2017, we had deferred foreign currency losses of $6.1 million and $29.6 million, respectively, in AOCI associated with the net investment hedge activity.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420" w:right="740" w:hanging="773"/>
        <w:spacing w:after="0" w:line="342" w:lineRule="auto"/>
        <w:tabs>
          <w:tab w:leader="none" w:pos="14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520" w:hanging="330"/>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short-term financial instruments (cash and cash equivalents, accounts and notes receivable, accounts and notes payable and variable-rate debt) — recorded amount approximates fair value because of the short maturity period;</w:t>
      </w:r>
    </w:p>
    <w:p>
      <w:pPr>
        <w:spacing w:after="0" w:line="116" w:lineRule="exact"/>
        <w:rPr>
          <w:rFonts w:ascii="Arial" w:cs="Arial" w:eastAsia="Arial" w:hAnsi="Arial"/>
          <w:sz w:val="18"/>
          <w:szCs w:val="18"/>
          <w:color w:val="auto"/>
        </w:rPr>
      </w:pPr>
    </w:p>
    <w:p>
      <w:pPr>
        <w:ind w:left="460" w:right="160" w:hanging="330"/>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fixed-rate debt, including current maturities — fair value is based on market quotes available for issuance of debt with similar terms, 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460" w:right="120" w:hanging="330"/>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contract agreements — fair values are determined through the use of models that consider various assumptions, including time value, yield curves, as well as other relevant economic measures, which are inputs that are classified as Level 2 in the valuation hierarchy defined by the accounting guidance; and</w:t>
      </w:r>
    </w:p>
    <w:p>
      <w:pPr>
        <w:spacing w:after="0" w:line="127" w:lineRule="exact"/>
        <w:rPr>
          <w:rFonts w:ascii="Arial" w:cs="Arial" w:eastAsia="Arial" w:hAnsi="Arial"/>
          <w:sz w:val="18"/>
          <w:szCs w:val="18"/>
          <w:color w:val="auto"/>
        </w:rPr>
      </w:pPr>
    </w:p>
    <w:p>
      <w:pPr>
        <w:ind w:left="460" w:right="140" w:hanging="330"/>
        <w:spacing w:after="0" w:line="279"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deferred compensation plan assets (mutual funds, common/collective trusts and cash equivalents for payment of certain non-qualified benefits for retired, terminated and active employees) — fair value of mutual funds and cash equivalents are based on quoted market prices in active markets that are classified as Level 1 in the valuation hierarchy defined by the accounting guidance; fair value of common/collective trusts are based on observable inputs that are classified as Level 2 in the valuation hierarchy defined by the accounting guidance.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ind w:left="5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34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34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695.8</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1,385.1</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1,424.0</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1,486.4</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3"/>
          </w:tcPr>
          <w:p>
            <w:pPr>
              <w:ind w:left="300"/>
              <w:spacing w:after="0"/>
              <w:rPr>
                <w:sz w:val="20"/>
                <w:szCs w:val="20"/>
                <w:color w:val="auto"/>
              </w:rPr>
            </w:pPr>
            <w:r>
              <w:rPr>
                <w:rFonts w:ascii="Arial" w:cs="Arial" w:eastAsia="Arial" w:hAnsi="Arial"/>
                <w:sz w:val="18"/>
                <w:szCs w:val="18"/>
                <w:b w:val="1"/>
                <w:bCs w:val="1"/>
                <w:color w:val="auto"/>
              </w:rPr>
              <w:t>September 30, 2018</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Foreign currency contract liabilities</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4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37"/>
        </w:trPr>
        <w:tc>
          <w:tcPr>
            <w:tcW w:w="4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3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4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2140" w:type="dxa"/>
            <w:vAlign w:val="bottom"/>
          </w:tcPr>
          <w:p>
            <w:pPr>
              <w:jc w:val="right"/>
              <w:ind w:right="5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(1)</w:t>
      </w:r>
    </w:p>
    <w:p>
      <w:pPr>
        <w:spacing w:after="0" w:line="122" w:lineRule="exact"/>
        <w:rPr>
          <w:sz w:val="20"/>
          <w:szCs w:val="20"/>
          <w:color w:val="auto"/>
        </w:rPr>
      </w:pPr>
    </w:p>
    <w:p>
      <w:pPr>
        <w:ind w:left="460" w:right="120" w:hanging="330"/>
        <w:spacing w:after="0" w:line="250" w:lineRule="auto"/>
        <w:tabs>
          <w:tab w:leader="none" w:pos="460" w:val="left"/>
        </w:tabs>
        <w:numPr>
          <w:ilvl w:val="1"/>
          <w:numId w:val="15"/>
        </w:numPr>
        <w:rPr>
          <w:rFonts w:ascii="Arial" w:cs="Arial" w:eastAsia="Arial" w:hAnsi="Arial"/>
          <w:sz w:val="24"/>
          <w:szCs w:val="24"/>
          <w:color w:val="auto"/>
          <w:vertAlign w:val="superscript"/>
        </w:rPr>
      </w:pPr>
      <w:r>
        <w:rPr>
          <w:rFonts w:ascii="Arial" w:cs="Arial" w:eastAsia="Arial" w:hAnsi="Arial"/>
          <w:sz w:val="17"/>
          <w:szCs w:val="17"/>
          <w:color w:val="auto"/>
        </w:rPr>
        <w:t>During the fourth quarter of 2017, we completed our annual intangible assets impairment review. As a result, we recorded a pre-tax non-cash impairment charge of $8.8 million for a trade name intangible in 2017. The impairment charge reduced the carrying value of the impacted trade name intangible to $10.8 million. The fair value of trade names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w:t>
      </w:r>
    </w:p>
    <w:p>
      <w:pPr>
        <w:spacing w:after="0" w:line="298"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effective income tax rate for the nine months ended September 30, 2018 was 17.0%, compared to 47.2% for the nine months ended September 30, 2017. We continue to actively pursue initiatives to reduce our effective tax rate. The tax rate in any quarter can be affected positively or negatively by adjustments that are required to be reported in the specific quarter of resolution. The liability for uncertain tax positions was $52.8 million and $12.0 million at September 30, 2018 and December 31, 2017, respectively. The increase was primarily due to the establishment of uncertain tax positions with the Internal Revenue Service and other jurisdictions. We record penalties and interest related to unrecognized tax benefits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and </w:t>
      </w:r>
      <w:r>
        <w:rPr>
          <w:rFonts w:ascii="Arial" w:cs="Arial" w:eastAsia="Arial" w:hAnsi="Arial"/>
          <w:sz w:val="16"/>
          <w:szCs w:val="16"/>
          <w:i w:val="1"/>
          <w:iCs w:val="1"/>
          <w:color w:val="auto"/>
        </w:rPr>
        <w:t>Net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expense</w:t>
      </w:r>
      <w:r>
        <w:rPr>
          <w:rFonts w:ascii="Arial" w:cs="Arial" w:eastAsia="Arial" w:hAnsi="Arial"/>
          <w:sz w:val="16"/>
          <w:szCs w:val="16"/>
          <w:color w:val="auto"/>
        </w:rPr>
        <w:t>, respectively, on the Condensed Consolidated Statements of Operations and Comprehensive Income, which is consistent with our past practices.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reform</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For 2018, the Company considered in its estimated annual effective tax rate additional provisions of the Act including changes to the deduction for executive compensation and interest expense, a tax on global intangible low-taxed income provisions (“GILTI”), the base erosion anti-abuse tax, and a deduction for foreign-derived intangible income. The Company has elected to treat tax on GILTI income as a period cost and has therefore included it in its annual estimated effective tax rate.</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Given the significance of the Act,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Act. SAB 118 allows registrants to record provisional amounts during a one year “measurement period.”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calculated its best estimate of the impact of the Act in its December 31, 2017 income tax provision in accordance with its understanding of the Act and guidance available as of the date of the filing of the Annual Report on Form 10-K and as a result recorded a provisional income tax expense of $2.2 million in the fourth quarter of 2017, the period in which the legislation was enacted. For the three months ended September 30, 2018, we recorded a $3.6 million decrease to the provisional income tax expense. The provisional amount related to the remeasurement of certain deferred tax assets and liabilities based on the rates at which they are expected to reverse in the future was a decrease to income tax expense of $28.0 million. The remeasurement of deferred taxes requires further analysis regarding the state tax impacts of the remeasurement and other aspects of the Act that may impact our tax balances.</w:t>
      </w:r>
    </w:p>
    <w:p>
      <w:pPr>
        <w:spacing w:after="0" w:line="11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amount related to the one-time transition tax on the mandatory deemed repatriation of foreign earnings was an increase to income tax expense of $26.6 million. The determination of the transition tax requires additional analysis regarding state tax impacts, which is expected to be completed in the fourth quarter of 2018.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25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for our pension plans for the three and nine months ended September 30, 2018 and 2017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November 2017, our Board of Directors approved amendments to terminate the Pentair Salaried Plan (the “Salaried Plan”), a U.S. qualified pension plan. The Salaried Plan discontinued accruing benefits on December 31, 2017 and the termination was effective December 31, 2017. It is expected to take 18 to 24 months from the date of the approved amendment to complete the termination of the Salaried Plan.</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Salaried Plan participants whose benefits were not in pay status by July 1, 2018 were given the opportunity to elect a lump-sum (or monthly annuity) payment during a special election window. During the third quarter of 2018, lump-sum payments of $171.9 million resulted in interim mark-to-market accounting for the Salaried Plan. The mark-to-market adjustment is reflected within </w:t>
      </w:r>
      <w:r>
        <w:rPr>
          <w:rFonts w:ascii="Arial" w:cs="Arial" w:eastAsia="Arial" w:hAnsi="Arial"/>
          <w:sz w:val="18"/>
          <w:szCs w:val="18"/>
          <w:i w:val="1"/>
          <w:iCs w:val="1"/>
          <w:color w:val="auto"/>
        </w:rPr>
        <w:t>Actuarial loss</w:t>
      </w:r>
      <w:r>
        <w:rPr>
          <w:rFonts w:ascii="Arial" w:cs="Arial" w:eastAsia="Arial" w:hAnsi="Arial"/>
          <w:sz w:val="18"/>
          <w:szCs w:val="18"/>
          <w:color w:val="auto"/>
        </w:rPr>
        <w:t xml:space="preserve"> in the table above.</w:t>
      </w:r>
    </w:p>
    <w:p>
      <w:pPr>
        <w:spacing w:after="0" w:line="12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As described in Note 1, during the first quarter of 2018, the Company adopted ASU 2017-07. As a result, service costs are classified as employee compensation costs within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xml:space="preserve"> within the Condensed Consolidated Statements of Operations and Comprehensive Income. All other components of net periodic benefit cost are classified within </w:t>
      </w:r>
      <w:r>
        <w:rPr>
          <w:rFonts w:ascii="Arial" w:cs="Arial" w:eastAsia="Arial" w:hAnsi="Arial"/>
          <w:sz w:val="16"/>
          <w:szCs w:val="16"/>
          <w:i w:val="1"/>
          <w:iCs w:val="1"/>
          <w:color w:val="auto"/>
        </w:rPr>
        <w:t>Other expense (income)</w:t>
      </w:r>
      <w:r>
        <w:rPr>
          <w:rFonts w:ascii="Arial" w:cs="Arial" w:eastAsia="Arial" w:hAnsi="Arial"/>
          <w:sz w:val="16"/>
          <w:szCs w:val="16"/>
          <w:color w:val="auto"/>
        </w:rPr>
        <w:t xml:space="preserve"> for the periods presented.</w:t>
      </w:r>
    </w:p>
    <w:p>
      <w:pPr>
        <w:spacing w:after="0" w:line="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Components of net periodic benefit cost for our other post-retirement plans for the three and nine months ended September 30, 2018 and 2017 were not material.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right="9100" w:firstLine="8"/>
        <w:spacing w:after="0" w:line="261" w:lineRule="auto"/>
        <w:tabs>
          <w:tab w:leader="none" w:pos="64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22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In December 2014, the Board of Directors authorized the repurchase of our ordinary shares up to a maximum dollar limit of $1.0 billion (the “2014 Authorization”). On May 8, 2018, the Board of Directors authorized the repurchase of our ordinary shares up to a maximum dollar limit of $750.0 million (the “2018 Authorization”), replacing the 2014 Authorization. The 2018 Authorization expires on May 31, 2021. During the nine months ended September 30, 2018, we repurchased 7.8 million of our shares for $400.0 million, of which 2.2 million shares, or $150.0 million, and 5.6 million shares, or</w:t>
      </w:r>
    </w:p>
    <w:p>
      <w:pPr>
        <w:spacing w:after="0" w:line="2" w:lineRule="exact"/>
        <w:rPr>
          <w:rFonts w:ascii="Arial" w:cs="Arial" w:eastAsia="Arial" w:hAnsi="Arial"/>
          <w:sz w:val="18"/>
          <w:szCs w:val="18"/>
          <w:b w:val="1"/>
          <w:bCs w:val="1"/>
          <w:color w:val="auto"/>
        </w:rPr>
      </w:pPr>
    </w:p>
    <w:p>
      <w:pPr>
        <w:ind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$250.0 million, were repurchased pursuant to the 2014 and 2018 Authorizations, respectively. As of September 30, 2018, we had $500.0 million available for share repurchases under the 2018 Authorization.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On September 18, 2018, the Board of Directors declared a quarterly cash dividend of $0.175, which reflects an adjustment for the Distribution, payable on November 2, 2018 to shareholders of record at the close of business on October 19, 2018. As a result, the balance of dividends payable included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liabilities </w:t>
      </w:r>
      <w:r>
        <w:rPr>
          <w:rFonts w:ascii="Arial" w:cs="Arial" w:eastAsia="Arial" w:hAnsi="Arial"/>
          <w:sz w:val="18"/>
          <w:szCs w:val="18"/>
          <w:color w:val="auto"/>
        </w:rPr>
        <w:t>on our Condensed Consolidated Balance Sheets was $30.4 million and $63.1 million at September 30, 2018 and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29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Effective May 1, 2018, we reorganized our business segments to reflect a new operating structure, resulting in a change to our reporting segments. All prior period amounts related to the segment change have been retrospectively reclassified to conform to the new presentation. As part of this reorganization the legacy Water segment was separated into three reportable business segments:</w:t>
      </w:r>
    </w:p>
    <w:p>
      <w:pPr>
        <w:spacing w:after="0" w:line="143" w:lineRule="exact"/>
        <w:rPr>
          <w:sz w:val="20"/>
          <w:szCs w:val="20"/>
          <w:color w:val="auto"/>
        </w:rPr>
      </w:pPr>
    </w:p>
    <w:p>
      <w:pPr>
        <w:ind w:left="660" w:right="560" w:hanging="328"/>
        <w:spacing w:after="0" w:line="30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Aquatic Systems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a complete line of energy-efficient residential and commercial pool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16" w:lineRule="exact"/>
        <w:rPr>
          <w:rFonts w:ascii="Arial" w:cs="Arial" w:eastAsia="Arial" w:hAnsi="Arial"/>
          <w:sz w:val="18"/>
          <w:szCs w:val="18"/>
          <w:color w:val="auto"/>
        </w:rPr>
      </w:pPr>
    </w:p>
    <w:p>
      <w:pPr>
        <w:ind w:left="660" w:right="20" w:hanging="328"/>
        <w:spacing w:after="0" w:line="30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Filtration Solutions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water and fluid treatment products and systems, including pressure tanks and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valves, activated carbon products, conventional filtration products, point-of-entry and point-of-use systems, gas recovery solutions, membrane bioreactors, wastewater reuse systems and advanced membrane filtration and separation systems into the global residential, industrial and commercial markets. These products are used in a range of applications, including use in fluid filtration, ion exchange, desalination, food and beverage, food service and separation technologies for the oil and gas industry.</w:t>
      </w:r>
    </w:p>
    <w:p>
      <w:pPr>
        <w:spacing w:after="0" w:line="117" w:lineRule="exact"/>
        <w:rPr>
          <w:rFonts w:ascii="Arial" w:cs="Arial" w:eastAsia="Arial" w:hAnsi="Arial"/>
          <w:sz w:val="18"/>
          <w:szCs w:val="18"/>
          <w:color w:val="auto"/>
        </w:rPr>
      </w:pPr>
    </w:p>
    <w:p>
      <w:pPr>
        <w:ind w:left="660" w:hanging="328"/>
        <w:spacing w:after="0" w:line="30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Flow Technologies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products ranging from light duty diaphragm pumps to high-flow turbine pumps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1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754.1</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737.0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238.0</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2,124.9</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early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allocations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220" w:firstLine="8"/>
        <w:spacing w:after="0" w:line="293" w:lineRule="auto"/>
        <w:tabs>
          <w:tab w:leader="none" w:pos="64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Warranties and guarantees</w:t>
      </w:r>
    </w:p>
    <w:p>
      <w:pPr>
        <w:spacing w:after="0" w:line="1" w:lineRule="exact"/>
        <w:rPr>
          <w:rFonts w:ascii="Arial" w:cs="Arial" w:eastAsia="Arial" w:hAnsi="Arial"/>
          <w:sz w:val="16"/>
          <w:szCs w:val="16"/>
          <w:b w:val="1"/>
          <w:bCs w:val="1"/>
          <w:color w:val="auto"/>
        </w:rPr>
      </w:pPr>
    </w:p>
    <w:p>
      <w:pPr>
        <w:ind w:right="20"/>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7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1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During the second quarter of 2017, we recorded a liability representing the fair value of our expected future obligation for this matter.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changes in the carrying amount of service and product warranties of continuing operations for the nine months ended September 30,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63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6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43.2</w:t>
            </w:r>
          </w:p>
        </w:tc>
      </w:tr>
      <w:tr>
        <w:trPr>
          <w:trHeight w:val="27"/>
        </w:trPr>
        <w:tc>
          <w:tcPr>
            <w:tcW w:w="6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3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0"/>
        </w:trPr>
        <w:tc>
          <w:tcPr>
            <w:tcW w:w="63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2018 and December 31, 2017, the outstanding value of bonds, letters of credit and bank guarantees totaled $124.2 million and $129.2 million, respectively.</w:t>
      </w:r>
    </w:p>
    <w:p>
      <w:pPr>
        <w:spacing w:after="0" w:line="27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27"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Pentair plc (the “Parent Company Guarantor”) and PISG (the “Subsidiary Guarantor”), fully and unconditionally, guarantee the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Subsidiary Guarantor. The guarantees provided by the Parent Company Guarantor and Subsidiary Guarantor are joint and several.</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 of Operations and Comprehensive Income (Loss), Condensed Consolidating Balance Sheets and Condensed Consolidating Statement of Cash Flows by relevant group within the Company: Pentair plc and PISG as the guarantors, PFSA as issuer of the debt and all other non-guarantor subsidiaries. Condensed consolidating financial information for Pentair plc, PISG and PFSA on a stand-alone basis is presented using the equity method of accounting for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711.4</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467.6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467.6</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interest (income)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18"/>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(Loss) earnings from discontinued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1,444.9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1,444.9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387.9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399.0</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334.8</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254.5</w:t>
            </w:r>
          </w:p>
        </w:tc>
      </w:tr>
      <w:tr>
        <w:trPr>
          <w:trHeight w:val="67"/>
        </w:trPr>
        <w:tc>
          <w:tcPr>
            <w:tcW w:w="3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266.4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402.4</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135.2</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274.2</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1,909.0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1,840.3</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2,476.6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(6,225.9)</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289.4</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289.4</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(1,332.8)</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1,932.3</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1,909.4</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3,149.5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3,113.2</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(7,558.7)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2,545.7</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3,809.5</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259.3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261.3</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361.1</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798.8</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109.8</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207.0</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1,929.3</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1,880.2</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1,909.0</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2,476.8</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(6,225.9)</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1,880.2</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3,809.5</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color w:val="auto"/>
                <w:w w:val="89"/>
              </w:rPr>
              <w:t>28</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Parent</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40" w:type="dxa"/>
            <w:vAlign w:val="bottom"/>
          </w:tcPr>
          <w:p>
            <w:pPr>
              <w:spacing w:after="0"/>
              <w:rPr>
                <w:sz w:val="17"/>
                <w:szCs w:val="17"/>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Subsidiary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4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210"/>
        </w:trPr>
        <w:tc>
          <w:tcPr>
            <w:tcW w:w="31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Guarantor</w:t>
            </w:r>
          </w:p>
        </w:tc>
        <w:tc>
          <w:tcPr>
            <w:tcW w:w="24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Guarantor</w:t>
            </w:r>
          </w:p>
        </w:tc>
        <w:tc>
          <w:tcPr>
            <w:tcW w:w="220" w:type="dxa"/>
            <w:vAlign w:val="bottom"/>
          </w:tcPr>
          <w:p>
            <w:pPr>
              <w:spacing w:after="0"/>
              <w:rPr>
                <w:sz w:val="18"/>
                <w:szCs w:val="18"/>
                <w:color w:val="auto"/>
              </w:rPr>
            </w:pPr>
          </w:p>
        </w:tc>
        <w:tc>
          <w:tcPr>
            <w:tcW w:w="116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4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2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18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3160" w:type="dxa"/>
            <w:vAlign w:val="bottom"/>
          </w:tcPr>
          <w:p>
            <w:pPr>
              <w:jc w:val="center"/>
              <w:ind w:left="239"/>
              <w:spacing w:after="0"/>
              <w:rPr>
                <w:sz w:val="20"/>
                <w:szCs w:val="20"/>
                <w:color w:val="auto"/>
              </w:rPr>
            </w:pPr>
            <w:r>
              <w:rPr>
                <w:rFonts w:ascii="Arial" w:cs="Arial" w:eastAsia="Arial" w:hAnsi="Arial"/>
                <w:sz w:val="16"/>
                <w:szCs w:val="16"/>
                <w:color w:val="auto"/>
                <w:w w:val="92"/>
              </w:rPr>
              <w:t>Net cash provided by (used for) operating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197.2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269.2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274.7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464.1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(920.6)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284.6</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Proceeds from sale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Payments due to sale of businesses, net</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Net intercompany loan activity</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618.7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(581.6)</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3"/>
        </w:trPr>
        <w:tc>
          <w:tcPr>
            <w:tcW w:w="316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2"/>
              </w:rPr>
              <w:t>Net cash provided by (used for) investing</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9"/>
        </w:trPr>
        <w:tc>
          <w:tcPr>
            <w:tcW w:w="3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activities of continuing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570.8</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(581.6)</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r>
      <w:tr>
        <w:trPr>
          <w:trHeight w:val="220"/>
        </w:trPr>
        <w:tc>
          <w:tcPr>
            <w:tcW w:w="3160" w:type="dxa"/>
            <w:vAlign w:val="bottom"/>
          </w:tcPr>
          <w:p>
            <w:pPr>
              <w:jc w:val="center"/>
              <w:ind w:left="219"/>
              <w:spacing w:after="0"/>
              <w:rPr>
                <w:sz w:val="20"/>
                <w:szCs w:val="20"/>
                <w:color w:val="auto"/>
              </w:rPr>
            </w:pPr>
            <w:r>
              <w:rPr>
                <w:rFonts w:ascii="Arial" w:cs="Arial" w:eastAsia="Arial" w:hAnsi="Arial"/>
                <w:sz w:val="16"/>
                <w:szCs w:val="16"/>
                <w:color w:val="auto"/>
                <w:w w:val="92"/>
              </w:rPr>
              <w:t>Net cash provided by (used for) investing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jc w:val="center"/>
              <w:ind w:left="199"/>
              <w:spacing w:after="0"/>
              <w:rPr>
                <w:sz w:val="20"/>
                <w:szCs w:val="20"/>
                <w:color w:val="auto"/>
              </w:rPr>
            </w:pPr>
            <w:r>
              <w:rPr>
                <w:rFonts w:ascii="Arial" w:cs="Arial" w:eastAsia="Arial" w:hAnsi="Arial"/>
                <w:sz w:val="16"/>
                <w:szCs w:val="16"/>
                <w:color w:val="auto"/>
                <w:w w:val="93"/>
              </w:rPr>
              <w:t>activities of discontinued operations</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3"/>
        </w:trPr>
        <w:tc>
          <w:tcPr>
            <w:tcW w:w="316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2"/>
              </w:rPr>
              <w:t>Net cash provided by (used for) investing</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9"/>
        </w:trPr>
        <w:tc>
          <w:tcPr>
            <w:tcW w:w="3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563.7</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(581.6)</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Net receipts (repayments) of commercial paper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and revolving long-term debt</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(675.1)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(675.1)</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issuance costs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w w:val="95"/>
              </w:rPr>
              <w:t>Premium paid on early extinguishment of debt</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 of cash to nVent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Distribution from nVent spin-off</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993.6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993.6</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343.6</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(987.8)</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1,502.2</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200"/>
              <w:spacing w:after="0"/>
              <w:rPr>
                <w:sz w:val="20"/>
                <w:szCs w:val="20"/>
                <w:color w:val="auto"/>
              </w:rPr>
            </w:pPr>
            <w:r>
              <w:rPr>
                <w:rFonts w:ascii="Arial" w:cs="Arial" w:eastAsia="Arial" w:hAnsi="Arial"/>
                <w:sz w:val="16"/>
                <w:szCs w:val="16"/>
                <w:color w:val="auto"/>
              </w:rPr>
              <w:t>withheld</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16.0</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(156.7)</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(156.7)</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3"/>
        </w:trPr>
        <w:tc>
          <w:tcPr>
            <w:tcW w:w="316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3"/>
              </w:rPr>
              <w:t>Net cash provided by (used for) financing</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9"/>
        </w:trPr>
        <w:tc>
          <w:tcPr>
            <w:tcW w:w="3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(1,081.0)</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1,502.2</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(268.4)</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27.0</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0"/>
              </w:rPr>
              <w:t>Effect of exchange rate changes on cash and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Cash and cash equivalents, beginning of</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period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r>
      <w:tr>
        <w:trPr>
          <w:trHeight w:val="21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8"/>
              </w:rPr>
              <w:t>Cash and cash equivalents, end of period</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451.1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451.1</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106.0</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Gain from sale of discontinued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(229.5)</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72"/>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1,391.1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1,391.1</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378.9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386.2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300.2</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292.9</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219.8</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Gain from sale of discontinued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418.7</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418.7</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418.7</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(1,256.1)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502.8</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502.8</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502.8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(1,508.4)</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502.8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(3,102.6)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977.4</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Subsidiary</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483.1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483.1</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1,743.8</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1,748.8</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5,109.6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7,156.1</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(17,470.8)</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2,112.8</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614.0</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Non-current assets held for sale</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3,989.6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3,989.6</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5,207.3</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5,203.7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7,770.1</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7,875.5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(19,451.5)</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6,605.1</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9,899.1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(19,460.7)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8,633.7</w:t>
            </w:r>
          </w:p>
        </w:tc>
      </w:tr>
      <w:tr>
        <w:trPr>
          <w:trHeight w:val="67"/>
        </w:trPr>
        <w:tc>
          <w:tcPr>
            <w:tcW w:w="3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gridSpan w:val="3"/>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3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3"/>
            <w:shd w:val="clear" w:color="auto" w:fill="CCEEFF"/>
          </w:tcPr>
          <w:p>
            <w:pPr>
              <w:jc w:val="center"/>
              <w:ind w:right="430"/>
              <w:spacing w:after="0"/>
              <w:rPr>
                <w:sz w:val="20"/>
                <w:szCs w:val="20"/>
                <w:color w:val="auto"/>
              </w:rPr>
            </w:pPr>
            <w:r>
              <w:rPr>
                <w:rFonts w:ascii="Arial" w:cs="Arial" w:eastAsia="Arial" w:hAnsi="Arial"/>
                <w:sz w:val="18"/>
                <w:szCs w:val="18"/>
                <w:b w:val="1"/>
                <w:bCs w:val="1"/>
                <w:color w:val="auto"/>
                <w:w w:val="92"/>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w w:val="99"/>
              </w:rPr>
              <w:t>Employee compensation and benefits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115.8</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360.8</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1,199.4</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1,440.7</w:t>
            </w: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96.4</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213.8</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2,662.3</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2,742.8</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(1,989.9)</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3,595.9</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5,037.8</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5,109.4</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7,156.3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(17,470.8)</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5,037.8</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9,899.1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(19,460.7)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8,633.7</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730"/>
              <w:spacing w:after="0"/>
              <w:rPr>
                <w:sz w:val="20"/>
                <w:szCs w:val="20"/>
                <w:color w:val="auto"/>
              </w:rPr>
            </w:pPr>
            <w:r>
              <w:rPr>
                <w:rFonts w:ascii="Arial" w:cs="Arial" w:eastAsia="Arial" w:hAnsi="Arial"/>
                <w:sz w:val="18"/>
                <w:szCs w:val="18"/>
                <w:color w:val="auto"/>
                <w:w w:val="89"/>
              </w:rPr>
              <w:t>32</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Parent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240" w:type="dxa"/>
            <w:vAlign w:val="bottom"/>
          </w:tcPr>
          <w:p>
            <w:pPr>
              <w:spacing w:after="0"/>
              <w:rPr>
                <w:sz w:val="17"/>
                <w:szCs w:val="17"/>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210"/>
        </w:trPr>
        <w:tc>
          <w:tcPr>
            <w:tcW w:w="310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18"/>
                <w:szCs w:val="18"/>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Guarantor</w:t>
            </w:r>
          </w:p>
        </w:tc>
        <w:tc>
          <w:tcPr>
            <w:tcW w:w="24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18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22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356.3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481.8</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464.4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(1,601.0)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361.8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Proceeds from sale of property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Proceeds from sale of businesses, net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2,765.6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2,764.0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Net intercompany loan activity</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119.4</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136.0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(255.4)</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3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investing activities of continuing</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operations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2,885.0</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(255.4)</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2,695.9</w:t>
            </w: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3100" w:type="dxa"/>
            <w:vAlign w:val="bottom"/>
          </w:tcPr>
          <w:p>
            <w:pPr>
              <w:ind w:left="540"/>
              <w:spacing w:after="0"/>
              <w:rPr>
                <w:sz w:val="20"/>
                <w:szCs w:val="20"/>
                <w:color w:val="auto"/>
              </w:rPr>
            </w:pPr>
            <w:r>
              <w:rPr>
                <w:rFonts w:ascii="Arial" w:cs="Arial" w:eastAsia="Arial" w:hAnsi="Arial"/>
                <w:sz w:val="16"/>
                <w:szCs w:val="16"/>
                <w:color w:val="auto"/>
              </w:rPr>
              <w:t>investing activities of discontinued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(41.3)</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2,885.0</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(255.4)</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2,654.6</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repayments of short-term borrowings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rPr>
              <w:t>Net repayments of commercial paper and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200"/>
              <w:spacing w:after="0"/>
              <w:rPr>
                <w:sz w:val="20"/>
                <w:szCs w:val="20"/>
                <w:color w:val="auto"/>
              </w:rPr>
            </w:pPr>
            <w:r>
              <w:rPr>
                <w:rFonts w:ascii="Arial" w:cs="Arial" w:eastAsia="Arial" w:hAnsi="Arial"/>
                <w:sz w:val="16"/>
                <w:szCs w:val="16"/>
                <w:color w:val="auto"/>
              </w:rPr>
              <w:t>revolving long-term debt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(832.7)</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(842.3)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(1,917.8)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(2,009.3)</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w w:val="93"/>
              </w:rPr>
              <w:t>Premium paid on early extinguishment of debt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(94.9)</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(481.8)</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1,856.4</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200"/>
              <w:spacing w:after="0"/>
              <w:rPr>
                <w:sz w:val="20"/>
                <w:szCs w:val="20"/>
                <w:color w:val="auto"/>
              </w:rPr>
            </w:pPr>
            <w:r>
              <w:rPr>
                <w:rFonts w:ascii="Arial" w:cs="Arial" w:eastAsia="Arial" w:hAnsi="Arial"/>
                <w:sz w:val="16"/>
                <w:szCs w:val="16"/>
                <w:color w:val="auto"/>
              </w:rPr>
              <w:t>withheld</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(188.9)</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(188.9)</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(356.2)</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(481.8)</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(3,415.8)</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(804.5)</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1,856.4</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(3,201.9)</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8"/>
              </w:rPr>
              <w:t>Effect of exchange rate changes on cash and</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8"/>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w:t>
            </w:r>
          </w:p>
        </w:tc>
      </w:tr>
      <w:tr>
        <w:trPr>
          <w:trHeight w:val="21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(135.6)</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Cash and cash equivalents, beginning of</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8"/>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period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216.9</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216.9</w:t>
            </w:r>
          </w:p>
        </w:tc>
      </w:tr>
      <w:tr>
        <w:trPr>
          <w:trHeight w:val="21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6"/>
              </w:rPr>
              <w:t>Cash and cash equivalents,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81.3</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ability to realize the anticipated benefits from the Separation (as defined below); adverse effects on business operations or financial results and the market price of our shares as a result of the consummation of the Separation; the ability to operate independently following the Separation; overall global economic and business conditions impacting our business; the ability to achieve the benefits of our restructuring plans; the ability to successfully identify, finance, complete and integrate acquisitions; competition and pricing pressures in the markets we serve; the strength of housing and related markets; volatility in currency exchange rates and commodity prices, including the impact of tariffs; inability to generate savings from excellence in operations initiatives consisting of lean enterprise, supply management and cash flow practices; increased risks associated with operating foreign businesses; failure of markets to accept new product introductions and enhancements; the impact of changes in laws and regulations, including those that limit U.S. tax benefits; the outcome of litigation and governmental proceedings; and the ability to achieve our long-term strategic operating goals. Additional information concerning these and other factors is contained in our filings with the U.S. Securities and Exchange Commission (the “SEC”), including this Quarterly Report on Form 10-Q. All forward-looking statements speak only as of the date of this report. Pentair assumes no obligation, and disclaims any obligation, to update the information contained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three reporting segments: Aquatic Systems, Filtration Solutions and Flow Technologies. For the first nine months of 2018, the Aquatic Systems, Filtration Solutions and Flow Technologies segments represented approximately 34%, 34% and 32% of total revenues, respectively. We classify our operations into business segments based primarily on types of products offered and markets served:</w:t>
      </w:r>
    </w:p>
    <w:p>
      <w:pPr>
        <w:spacing w:after="0" w:line="133" w:lineRule="exact"/>
        <w:rPr>
          <w:sz w:val="20"/>
          <w:szCs w:val="20"/>
          <w:color w:val="auto"/>
        </w:rPr>
      </w:pPr>
    </w:p>
    <w:p>
      <w:pPr>
        <w:ind w:left="660" w:right="600" w:hanging="328"/>
        <w:spacing w:after="0" w:line="302" w:lineRule="auto"/>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Aquatic Systems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a complete line of energy-efficient residential and commercial pool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16" w:lineRule="exact"/>
        <w:rPr>
          <w:rFonts w:ascii="Arial" w:cs="Arial" w:eastAsia="Arial" w:hAnsi="Arial"/>
          <w:sz w:val="18"/>
          <w:szCs w:val="18"/>
          <w:b w:val="1"/>
          <w:bCs w:val="1"/>
          <w:i w:val="1"/>
          <w:iCs w:val="1"/>
          <w:color w:val="auto"/>
        </w:rPr>
      </w:pPr>
    </w:p>
    <w:p>
      <w:pPr>
        <w:ind w:left="660" w:right="60" w:hanging="328"/>
        <w:spacing w:after="0" w:line="30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Filtration Solutions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water and fluid treatment products and systems, including pressure tanks and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valves, activated carbon products, conventional filtration products, point-of-entry and point-of-use systems, gas recovery solutions, membrane bioreactors, wastewater reuse systems and advanced membrane filtration and separation systems into the global residential, industrial and commercial markets. These products are used in a range of applications, including use in fluid filtration, ion exchange, desalination, food and beverage, food service and separation technologies for the oil and gas industry.</w:t>
      </w:r>
    </w:p>
    <w:p>
      <w:pPr>
        <w:spacing w:after="0" w:line="117" w:lineRule="exact"/>
        <w:rPr>
          <w:rFonts w:ascii="Arial" w:cs="Arial" w:eastAsia="Arial" w:hAnsi="Arial"/>
          <w:sz w:val="18"/>
          <w:szCs w:val="18"/>
          <w:color w:val="auto"/>
        </w:rPr>
      </w:pPr>
    </w:p>
    <w:p>
      <w:pPr>
        <w:ind w:left="660" w:right="40" w:hanging="328"/>
        <w:spacing w:after="0" w:line="30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Flow Technologies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products ranging from light duty diaphragm pumps to high-flow turbine pumps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April 28, 2017, we completed the sale of our Valves &amp; Controls business to Emerson Electric Co. for $3.15 billion. The sale resulted in a gain of $181.1 million, net of tax. The results of the Valves &amp; Controls business have been presented as discontinued operations for all periods presented. The Valves &amp; Controls business was previously disclosed as a stand-alone reporting segment.</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April 30, 2018, we completed the previously announced separation of our Electrical business from the rest of Pentair (the “Separation”) by means of a dividend in specie of the Electrical business, which was effected by the transfer of the Electrical business from Pentair to nVent and the issuance by nVent of nVent ordinary shares directly to Pentair shareholders (the “Distribution”). We did not retain an equity interest in nVent. The results of the Electrical business have been presented as discontinued operations for all periods presented. The Electrical business was previously disclosed as a stand-alone reporting segment.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trends and uncertainties affected our financial performance in 2017 and the first nine months of 2018 and will likely impact our results in the future:</w:t>
      </w:r>
    </w:p>
    <w:p>
      <w:pPr>
        <w:spacing w:after="0" w:line="130" w:lineRule="exact"/>
        <w:rPr>
          <w:sz w:val="20"/>
          <w:szCs w:val="20"/>
          <w:color w:val="auto"/>
        </w:rPr>
      </w:pPr>
    </w:p>
    <w:p>
      <w:pPr>
        <w:jc w:val="both"/>
        <w:ind w:left="660" w:right="1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2017 and the first nine months of 2018, we continued execution of certain business restructuring initiatives aimed at reducing our fixed cost structure and realigned our business in contemplation of the Separation and Distribution of nVent. We expect these actions will contribute to margin growth in 2018 and 2019.</w:t>
      </w:r>
    </w:p>
    <w:p>
      <w:pPr>
        <w:spacing w:after="0" w:line="127"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United States. We are reinforcing our businesses to more effectively address these opportunities through research and development and additional sales and marketing resources. Unless we successfully penetrate these markets, our sales growth will likely be limited or may decline.</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2018,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Executing the nVent spin-off and focusing on one industry-leading pure-play Water company;</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Driving operating excellence through our Pentair Integrated Management System (“PIMS”) initiatives, with specific focus on sourcing and supply management, cash flow management and lean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Achieving differentiated revenue growth through new products and global and market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Focusing on developing global talent in light of our global presence.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3"/>
              </w:rPr>
              <w:t>The consolidated results of operations for the three months ended September 30, 2018 and 2017 were as follows: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24"/>
                <w:szCs w:val="24"/>
                <w:color w:val="auto"/>
              </w:rPr>
            </w:pP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26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687.6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23.8</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467.6</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451.1</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16.5</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3.7 %</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243.8</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7.3</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34.3%</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34.4%</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90"/>
              </w:rPr>
              <w:t>(0.1)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(0.4)%</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16.3%</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17.0%</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(0.7) pts</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6.7 %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88"/>
              </w:rPr>
              <w:t>0.1 pts</w:t>
            </w:r>
          </w:p>
        </w:tc>
      </w:tr>
      <w:tr>
        <w:trPr>
          <w:trHeight w:val="324"/>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108.4</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6.6</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15.2%</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14.8%</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88"/>
              </w:rPr>
              <w:t>0.4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Loss on sale of business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(94.7)%</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90.9 %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Net interest expense</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(9.6)</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(69.1)%</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83.0</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18.8</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22.7 %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(23.5)</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(68.9)%</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10.4%</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41.1%</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(30.7) pts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nine months ended September 30, 2018 and September 30, 2017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September 30,</w:t>
            </w:r>
          </w:p>
        </w:tc>
        <w:tc>
          <w:tcPr>
            <w:tcW w:w="16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 Point</w:t>
            </w:r>
          </w:p>
        </w:tc>
      </w:tr>
      <w:tr>
        <w:trPr>
          <w:trHeight w:val="234"/>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r>
      <w:tr>
        <w:trPr>
          <w:trHeight w:val="27"/>
        </w:trPr>
        <w:tc>
          <w:tcPr>
            <w:tcW w:w="4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2,224.6</w:t>
            </w:r>
          </w:p>
        </w:tc>
        <w:tc>
          <w:tcPr>
            <w:tcW w:w="6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2,124.9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99.7</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1,444.9</w:t>
            </w:r>
          </w:p>
        </w:tc>
        <w:tc>
          <w:tcPr>
            <w:tcW w:w="6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1,391.1</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53.8</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1"/>
                <w:szCs w:val="2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733.8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45.9</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35.0%</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34.5%</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gridSpan w:val="2"/>
          </w:tcPr>
          <w:p>
            <w:pPr>
              <w:jc w:val="center"/>
              <w:ind w:left="650"/>
              <w:spacing w:after="0"/>
              <w:rPr>
                <w:sz w:val="20"/>
                <w:szCs w:val="20"/>
                <w:color w:val="auto"/>
              </w:rPr>
            </w:pPr>
            <w:r>
              <w:rPr>
                <w:rFonts w:ascii="Arial" w:cs="Arial" w:eastAsia="Arial" w:hAnsi="Arial"/>
                <w:sz w:val="18"/>
                <w:szCs w:val="18"/>
                <w:i w:val="1"/>
                <w:iCs w:val="1"/>
                <w:color w:val="auto"/>
                <w:w w:val="96"/>
              </w:rPr>
              <w:t>0.5 pts</w:t>
            </w:r>
          </w:p>
        </w:tc>
      </w:tr>
      <w:tr>
        <w:trPr>
          <w:trHeight w:val="27"/>
        </w:trPr>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399.0</w:t>
            </w:r>
          </w:p>
        </w:tc>
        <w:tc>
          <w:tcPr>
            <w:tcW w:w="6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386.2</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12.8</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3.3 %</w:t>
            </w:r>
          </w:p>
        </w:tc>
        <w:tc>
          <w:tcPr>
            <w:tcW w:w="2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i w:val="1"/>
                <w:iCs w:val="1"/>
                <w:color w:val="auto"/>
              </w:rPr>
              <w:t>17.9%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(0.3) pts</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57.0</w:t>
            </w:r>
          </w:p>
        </w:tc>
        <w:tc>
          <w:tcPr>
            <w:tcW w:w="6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54.7</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i w:val="1"/>
                <w:iCs w:val="1"/>
                <w:color w:val="auto"/>
              </w:rPr>
              <w:t>2.6%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w:t>
            </w:r>
          </w:p>
        </w:tc>
      </w:tr>
      <w:tr>
        <w:trPr>
          <w:trHeight w:val="230"/>
        </w:trPr>
        <w:tc>
          <w:tcPr>
            <w:tcW w:w="4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30.8</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14.6%</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13.8%</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gridSpan w:val="2"/>
          </w:tcPr>
          <w:p>
            <w:pPr>
              <w:jc w:val="center"/>
              <w:ind w:left="650"/>
              <w:spacing w:after="0"/>
              <w:rPr>
                <w:sz w:val="20"/>
                <w:szCs w:val="20"/>
                <w:color w:val="auto"/>
              </w:rPr>
            </w:pPr>
            <w:r>
              <w:rPr>
                <w:rFonts w:ascii="Arial" w:cs="Arial" w:eastAsia="Arial" w:hAnsi="Arial"/>
                <w:sz w:val="18"/>
                <w:szCs w:val="18"/>
                <w:i w:val="1"/>
                <w:iCs w:val="1"/>
                <w:color w:val="auto"/>
                <w:w w:val="96"/>
              </w:rPr>
              <w:t>0.8 pts</w:t>
            </w:r>
          </w:p>
        </w:tc>
      </w:tr>
      <w:tr>
        <w:trPr>
          <w:trHeight w:val="27"/>
        </w:trPr>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6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68.4 %</w:t>
            </w:r>
          </w:p>
        </w:tc>
        <w:tc>
          <w:tcPr>
            <w:tcW w:w="2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(84.3)</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(153.1)%</w:t>
            </w:r>
          </w:p>
        </w:tc>
        <w:tc>
          <w:tcPr>
            <w:tcW w:w="2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(46.3)</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4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Income from continuing operations before income taxes</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163.7</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148.4 %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46.5</w:t>
            </w:r>
          </w:p>
        </w:tc>
        <w:tc>
          <w:tcPr>
            <w:tcW w:w="6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i w:val="1"/>
                <w:iCs w:val="1"/>
                <w:color w:val="auto"/>
              </w:rPr>
              <w:t>17.0%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i w:val="1"/>
                <w:iCs w:val="1"/>
                <w:color w:val="auto"/>
                <w:w w:val="92"/>
              </w:rPr>
              <w:t>(30.2) pts</w:t>
            </w:r>
          </w:p>
        </w:tc>
      </w:tr>
      <w:tr>
        <w:trPr>
          <w:trHeight w:val="526"/>
        </w:trPr>
        <w:tc>
          <w:tcPr>
            <w:tcW w:w="422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860" w:type="dxa"/>
            <w:vAlign w:val="bottom"/>
            <w:gridSpan w:val="4"/>
          </w:tcPr>
          <w:p>
            <w:pPr>
              <w:spacing w:after="0"/>
              <w:rPr>
                <w:sz w:val="20"/>
                <w:szCs w:val="20"/>
                <w:color w:val="auto"/>
              </w:rPr>
            </w:pPr>
            <w:r>
              <w:rPr>
                <w:rFonts w:ascii="Arial" w:cs="Arial" w:eastAsia="Arial" w:hAnsi="Arial"/>
                <w:sz w:val="18"/>
                <w:szCs w:val="18"/>
                <w:color w:val="auto"/>
                <w:w w:val="93"/>
              </w:rPr>
              <w:t>The components of the consolidated net sales change from the prior period were as follows:</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0"/>
        </w:trPr>
        <w:tc>
          <w:tcPr>
            <w:tcW w:w="7460" w:type="dxa"/>
            <w:vAlign w:val="bottom"/>
            <w:gridSpan w:val="5"/>
          </w:tcPr>
          <w:p>
            <w:pPr>
              <w:ind w:left="3800"/>
              <w:spacing w:after="0"/>
              <w:rPr>
                <w:sz w:val="20"/>
                <w:szCs w:val="20"/>
                <w:color w:val="auto"/>
              </w:rPr>
            </w:pPr>
            <w:r>
              <w:rPr>
                <w:rFonts w:ascii="Arial" w:cs="Arial" w:eastAsia="Arial" w:hAnsi="Arial"/>
                <w:sz w:val="18"/>
                <w:szCs w:val="18"/>
                <w:b w:val="1"/>
                <w:bCs w:val="1"/>
                <w:color w:val="auto"/>
              </w:rPr>
              <w:t>Three months ended September 30, 2018</w:t>
            </w:r>
          </w:p>
        </w:tc>
        <w:tc>
          <w:tcPr>
            <w:tcW w:w="39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Nine months ended September 30, 2018</w:t>
            </w:r>
          </w:p>
        </w:tc>
      </w:tr>
      <w:tr>
        <w:trPr>
          <w:trHeight w:val="270"/>
        </w:trPr>
        <w:tc>
          <w:tcPr>
            <w:tcW w:w="4220" w:type="dxa"/>
            <w:vAlign w:val="bottom"/>
          </w:tcPr>
          <w:p>
            <w:pPr>
              <w:spacing w:after="0"/>
              <w:rPr>
                <w:sz w:val="23"/>
                <w:szCs w:val="23"/>
                <w:color w:val="auto"/>
              </w:rPr>
            </w:pPr>
          </w:p>
        </w:tc>
        <w:tc>
          <w:tcPr>
            <w:tcW w:w="26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7"/>
              </w:rPr>
              <w:t>over the prior year period</w:t>
            </w:r>
          </w:p>
        </w:tc>
        <w:tc>
          <w:tcPr>
            <w:tcW w:w="600" w:type="dxa"/>
            <w:vAlign w:val="bottom"/>
          </w:tcPr>
          <w:p>
            <w:pPr>
              <w:spacing w:after="0"/>
              <w:rPr>
                <w:sz w:val="23"/>
                <w:szCs w:val="23"/>
                <w:color w:val="auto"/>
              </w:rPr>
            </w:pPr>
          </w:p>
        </w:tc>
        <w:tc>
          <w:tcPr>
            <w:tcW w:w="39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over the prior year period</w:t>
            </w:r>
          </w:p>
        </w:tc>
      </w:tr>
      <w:tr>
        <w:trPr>
          <w:trHeight w:val="27"/>
        </w:trPr>
        <w:tc>
          <w:tcPr>
            <w:tcW w:w="4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5.4 %</w:t>
            </w: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Price</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w w:val="91"/>
              </w:rPr>
              <w:t>(1.9)</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1"/>
              </w:rPr>
              <w:t>(1.0)</w:t>
            </w:r>
          </w:p>
        </w:tc>
        <w:tc>
          <w:tcPr>
            <w:tcW w:w="10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3.5 %</w:t>
            </w: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20" w:type="dxa"/>
            <w:vAlign w:val="bottom"/>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3.5 and 4.7 percentage point increases in net sales in the third quarter and first nine months, respectively, of 2018 from 2017 were primarily driven by:</w:t>
      </w:r>
    </w:p>
    <w:p>
      <w:pPr>
        <w:spacing w:after="0" w:line="194"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sales volume in our residential, commercial and industrial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foreign currency effects for the nine months ended September 30,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620" w:right="4960" w:hanging="5450"/>
        <w:spacing w:after="0" w:line="606" w:lineRule="auto"/>
        <w:tabs>
          <w:tab w:leader="none" w:pos="49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sales declines due to the sale of certain businesses in the first nine months of 2018. 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0.1 percentage point decrease in gross profit as a percentage of sales in the third quarter of 2018 from 2017 was primarily driven by:</w:t>
      </w:r>
    </w:p>
    <w:p>
      <w:pPr>
        <w:spacing w:after="0" w:line="157"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inflationary increases related to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favorable mix as a result of a 12.3 percent core growth increase in the higher margin Aquatic Systems segment.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0.5 percentage point increase in gross profit as a percentage of sales in the first nine months of 2018 from 2017 was primarily driven by:</w:t>
      </w:r>
    </w:p>
    <w:p>
      <w:pPr>
        <w:spacing w:after="0" w:line="1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favorable mix as a result of a 9.7 percent core growth increase in the higher margin Aquatic Systems segment;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contribution margin as a result of savings generated from our PIMS initiatives including lean and supply management practices.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The 0.7 and 0.3 percentage point decreases in SG&amp;A expense as a percentage of sales in the third quarter and first nine months, respectively of 2018 from 2017, were primarily driven by:</w:t>
      </w:r>
    </w:p>
    <w:p>
      <w:pPr>
        <w:spacing w:after="0" w:line="130" w:lineRule="exact"/>
        <w:rPr>
          <w:sz w:val="20"/>
          <w:szCs w:val="20"/>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right="320" w:hanging="330"/>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restructuring costs of $3.5 million and $34.1 million in the third quarter and first nine months of 2018, respectively, compared to $1.4 million and $18.9 million, respectively in the third quarter and first nine months of 2017, respectively;</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 and</w:t>
      </w:r>
    </w:p>
    <w:p>
      <w:pPr>
        <w:spacing w:after="0" w:line="171" w:lineRule="exact"/>
        <w:rPr>
          <w:rFonts w:ascii="Arial" w:cs="Arial" w:eastAsia="Arial" w:hAnsi="Arial"/>
          <w:sz w:val="18"/>
          <w:szCs w:val="18"/>
          <w:color w:val="auto"/>
        </w:rPr>
      </w:pPr>
    </w:p>
    <w:p>
      <w:pPr>
        <w:ind w:left="500" w:right="120" w:hanging="330"/>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reversal of a $13.3 million indemnification liability in the first quarter of 2017 related to our 2012 transaction with Tyco (now known as Johnson Controls International plc) that did not recur in 2018.</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spacing w:after="0" w:line="261" w:lineRule="auto"/>
        <w:rPr>
          <w:sz w:val="20"/>
          <w:szCs w:val="20"/>
          <w:color w:val="auto"/>
        </w:rPr>
      </w:pPr>
      <w:r>
        <w:rPr>
          <w:rFonts w:ascii="Arial" w:cs="Arial" w:eastAsia="Arial" w:hAnsi="Arial"/>
          <w:sz w:val="18"/>
          <w:szCs w:val="18"/>
          <w:i w:val="1"/>
          <w:iCs w:val="1"/>
          <w:color w:val="auto"/>
        </w:rPr>
        <w:t>The 69.1 and 62.4 percent decreases in net interest expense in the third quarter and first nine months, respectively, of 2018 from 2017 were primarily driven by:</w:t>
      </w:r>
    </w:p>
    <w:p>
      <w:pPr>
        <w:spacing w:after="0" w:line="130" w:lineRule="exact"/>
        <w:rPr>
          <w:sz w:val="20"/>
          <w:szCs w:val="20"/>
          <w:color w:val="auto"/>
        </w:rPr>
      </w:pPr>
    </w:p>
    <w:p>
      <w:pPr>
        <w:jc w:val="both"/>
        <w:ind w:left="500" w:right="60" w:hanging="330"/>
        <w:spacing w:after="0" w:line="286"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lower debt levels during the third quarter and first nine months of 2018, compared to the comparable periods in 2017. In June 2018, the proceeds from the Separation were utilized to repay the remaining $255.3 million aggregate principal amount of our 2.9% fixed rate senior notes due 2018 and for the early extinguishment of €363.4 million aggregate principal amount of our 2.45% senior notes due 2019.</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333" w:lineRule="exact"/>
        <w:rPr>
          <w:sz w:val="20"/>
          <w:szCs w:val="20"/>
          <w:color w:val="auto"/>
        </w:rPr>
      </w:pPr>
    </w:p>
    <w:p>
      <w:pPr>
        <w:ind w:left="500" w:right="160" w:hanging="330"/>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overall interest rates in effect on our outstanding variable rate debt during the third quarter and first nine months of 2018, compared to the third quarter and first nine months of 2017.</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122" w:right="3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June 2018, we redeemed the remaining $255.3 million aggregate principal amount of our 2.9% fixed rate senior notes due 2018 and completed a cash tender offer in the amount of €363.4 million aggregate principal amount of our 2.45% senior notes due 2019. All costs associated with the repurchases of debt were recorded as a </w:t>
      </w:r>
      <w:r>
        <w:rPr>
          <w:rFonts w:ascii="Arial" w:cs="Arial" w:eastAsia="Arial" w:hAnsi="Arial"/>
          <w:sz w:val="18"/>
          <w:szCs w:val="18"/>
          <w:i w:val="1"/>
          <w:iCs w:val="1"/>
          <w:color w:val="auto"/>
        </w:rPr>
        <w:t>Loss on the early extinguishment of debt,</w:t>
      </w:r>
      <w:r>
        <w:rPr>
          <w:rFonts w:ascii="Arial" w:cs="Arial" w:eastAsia="Arial" w:hAnsi="Arial"/>
          <w:sz w:val="18"/>
          <w:szCs w:val="18"/>
          <w:color w:val="auto"/>
        </w:rPr>
        <w:t xml:space="preserve"> including $16.0 million premium paid on early extinguishment and $1.1 million of unamortized deferred financing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i w:val="1"/>
          <w:iCs w:val="1"/>
          <w:color w:val="auto"/>
        </w:rPr>
        <w:t>The 30.7 and 30.2 percentage point decreases in the effective tax rate in the third quarter and first nine months, respectively, of 2018 from 2017 were primarily driven by:</w:t>
      </w:r>
    </w:p>
    <w:p>
      <w:pPr>
        <w:spacing w:after="0" w:line="157" w:lineRule="exact"/>
        <w:rPr>
          <w:sz w:val="20"/>
          <w:szCs w:val="20"/>
          <w:color w:val="auto"/>
        </w:rPr>
      </w:pPr>
    </w:p>
    <w:p>
      <w:pPr>
        <w:ind w:left="560" w:hanging="390"/>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favorable impact of discrete items that occurred during the first nine months of 2018 compared to 2017;</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tax impact and timing of losses incurred during the first nine months of 2018 compared to 2017;</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mix of global earnings, including the impact of U.S. Tax Reform; and</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lower nondeductible interest expense allocated to continuing operations in 2018 compared to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summary that follows provides a discussion of the results of operations of each of our three reportable segments (Aquatic Systems, Filtration Solutions and Flow Technologies). Each of these segments is comprised of various product offerings that serve multiple end users.</w:t>
      </w:r>
    </w:p>
    <w:p>
      <w:pPr>
        <w:spacing w:after="0" w:line="18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evaluate performance based on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Aquatic Systems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Aquatic Systems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116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18"/>
        </w:trPr>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 / Point</w:t>
            </w: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2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r>
      <w:tr>
        <w:trPr>
          <w:trHeight w:val="27"/>
        </w:trPr>
        <w:tc>
          <w:tcPr>
            <w:tcW w:w="2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211.8</w:t>
            </w: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688.0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53.1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199.5</w:t>
            </w:r>
          </w:p>
        </w:tc>
        <w:tc>
          <w:tcPr>
            <w:tcW w:w="2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182.9</w:t>
            </w: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25.7%</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25.1%</w:t>
            </w:r>
          </w:p>
        </w:tc>
        <w:tc>
          <w:tcPr>
            <w:tcW w:w="15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0.6 pts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26.6%</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26.6%</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w:t>
            </w:r>
          </w:p>
        </w:tc>
      </w:tr>
      <w:tr>
        <w:trPr>
          <w:trHeight w:val="364"/>
        </w:trPr>
        <w:tc>
          <w:tcPr>
            <w:tcW w:w="234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7160" w:type="dxa"/>
            <w:vAlign w:val="bottom"/>
            <w:gridSpan w:val="7"/>
          </w:tcPr>
          <w:p>
            <w:pPr>
              <w:spacing w:after="0"/>
              <w:rPr>
                <w:sz w:val="20"/>
                <w:szCs w:val="20"/>
                <w:color w:val="auto"/>
              </w:rPr>
            </w:pPr>
            <w:r>
              <w:rPr>
                <w:rFonts w:ascii="Arial" w:cs="Arial" w:eastAsia="Arial" w:hAnsi="Arial"/>
                <w:sz w:val="18"/>
                <w:szCs w:val="18"/>
                <w:color w:val="auto"/>
                <w:w w:val="91"/>
              </w:rPr>
              <w:t>The components of the change in Aquatic Systems net sales from the prior period were as follows:</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820" w:type="dxa"/>
            <w:vAlign w:val="bottom"/>
          </w:tcPr>
          <w:p>
            <w:pPr>
              <w:jc w:val="right"/>
              <w:ind w:right="590"/>
              <w:spacing w:after="0"/>
              <w:rPr>
                <w:sz w:val="20"/>
                <w:szCs w:val="20"/>
                <w:color w:val="auto"/>
              </w:rPr>
            </w:pPr>
            <w:r>
              <w:rPr>
                <w:rFonts w:ascii="Arial" w:cs="Arial" w:eastAsia="Arial" w:hAnsi="Arial"/>
                <w:sz w:val="18"/>
                <w:szCs w:val="18"/>
                <w:b w:val="1"/>
                <w:bCs w:val="1"/>
                <w:color w:val="auto"/>
              </w:rPr>
              <w:t>Three months ended September 30, 2018</w:t>
            </w:r>
          </w:p>
        </w:tc>
        <w:tc>
          <w:tcPr>
            <w:tcW w:w="3800" w:type="dxa"/>
            <w:vAlign w:val="bottom"/>
          </w:tcPr>
          <w:p>
            <w:pPr>
              <w:jc w:val="right"/>
              <w:ind w:right="410"/>
              <w:spacing w:after="0"/>
              <w:rPr>
                <w:sz w:val="20"/>
                <w:szCs w:val="20"/>
                <w:color w:val="auto"/>
              </w:rPr>
            </w:pPr>
            <w:r>
              <w:rPr>
                <w:rFonts w:ascii="Arial" w:cs="Arial" w:eastAsia="Arial" w:hAnsi="Arial"/>
                <w:sz w:val="18"/>
                <w:szCs w:val="18"/>
                <w:b w:val="1"/>
                <w:bCs w:val="1"/>
                <w:color w:val="auto"/>
                <w:w w:val="96"/>
              </w:rPr>
              <w:t>Nine months ended September 30, 2018</w:t>
            </w:r>
          </w:p>
        </w:tc>
      </w:tr>
      <w:tr>
        <w:trPr>
          <w:trHeight w:val="270"/>
        </w:trPr>
        <w:tc>
          <w:tcPr>
            <w:tcW w:w="2780" w:type="dxa"/>
            <w:vAlign w:val="bottom"/>
          </w:tcPr>
          <w:p>
            <w:pPr>
              <w:spacing w:after="0"/>
              <w:rPr>
                <w:sz w:val="23"/>
                <w:szCs w:val="23"/>
                <w:color w:val="auto"/>
              </w:rPr>
            </w:pPr>
          </w:p>
        </w:tc>
        <w:tc>
          <w:tcPr>
            <w:tcW w:w="4820" w:type="dxa"/>
            <w:vAlign w:val="bottom"/>
          </w:tcPr>
          <w:p>
            <w:pPr>
              <w:jc w:val="right"/>
              <w:ind w:right="1150"/>
              <w:spacing w:after="0"/>
              <w:rPr>
                <w:sz w:val="20"/>
                <w:szCs w:val="20"/>
                <w:color w:val="auto"/>
              </w:rPr>
            </w:pPr>
            <w:r>
              <w:rPr>
                <w:rFonts w:ascii="Arial" w:cs="Arial" w:eastAsia="Arial" w:hAnsi="Arial"/>
                <w:sz w:val="18"/>
                <w:szCs w:val="18"/>
                <w:b w:val="1"/>
                <w:bCs w:val="1"/>
                <w:color w:val="auto"/>
              </w:rPr>
              <w:t>over the prior year period</w:t>
            </w:r>
          </w:p>
        </w:tc>
        <w:tc>
          <w:tcPr>
            <w:tcW w:w="380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4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10.5 %</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Price</w:t>
            </w:r>
          </w:p>
        </w:tc>
        <w:tc>
          <w:tcPr>
            <w:tcW w:w="482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380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4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12.3</w:t>
            </w:r>
          </w:p>
        </w:tc>
        <w:tc>
          <w:tcPr>
            <w:tcW w:w="3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Acquisition (divestiture)</w:t>
            </w:r>
          </w:p>
        </w:tc>
        <w:tc>
          <w:tcPr>
            <w:tcW w:w="482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38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7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7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48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(0.5)</w:t>
            </w:r>
          </w:p>
        </w:tc>
        <w:tc>
          <w:tcPr>
            <w:tcW w:w="3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37"/>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8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9.9 %</w:t>
            </w:r>
          </w:p>
        </w:tc>
        <w:tc>
          <w:tcPr>
            <w:tcW w:w="3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8.9 %</w:t>
            </w:r>
          </w:p>
        </w:tc>
      </w:tr>
      <w:tr>
        <w:trPr>
          <w:trHeight w:val="27"/>
        </w:trPr>
        <w:tc>
          <w:tcPr>
            <w:tcW w:w="27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9.9 and 8.9 percent increases in net sales for Aquatic Systems in the third quarter and first nine months, respectively, of 2018 from 2017 were primarily driven by:</w:t>
      </w:r>
    </w:p>
    <w:p>
      <w:pPr>
        <w:spacing w:after="0" w:line="116"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growth primarily as a result of increased volumes in the U.S and in our residential and commercial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selective increases in selling prices.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declines due to sale of certain businesses in the first nine months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Aquatic Systems segment income from the prior period were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4520" w:type="dxa"/>
            <w:vAlign w:val="bottom"/>
          </w:tcPr>
          <w:p>
            <w:pPr>
              <w:jc w:val="right"/>
              <w:ind w:right="90"/>
              <w:spacing w:after="0"/>
              <w:rPr>
                <w:sz w:val="20"/>
                <w:szCs w:val="20"/>
                <w:color w:val="auto"/>
              </w:rPr>
            </w:pPr>
            <w:r>
              <w:rPr>
                <w:rFonts w:ascii="Arial" w:cs="Arial" w:eastAsia="Arial" w:hAnsi="Arial"/>
                <w:sz w:val="18"/>
                <w:szCs w:val="18"/>
                <w:b w:val="1"/>
                <w:bCs w:val="1"/>
                <w:color w:val="auto"/>
              </w:rPr>
              <w:t>Three months ended September 30, 2018</w:t>
            </w:r>
          </w:p>
        </w:tc>
        <w:tc>
          <w:tcPr>
            <w:tcW w:w="540" w:type="dxa"/>
            <w:vAlign w:val="bottom"/>
          </w:tcPr>
          <w:p>
            <w:pPr>
              <w:spacing w:after="0"/>
              <w:rPr>
                <w:sz w:val="20"/>
                <w:szCs w:val="20"/>
                <w:color w:val="auto"/>
              </w:rPr>
            </w:pPr>
          </w:p>
        </w:tc>
        <w:tc>
          <w:tcPr>
            <w:tcW w:w="35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Nine months ended September 30, 2018</w:t>
            </w:r>
          </w:p>
        </w:tc>
        <w:tc>
          <w:tcPr>
            <w:tcW w:w="260" w:type="dxa"/>
            <w:vAlign w:val="bottom"/>
          </w:tcPr>
          <w:p>
            <w:pPr>
              <w:spacing w:after="0"/>
              <w:rPr>
                <w:sz w:val="20"/>
                <w:szCs w:val="20"/>
                <w:color w:val="auto"/>
              </w:rPr>
            </w:pPr>
          </w:p>
        </w:tc>
      </w:tr>
      <w:tr>
        <w:trPr>
          <w:trHeight w:val="270"/>
        </w:trPr>
        <w:tc>
          <w:tcPr>
            <w:tcW w:w="2540" w:type="dxa"/>
            <w:vAlign w:val="bottom"/>
          </w:tcPr>
          <w:p>
            <w:pPr>
              <w:spacing w:after="0"/>
              <w:rPr>
                <w:sz w:val="23"/>
                <w:szCs w:val="23"/>
                <w:color w:val="auto"/>
              </w:rPr>
            </w:pPr>
          </w:p>
        </w:tc>
        <w:tc>
          <w:tcPr>
            <w:tcW w:w="4520" w:type="dxa"/>
            <w:vAlign w:val="bottom"/>
          </w:tcPr>
          <w:p>
            <w:pPr>
              <w:jc w:val="right"/>
              <w:ind w:right="650"/>
              <w:spacing w:after="0"/>
              <w:rPr>
                <w:sz w:val="20"/>
                <w:szCs w:val="20"/>
                <w:color w:val="auto"/>
              </w:rPr>
            </w:pPr>
            <w:r>
              <w:rPr>
                <w:rFonts w:ascii="Arial" w:cs="Arial" w:eastAsia="Arial" w:hAnsi="Arial"/>
                <w:sz w:val="18"/>
                <w:szCs w:val="18"/>
                <w:b w:val="1"/>
                <w:bCs w:val="1"/>
                <w:color w:val="auto"/>
              </w:rPr>
              <w:t>over the prior year period</w:t>
            </w:r>
          </w:p>
        </w:tc>
        <w:tc>
          <w:tcPr>
            <w:tcW w:w="540" w:type="dxa"/>
            <w:vAlign w:val="bottom"/>
          </w:tcPr>
          <w:p>
            <w:pPr>
              <w:spacing w:after="0"/>
              <w:rPr>
                <w:sz w:val="23"/>
                <w:szCs w:val="23"/>
                <w:color w:val="auto"/>
              </w:rPr>
            </w:pPr>
          </w:p>
        </w:tc>
        <w:tc>
          <w:tcPr>
            <w:tcW w:w="3540" w:type="dxa"/>
            <w:vAlign w:val="bottom"/>
          </w:tcPr>
          <w:p>
            <w:pPr>
              <w:jc w:val="right"/>
              <w:ind w:right="670"/>
              <w:spacing w:after="0"/>
              <w:rPr>
                <w:sz w:val="20"/>
                <w:szCs w:val="20"/>
                <w:color w:val="auto"/>
              </w:rPr>
            </w:pPr>
            <w:r>
              <w:rPr>
                <w:rFonts w:ascii="Arial" w:cs="Arial" w:eastAsia="Arial" w:hAnsi="Arial"/>
                <w:sz w:val="18"/>
                <w:szCs w:val="18"/>
                <w:b w:val="1"/>
                <w:bCs w:val="1"/>
                <w:color w:val="auto"/>
              </w:rPr>
              <w:t>over the prior year period</w:t>
            </w:r>
          </w:p>
        </w:tc>
        <w:tc>
          <w:tcPr>
            <w:tcW w:w="260" w:type="dxa"/>
            <w:vAlign w:val="bottom"/>
          </w:tcPr>
          <w:p>
            <w:pPr>
              <w:spacing w:after="0"/>
              <w:rPr>
                <w:sz w:val="23"/>
                <w:szCs w:val="23"/>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4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pts</w:t>
            </w:r>
          </w:p>
        </w:tc>
        <w:tc>
          <w:tcPr>
            <w:tcW w:w="3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pts</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Inflation</w:t>
            </w:r>
          </w:p>
        </w:tc>
        <w:tc>
          <w:tcPr>
            <w:tcW w:w="4520" w:type="dxa"/>
            <w:vAlign w:val="bottom"/>
          </w:tcPr>
          <w:p>
            <w:pPr>
              <w:jc w:val="right"/>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21"/>
                <w:szCs w:val="21"/>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5"/>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Productivity/Price</w:t>
            </w:r>
          </w:p>
        </w:tc>
        <w:tc>
          <w:tcPr>
            <w:tcW w:w="4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37"/>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pts</w:t>
            </w:r>
          </w:p>
        </w:tc>
        <w:tc>
          <w:tcPr>
            <w:tcW w:w="3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0.6 point increase in segment income for Aquatic Systems as a percentage of net sales in the third quarter of 2018 from 2017 was primarily driven by:</w:t>
      </w:r>
    </w:p>
    <w:p>
      <w:pPr>
        <w:spacing w:after="0" w:line="194" w:lineRule="exact"/>
        <w:rPr>
          <w:sz w:val="20"/>
          <w:szCs w:val="20"/>
          <w:color w:val="auto"/>
        </w:rPr>
      </w:pPr>
    </w:p>
    <w:p>
      <w:pPr>
        <w:ind w:left="500" w:right="180" w:hanging="330"/>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growth, primarily as a result of increased volumes in the U.S residential and commercial businesses, resulted in increased leverage on operating expenses;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income for Aquatic Systems as a percentage of net sales was flat in the first nine months of 2018 from 2017, primarily driven by:</w:t>
      </w:r>
    </w:p>
    <w:p>
      <w:pPr>
        <w:spacing w:after="0" w:line="171"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 and</w:t>
      </w:r>
    </w:p>
    <w:p>
      <w:pPr>
        <w:spacing w:after="0" w:line="171" w:lineRule="exact"/>
        <w:rPr>
          <w:rFonts w:ascii="Arial" w:cs="Arial" w:eastAsia="Arial" w:hAnsi="Arial"/>
          <w:sz w:val="18"/>
          <w:szCs w:val="18"/>
          <w:color w:val="auto"/>
        </w:rPr>
      </w:pPr>
    </w:p>
    <w:p>
      <w:pPr>
        <w:ind w:left="500" w:right="180" w:hanging="330"/>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growth, primarily as a result of increased volumes in the U.S residential and commercial businesses, resulted in increased leverage on operating expenses.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Filtration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Filtration Solutions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124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8"/>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 / Point</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2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2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242.4</w:t>
            </w:r>
          </w:p>
        </w:tc>
        <w:tc>
          <w:tcPr>
            <w:tcW w:w="15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(0.8)%   $</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737.0</w:t>
            </w: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2.3%</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6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40.4</w:t>
            </w:r>
          </w:p>
        </w:tc>
        <w:tc>
          <w:tcPr>
            <w:tcW w:w="1360" w:type="dxa"/>
            <w:vAlign w:val="bottom"/>
          </w:tcPr>
          <w:p>
            <w:pPr>
              <w:ind w:left="6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124.4</w:t>
            </w:r>
          </w:p>
        </w:tc>
        <w:tc>
          <w:tcPr>
            <w:tcW w:w="1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113.4</w:t>
            </w:r>
          </w:p>
        </w:tc>
        <w:tc>
          <w:tcPr>
            <w:tcW w:w="1240" w:type="dxa"/>
            <w:vAlign w:val="bottom"/>
          </w:tcPr>
          <w:p>
            <w:pPr>
              <w:ind w:left="740"/>
              <w:spacing w:after="0"/>
              <w:rPr>
                <w:sz w:val="20"/>
                <w:szCs w:val="20"/>
                <w:color w:val="auto"/>
              </w:rPr>
            </w:pPr>
            <w:r>
              <w:rPr>
                <w:rFonts w:ascii="Arial" w:cs="Arial" w:eastAsia="Arial" w:hAnsi="Arial"/>
                <w:sz w:val="18"/>
                <w:szCs w:val="18"/>
                <w:color w:val="auto"/>
              </w:rPr>
              <w:t>9.7%</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16.0%</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16.7%</w:t>
            </w:r>
          </w:p>
        </w:tc>
        <w:tc>
          <w:tcPr>
            <w:tcW w:w="15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i w:val="1"/>
                <w:iCs w:val="1"/>
                <w:color w:val="auto"/>
              </w:rPr>
              <w:t>(0.7) pts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15.4%</w:t>
            </w: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i w:val="1"/>
                <w:iCs w:val="1"/>
                <w:color w:val="auto"/>
                <w:w w:val="88"/>
              </w:rPr>
              <w:t>1.1 pts</w:t>
            </w:r>
          </w:p>
        </w:tc>
      </w:tr>
      <w:tr>
        <w:trPr>
          <w:trHeight w:val="459"/>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jc w:val="right"/>
              <w:ind w:right="101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jc w:val="right"/>
              <w:ind w:right="250"/>
              <w:spacing w:after="0"/>
              <w:rPr>
                <w:sz w:val="20"/>
                <w:szCs w:val="20"/>
                <w:color w:val="auto"/>
              </w:rPr>
            </w:pPr>
            <w:r>
              <w:rPr>
                <w:rFonts w:ascii="Arial" w:cs="Arial" w:eastAsia="Arial" w:hAnsi="Arial"/>
                <w:sz w:val="18"/>
                <w:szCs w:val="18"/>
                <w:color w:val="auto"/>
                <w:w w:val="91"/>
              </w:rPr>
              <w:t>The components of the change in Filtration Solutions net sales from the prior period were as follows:</w:t>
            </w:r>
          </w:p>
        </w:tc>
        <w:tc>
          <w:tcPr>
            <w:tcW w:w="3780" w:type="dxa"/>
            <w:vAlign w:val="bottom"/>
          </w:tcPr>
          <w:p>
            <w:pPr>
              <w:spacing w:after="0"/>
              <w:rPr>
                <w:sz w:val="20"/>
                <w:szCs w:val="20"/>
                <w:color w:val="auto"/>
              </w:rPr>
            </w:pPr>
          </w:p>
        </w:tc>
      </w:tr>
      <w:tr>
        <w:trPr>
          <w:trHeight w:val="364"/>
        </w:trPr>
        <w:tc>
          <w:tcPr>
            <w:tcW w:w="2800" w:type="dxa"/>
            <w:vAlign w:val="bottom"/>
          </w:tcPr>
          <w:p>
            <w:pPr>
              <w:spacing w:after="0"/>
              <w:rPr>
                <w:sz w:val="24"/>
                <w:szCs w:val="24"/>
                <w:color w:val="auto"/>
              </w:rPr>
            </w:pPr>
          </w:p>
        </w:tc>
        <w:tc>
          <w:tcPr>
            <w:tcW w:w="4820" w:type="dxa"/>
            <w:vAlign w:val="bottom"/>
          </w:tcPr>
          <w:p>
            <w:pPr>
              <w:jc w:val="right"/>
              <w:ind w:right="590"/>
              <w:spacing w:after="0"/>
              <w:rPr>
                <w:sz w:val="20"/>
                <w:szCs w:val="20"/>
                <w:color w:val="auto"/>
              </w:rPr>
            </w:pPr>
            <w:r>
              <w:rPr>
                <w:rFonts w:ascii="Arial" w:cs="Arial" w:eastAsia="Arial" w:hAnsi="Arial"/>
                <w:sz w:val="18"/>
                <w:szCs w:val="18"/>
                <w:b w:val="1"/>
                <w:bCs w:val="1"/>
                <w:color w:val="auto"/>
              </w:rPr>
              <w:t>Three months ended September 30, 2018</w:t>
            </w:r>
          </w:p>
        </w:tc>
        <w:tc>
          <w:tcPr>
            <w:tcW w:w="3780" w:type="dxa"/>
            <w:vAlign w:val="bottom"/>
          </w:tcPr>
          <w:p>
            <w:pPr>
              <w:jc w:val="right"/>
              <w:ind w:right="410"/>
              <w:spacing w:after="0"/>
              <w:rPr>
                <w:sz w:val="20"/>
                <w:szCs w:val="20"/>
                <w:color w:val="auto"/>
              </w:rPr>
            </w:pPr>
            <w:r>
              <w:rPr>
                <w:rFonts w:ascii="Arial" w:cs="Arial" w:eastAsia="Arial" w:hAnsi="Arial"/>
                <w:sz w:val="18"/>
                <w:szCs w:val="18"/>
                <w:b w:val="1"/>
                <w:bCs w:val="1"/>
                <w:color w:val="auto"/>
                <w:w w:val="95"/>
              </w:rPr>
              <w:t>Nine months ended September 30, 2018</w:t>
            </w:r>
          </w:p>
        </w:tc>
      </w:tr>
      <w:tr>
        <w:trPr>
          <w:trHeight w:val="270"/>
        </w:trPr>
        <w:tc>
          <w:tcPr>
            <w:tcW w:w="2800" w:type="dxa"/>
            <w:vAlign w:val="bottom"/>
          </w:tcPr>
          <w:p>
            <w:pPr>
              <w:spacing w:after="0"/>
              <w:rPr>
                <w:sz w:val="23"/>
                <w:szCs w:val="23"/>
                <w:color w:val="auto"/>
              </w:rPr>
            </w:pPr>
          </w:p>
        </w:tc>
        <w:tc>
          <w:tcPr>
            <w:tcW w:w="4820" w:type="dxa"/>
            <w:vAlign w:val="bottom"/>
          </w:tcPr>
          <w:p>
            <w:pPr>
              <w:jc w:val="right"/>
              <w:ind w:right="1170"/>
              <w:spacing w:after="0"/>
              <w:rPr>
                <w:sz w:val="20"/>
                <w:szCs w:val="20"/>
                <w:color w:val="auto"/>
              </w:rPr>
            </w:pPr>
            <w:r>
              <w:rPr>
                <w:rFonts w:ascii="Arial" w:cs="Arial" w:eastAsia="Arial" w:hAnsi="Arial"/>
                <w:sz w:val="18"/>
                <w:szCs w:val="18"/>
                <w:b w:val="1"/>
                <w:bCs w:val="1"/>
                <w:color w:val="auto"/>
              </w:rPr>
              <w:t>over the prior year period</w:t>
            </w:r>
          </w:p>
        </w:tc>
        <w:tc>
          <w:tcPr>
            <w:tcW w:w="3780" w:type="dxa"/>
            <w:vAlign w:val="bottom"/>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48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2.1 %</w:t>
            </w:r>
          </w:p>
        </w:tc>
        <w:tc>
          <w:tcPr>
            <w:tcW w:w="3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Price</w:t>
            </w:r>
          </w:p>
        </w:tc>
        <w:tc>
          <w:tcPr>
            <w:tcW w:w="4820" w:type="dxa"/>
            <w:vAlign w:val="bottom"/>
          </w:tcPr>
          <w:p>
            <w:pPr>
              <w:jc w:val="right"/>
              <w:ind w:right="390"/>
              <w:spacing w:after="0"/>
              <w:rPr>
                <w:sz w:val="20"/>
                <w:szCs w:val="20"/>
                <w:color w:val="auto"/>
              </w:rPr>
            </w:pPr>
            <w:r>
              <w:rPr>
                <w:rFonts w:ascii="Arial" w:cs="Arial" w:eastAsia="Arial" w:hAnsi="Arial"/>
                <w:sz w:val="18"/>
                <w:szCs w:val="18"/>
                <w:color w:val="auto"/>
              </w:rPr>
              <w:t>0.2</w:t>
            </w:r>
          </w:p>
        </w:tc>
        <w:tc>
          <w:tcPr>
            <w:tcW w:w="378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4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3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482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378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28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7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4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w:t>
            </w:r>
          </w:p>
        </w:tc>
        <w:tc>
          <w:tcPr>
            <w:tcW w:w="3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r>
      <w:tr>
        <w:trPr>
          <w:trHeight w:val="237"/>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(0.8)%</w:t>
            </w:r>
          </w:p>
        </w:tc>
        <w:tc>
          <w:tcPr>
            <w:tcW w:w="3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0.8 percent decrease in net sales for Filtration Solutions in the third quarter of 2018 from 2017 was primarily driven by:</w:t>
      </w:r>
    </w:p>
    <w:p>
      <w:pPr>
        <w:spacing w:after="0" w:line="171"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sales volume in our residential businesses;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declines due to sale of certain businesses in the first nine months of 2018;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foreign currency effects.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sales volume in our residential and commercial businesses in North America;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2.3 percent increase in net sales for Filtration Solutions in the first nine months of 2018 from 2017 was primarily driven by:</w:t>
      </w:r>
    </w:p>
    <w:p>
      <w:pPr>
        <w:spacing w:after="0" w:line="171"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favorable foreign currency effects;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sales volume in our industrial and commercial businesses.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sales volume in our residential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Filtration Solutions segment income from the prior period were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504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Three months ended September 30, 2018</w:t>
            </w:r>
          </w:p>
        </w:tc>
        <w:tc>
          <w:tcPr>
            <w:tcW w:w="35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Nine months ended September 30, 2018</w:t>
            </w:r>
          </w:p>
        </w:tc>
        <w:tc>
          <w:tcPr>
            <w:tcW w:w="260" w:type="dxa"/>
            <w:vAlign w:val="bottom"/>
          </w:tcPr>
          <w:p>
            <w:pPr>
              <w:spacing w:after="0"/>
              <w:rPr>
                <w:sz w:val="20"/>
                <w:szCs w:val="20"/>
                <w:color w:val="auto"/>
              </w:rPr>
            </w:pPr>
          </w:p>
        </w:tc>
      </w:tr>
      <w:tr>
        <w:trPr>
          <w:trHeight w:val="270"/>
        </w:trPr>
        <w:tc>
          <w:tcPr>
            <w:tcW w:w="2540" w:type="dxa"/>
            <w:vAlign w:val="bottom"/>
          </w:tcPr>
          <w:p>
            <w:pPr>
              <w:spacing w:after="0"/>
              <w:rPr>
                <w:sz w:val="23"/>
                <w:szCs w:val="23"/>
                <w:color w:val="auto"/>
              </w:rPr>
            </w:pPr>
          </w:p>
        </w:tc>
        <w:tc>
          <w:tcPr>
            <w:tcW w:w="504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over the prior year period</w:t>
            </w:r>
          </w:p>
        </w:tc>
        <w:tc>
          <w:tcPr>
            <w:tcW w:w="3560" w:type="dxa"/>
            <w:vAlign w:val="bottom"/>
          </w:tcPr>
          <w:p>
            <w:pPr>
              <w:jc w:val="right"/>
              <w:ind w:right="690"/>
              <w:spacing w:after="0"/>
              <w:rPr>
                <w:sz w:val="20"/>
                <w:szCs w:val="20"/>
                <w:color w:val="auto"/>
              </w:rPr>
            </w:pPr>
            <w:r>
              <w:rPr>
                <w:rFonts w:ascii="Arial" w:cs="Arial" w:eastAsia="Arial" w:hAnsi="Arial"/>
                <w:sz w:val="18"/>
                <w:szCs w:val="18"/>
                <w:b w:val="1"/>
                <w:bCs w:val="1"/>
                <w:color w:val="auto"/>
              </w:rPr>
              <w:t>over the prior year period</w:t>
            </w:r>
          </w:p>
        </w:tc>
        <w:tc>
          <w:tcPr>
            <w:tcW w:w="260" w:type="dxa"/>
            <w:vAlign w:val="bottom"/>
          </w:tcPr>
          <w:p>
            <w:pPr>
              <w:spacing w:after="0"/>
              <w:rPr>
                <w:sz w:val="23"/>
                <w:szCs w:val="23"/>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5040" w:type="dxa"/>
            <w:vAlign w:val="bottom"/>
            <w:tcBorders>
              <w:bottom w:val="single" w:sz="8" w:color="CCEEFF"/>
            </w:tcBorders>
            <w:shd w:val="clear" w:color="auto" w:fill="CCEEFF"/>
          </w:tcPr>
          <w:p>
            <w:pPr>
              <w:ind w:left="4220"/>
              <w:spacing w:after="0"/>
              <w:rPr>
                <w:sz w:val="20"/>
                <w:szCs w:val="20"/>
                <w:color w:val="auto"/>
              </w:rPr>
            </w:pPr>
            <w:r>
              <w:rPr>
                <w:rFonts w:ascii="Arial" w:cs="Arial" w:eastAsia="Arial" w:hAnsi="Arial"/>
                <w:sz w:val="18"/>
                <w:szCs w:val="18"/>
                <w:color w:val="auto"/>
              </w:rPr>
              <w:t>3.1 pts</w:t>
            </w:r>
          </w:p>
        </w:tc>
        <w:tc>
          <w:tcPr>
            <w:tcW w:w="3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pts</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Inflation</w:t>
            </w:r>
          </w:p>
        </w:tc>
        <w:tc>
          <w:tcPr>
            <w:tcW w:w="5040" w:type="dxa"/>
            <w:vAlign w:val="bottom"/>
          </w:tcPr>
          <w:p>
            <w:pPr>
              <w:ind w:left="4160"/>
              <w:spacing w:after="0"/>
              <w:rPr>
                <w:sz w:val="20"/>
                <w:szCs w:val="20"/>
                <w:color w:val="auto"/>
              </w:rPr>
            </w:pPr>
            <w:r>
              <w:rPr>
                <w:rFonts w:ascii="Arial" w:cs="Arial" w:eastAsia="Arial" w:hAnsi="Arial"/>
                <w:sz w:val="18"/>
                <w:szCs w:val="18"/>
                <w:color w:val="auto"/>
              </w:rPr>
              <w:t>(3.3)</w:t>
            </w:r>
          </w:p>
        </w:tc>
        <w:tc>
          <w:tcPr>
            <w:tcW w:w="35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5"/>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Productivity/Price</w:t>
            </w:r>
          </w:p>
        </w:tc>
        <w:tc>
          <w:tcPr>
            <w:tcW w:w="5040" w:type="dxa"/>
            <w:vAlign w:val="bottom"/>
            <w:tcBorders>
              <w:bottom w:val="single" w:sz="8" w:color="CCEEFF"/>
            </w:tcBorders>
            <w:shd w:val="clear" w:color="auto" w:fill="CCEEFF"/>
          </w:tcPr>
          <w:p>
            <w:pPr>
              <w:ind w:left="4160"/>
              <w:spacing w:after="0"/>
              <w:rPr>
                <w:sz w:val="20"/>
                <w:szCs w:val="20"/>
                <w:color w:val="auto"/>
              </w:rPr>
            </w:pPr>
            <w:r>
              <w:rPr>
                <w:rFonts w:ascii="Arial" w:cs="Arial" w:eastAsia="Arial" w:hAnsi="Arial"/>
                <w:sz w:val="18"/>
                <w:szCs w:val="18"/>
                <w:color w:val="auto"/>
              </w:rPr>
              <w:t>(0.5)</w:t>
            </w:r>
          </w:p>
        </w:tc>
        <w:tc>
          <w:tcPr>
            <w:tcW w:w="3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37"/>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5040" w:type="dxa"/>
            <w:vAlign w:val="bottom"/>
            <w:tcBorders>
              <w:top w:val="single" w:sz="8" w:color="auto"/>
            </w:tcBorders>
          </w:tcPr>
          <w:p>
            <w:pPr>
              <w:ind w:left="4160"/>
              <w:spacing w:after="0"/>
              <w:rPr>
                <w:sz w:val="20"/>
                <w:szCs w:val="20"/>
                <w:color w:val="auto"/>
              </w:rPr>
            </w:pPr>
            <w:r>
              <w:rPr>
                <w:rFonts w:ascii="Arial" w:cs="Arial" w:eastAsia="Arial" w:hAnsi="Arial"/>
                <w:sz w:val="18"/>
                <w:szCs w:val="18"/>
                <w:color w:val="auto"/>
              </w:rPr>
              <w:t>(0.7) pts</w:t>
            </w:r>
          </w:p>
        </w:tc>
        <w:tc>
          <w:tcPr>
            <w:tcW w:w="3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pts</w:t>
            </w:r>
          </w:p>
        </w:tc>
      </w:tr>
      <w:tr>
        <w:trPr>
          <w:trHeight w:val="27"/>
        </w:trPr>
        <w:tc>
          <w:tcPr>
            <w:tcW w:w="254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The 0.7 percentage point decrease in segment income for Filtration Solutions as a percentage of net sales in the third quarter of 2018 from 2017 was primarily driven by:</w:t>
      </w:r>
    </w:p>
    <w:p>
      <w:pPr>
        <w:spacing w:after="0" w:line="116"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333"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sales volume in our commercial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right="360"/>
        <w:spacing w:after="0" w:line="277" w:lineRule="auto"/>
        <w:rPr>
          <w:sz w:val="20"/>
          <w:szCs w:val="20"/>
          <w:color w:val="auto"/>
        </w:rPr>
      </w:pPr>
      <w:r>
        <w:rPr>
          <w:rFonts w:ascii="Arial" w:cs="Arial" w:eastAsia="Arial" w:hAnsi="Arial"/>
          <w:sz w:val="18"/>
          <w:szCs w:val="18"/>
          <w:i w:val="1"/>
          <w:iCs w:val="1"/>
          <w:color w:val="auto"/>
        </w:rPr>
        <w:t>The 1.1 percentage point increase in segment income for Filtration Solutions as a percentage of net sales in the first nine months of 2018 from 2017 was primarily driven by:</w:t>
      </w:r>
    </w:p>
    <w:p>
      <w:pPr>
        <w:spacing w:after="0" w:line="116"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sales volume in our industrial and commercial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71"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Flow Technologies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Flow Technologies were as follows: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1240" w:type="dxa"/>
            <w:vAlign w:val="bottom"/>
          </w:tcPr>
          <w:p>
            <w:pPr>
              <w:spacing w:after="0"/>
              <w:rPr>
                <w:sz w:val="20"/>
                <w:szCs w:val="20"/>
                <w:color w:val="auto"/>
              </w:rPr>
            </w:pPr>
          </w:p>
        </w:tc>
      </w:tr>
      <w:tr>
        <w:trPr>
          <w:trHeight w:val="27"/>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8"/>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 / Point</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233.0</w:t>
            </w: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2.1 %   $</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698.8</w:t>
            </w: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3.1%</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39.3</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119.7</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112.7</w:t>
            </w:r>
          </w:p>
        </w:tc>
        <w:tc>
          <w:tcPr>
            <w:tcW w:w="1240" w:type="dxa"/>
            <w:vAlign w:val="bottom"/>
          </w:tcPr>
          <w:p>
            <w:pPr>
              <w:ind w:left="740"/>
              <w:spacing w:after="0"/>
              <w:rPr>
                <w:sz w:val="20"/>
                <w:szCs w:val="20"/>
                <w:color w:val="auto"/>
              </w:rPr>
            </w:pPr>
            <w:r>
              <w:rPr>
                <w:rFonts w:ascii="Arial" w:cs="Arial" w:eastAsia="Arial" w:hAnsi="Arial"/>
                <w:sz w:val="18"/>
                <w:szCs w:val="18"/>
                <w:color w:val="auto"/>
              </w:rPr>
              <w:t>6.2%</w:t>
            </w: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2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15.4%</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16.9%</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(1.5) pts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16.6%</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16.1%</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i w:val="1"/>
                <w:iCs w:val="1"/>
                <w:color w:val="auto"/>
                <w:w w:val="88"/>
              </w:rPr>
              <w:t>0.5 pts</w:t>
            </w: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jc w:val="right"/>
              <w:ind w:right="270"/>
              <w:spacing w:after="0"/>
              <w:rPr>
                <w:sz w:val="20"/>
                <w:szCs w:val="20"/>
                <w:color w:val="auto"/>
              </w:rPr>
            </w:pPr>
            <w:r>
              <w:rPr>
                <w:rFonts w:ascii="Arial" w:cs="Arial" w:eastAsia="Arial" w:hAnsi="Arial"/>
                <w:sz w:val="18"/>
                <w:szCs w:val="18"/>
                <w:color w:val="auto"/>
                <w:w w:val="90"/>
              </w:rPr>
              <w:t>The components of the change in Flow Technologies net sales from the prior period were as follows:</w:t>
            </w:r>
          </w:p>
        </w:tc>
        <w:tc>
          <w:tcPr>
            <w:tcW w:w="3780" w:type="dxa"/>
            <w:vAlign w:val="bottom"/>
          </w:tcPr>
          <w:p>
            <w:pPr>
              <w:spacing w:after="0"/>
              <w:rPr>
                <w:sz w:val="20"/>
                <w:szCs w:val="20"/>
                <w:color w:val="auto"/>
              </w:rPr>
            </w:pPr>
          </w:p>
        </w:tc>
      </w:tr>
      <w:tr>
        <w:trPr>
          <w:trHeight w:val="364"/>
        </w:trPr>
        <w:tc>
          <w:tcPr>
            <w:tcW w:w="2800" w:type="dxa"/>
            <w:vAlign w:val="bottom"/>
          </w:tcPr>
          <w:p>
            <w:pPr>
              <w:spacing w:after="0"/>
              <w:rPr>
                <w:sz w:val="24"/>
                <w:szCs w:val="24"/>
                <w:color w:val="auto"/>
              </w:rPr>
            </w:pPr>
          </w:p>
        </w:tc>
        <w:tc>
          <w:tcPr>
            <w:tcW w:w="4820" w:type="dxa"/>
            <w:vAlign w:val="bottom"/>
          </w:tcPr>
          <w:p>
            <w:pPr>
              <w:jc w:val="right"/>
              <w:ind w:right="590"/>
              <w:spacing w:after="0"/>
              <w:rPr>
                <w:sz w:val="20"/>
                <w:szCs w:val="20"/>
                <w:color w:val="auto"/>
              </w:rPr>
            </w:pPr>
            <w:r>
              <w:rPr>
                <w:rFonts w:ascii="Arial" w:cs="Arial" w:eastAsia="Arial" w:hAnsi="Arial"/>
                <w:sz w:val="18"/>
                <w:szCs w:val="18"/>
                <w:b w:val="1"/>
                <w:bCs w:val="1"/>
                <w:color w:val="auto"/>
              </w:rPr>
              <w:t>Three months ended September 30, 2018</w:t>
            </w:r>
          </w:p>
        </w:tc>
        <w:tc>
          <w:tcPr>
            <w:tcW w:w="3780" w:type="dxa"/>
            <w:vAlign w:val="bottom"/>
          </w:tcPr>
          <w:p>
            <w:pPr>
              <w:jc w:val="right"/>
              <w:ind w:right="410"/>
              <w:spacing w:after="0"/>
              <w:rPr>
                <w:sz w:val="20"/>
                <w:szCs w:val="20"/>
                <w:color w:val="auto"/>
              </w:rPr>
            </w:pPr>
            <w:r>
              <w:rPr>
                <w:rFonts w:ascii="Arial" w:cs="Arial" w:eastAsia="Arial" w:hAnsi="Arial"/>
                <w:sz w:val="18"/>
                <w:szCs w:val="18"/>
                <w:b w:val="1"/>
                <w:bCs w:val="1"/>
                <w:color w:val="auto"/>
                <w:w w:val="95"/>
              </w:rPr>
              <w:t>Nine months ended September 30, 2018</w:t>
            </w:r>
          </w:p>
        </w:tc>
      </w:tr>
      <w:tr>
        <w:trPr>
          <w:trHeight w:val="270"/>
        </w:trPr>
        <w:tc>
          <w:tcPr>
            <w:tcW w:w="2800" w:type="dxa"/>
            <w:vAlign w:val="bottom"/>
          </w:tcPr>
          <w:p>
            <w:pPr>
              <w:spacing w:after="0"/>
              <w:rPr>
                <w:sz w:val="23"/>
                <w:szCs w:val="23"/>
                <w:color w:val="auto"/>
              </w:rPr>
            </w:pPr>
          </w:p>
        </w:tc>
        <w:tc>
          <w:tcPr>
            <w:tcW w:w="4820" w:type="dxa"/>
            <w:vAlign w:val="bottom"/>
          </w:tcPr>
          <w:p>
            <w:pPr>
              <w:jc w:val="right"/>
              <w:ind w:right="1170"/>
              <w:spacing w:after="0"/>
              <w:rPr>
                <w:sz w:val="20"/>
                <w:szCs w:val="20"/>
                <w:color w:val="auto"/>
              </w:rPr>
            </w:pPr>
            <w:r>
              <w:rPr>
                <w:rFonts w:ascii="Arial" w:cs="Arial" w:eastAsia="Arial" w:hAnsi="Arial"/>
                <w:sz w:val="18"/>
                <w:szCs w:val="18"/>
                <w:b w:val="1"/>
                <w:bCs w:val="1"/>
                <w:color w:val="auto"/>
              </w:rPr>
              <w:t>over the prior year period</w:t>
            </w:r>
          </w:p>
        </w:tc>
        <w:tc>
          <w:tcPr>
            <w:tcW w:w="3780" w:type="dxa"/>
            <w:vAlign w:val="bottom"/>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48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4.2 %</w:t>
            </w:r>
          </w:p>
        </w:tc>
        <w:tc>
          <w:tcPr>
            <w:tcW w:w="3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Price</w:t>
            </w:r>
          </w:p>
        </w:tc>
        <w:tc>
          <w:tcPr>
            <w:tcW w:w="482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378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4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5.3</w:t>
            </w:r>
          </w:p>
        </w:tc>
        <w:tc>
          <w:tcPr>
            <w:tcW w:w="3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482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378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28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7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48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3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37"/>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2.1 %</w:t>
            </w:r>
          </w:p>
        </w:tc>
        <w:tc>
          <w:tcPr>
            <w:tcW w:w="3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2.1 and 3.1 percent increases in net sales for Flow Technologies in the third quarter and first nine months, respectively, of 2018 from 2017 were primarily driven by:</w:t>
      </w:r>
    </w:p>
    <w:p>
      <w:pPr>
        <w:spacing w:after="0" w:line="116"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sales volume in our commercial and residential business;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620" w:right="5220" w:hanging="5450"/>
        <w:spacing w:after="0" w:line="659" w:lineRule="auto"/>
        <w:tabs>
          <w:tab w:leader="none" w:pos="49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sales declines due to sale of certain businesses in the first nine months of 2018. 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Flow Technologies segment income from the prior period were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5040" w:type="dxa"/>
            <w:vAlign w:val="bottom"/>
          </w:tcPr>
          <w:p>
            <w:pPr>
              <w:jc w:val="right"/>
              <w:ind w:right="610"/>
              <w:spacing w:after="0"/>
              <w:rPr>
                <w:sz w:val="20"/>
                <w:szCs w:val="20"/>
                <w:color w:val="auto"/>
              </w:rPr>
            </w:pPr>
            <w:r>
              <w:rPr>
                <w:rFonts w:ascii="Arial" w:cs="Arial" w:eastAsia="Arial" w:hAnsi="Arial"/>
                <w:sz w:val="18"/>
                <w:szCs w:val="18"/>
                <w:b w:val="1"/>
                <w:bCs w:val="1"/>
                <w:color w:val="auto"/>
              </w:rPr>
              <w:t>Three months ended September 30, 2018</w:t>
            </w:r>
          </w:p>
        </w:tc>
        <w:tc>
          <w:tcPr>
            <w:tcW w:w="35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Nine months ended September 30, 2018</w:t>
            </w:r>
          </w:p>
        </w:tc>
        <w:tc>
          <w:tcPr>
            <w:tcW w:w="260" w:type="dxa"/>
            <w:vAlign w:val="bottom"/>
          </w:tcPr>
          <w:p>
            <w:pPr>
              <w:spacing w:after="0"/>
              <w:rPr>
                <w:sz w:val="20"/>
                <w:szCs w:val="20"/>
                <w:color w:val="auto"/>
              </w:rPr>
            </w:pPr>
          </w:p>
        </w:tc>
      </w:tr>
      <w:tr>
        <w:trPr>
          <w:trHeight w:val="270"/>
        </w:trPr>
        <w:tc>
          <w:tcPr>
            <w:tcW w:w="2540" w:type="dxa"/>
            <w:vAlign w:val="bottom"/>
          </w:tcPr>
          <w:p>
            <w:pPr>
              <w:spacing w:after="0"/>
              <w:rPr>
                <w:sz w:val="23"/>
                <w:szCs w:val="23"/>
                <w:color w:val="auto"/>
              </w:rPr>
            </w:pPr>
          </w:p>
        </w:tc>
        <w:tc>
          <w:tcPr>
            <w:tcW w:w="5040" w:type="dxa"/>
            <w:vAlign w:val="bottom"/>
          </w:tcPr>
          <w:p>
            <w:pPr>
              <w:jc w:val="right"/>
              <w:ind w:right="1170"/>
              <w:spacing w:after="0"/>
              <w:rPr>
                <w:sz w:val="20"/>
                <w:szCs w:val="20"/>
                <w:color w:val="auto"/>
              </w:rPr>
            </w:pPr>
            <w:r>
              <w:rPr>
                <w:rFonts w:ascii="Arial" w:cs="Arial" w:eastAsia="Arial" w:hAnsi="Arial"/>
                <w:sz w:val="18"/>
                <w:szCs w:val="18"/>
                <w:b w:val="1"/>
                <w:bCs w:val="1"/>
                <w:color w:val="auto"/>
              </w:rPr>
              <w:t>over the prior year period</w:t>
            </w:r>
          </w:p>
        </w:tc>
        <w:tc>
          <w:tcPr>
            <w:tcW w:w="3560" w:type="dxa"/>
            <w:vAlign w:val="bottom"/>
          </w:tcPr>
          <w:p>
            <w:pPr>
              <w:jc w:val="right"/>
              <w:ind w:right="690"/>
              <w:spacing w:after="0"/>
              <w:rPr>
                <w:sz w:val="20"/>
                <w:szCs w:val="20"/>
                <w:color w:val="auto"/>
              </w:rPr>
            </w:pPr>
            <w:r>
              <w:rPr>
                <w:rFonts w:ascii="Arial" w:cs="Arial" w:eastAsia="Arial" w:hAnsi="Arial"/>
                <w:sz w:val="18"/>
                <w:szCs w:val="18"/>
                <w:b w:val="1"/>
                <w:bCs w:val="1"/>
                <w:color w:val="auto"/>
              </w:rPr>
              <w:t>over the prior year period</w:t>
            </w:r>
          </w:p>
        </w:tc>
        <w:tc>
          <w:tcPr>
            <w:tcW w:w="260" w:type="dxa"/>
            <w:vAlign w:val="bottom"/>
          </w:tcPr>
          <w:p>
            <w:pPr>
              <w:spacing w:after="0"/>
              <w:rPr>
                <w:sz w:val="23"/>
                <w:szCs w:val="23"/>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50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 pts</w:t>
            </w:r>
          </w:p>
        </w:tc>
        <w:tc>
          <w:tcPr>
            <w:tcW w:w="3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pts</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Inflation</w:t>
            </w:r>
          </w:p>
        </w:tc>
        <w:tc>
          <w:tcPr>
            <w:tcW w:w="5040" w:type="dxa"/>
            <w:vAlign w:val="bottom"/>
          </w:tcPr>
          <w:p>
            <w:pPr>
              <w:jc w:val="right"/>
              <w:ind w:right="430"/>
              <w:spacing w:after="0"/>
              <w:rPr>
                <w:sz w:val="20"/>
                <w:szCs w:val="20"/>
                <w:color w:val="auto"/>
              </w:rPr>
            </w:pPr>
            <w:r>
              <w:rPr>
                <w:rFonts w:ascii="Arial" w:cs="Arial" w:eastAsia="Arial" w:hAnsi="Arial"/>
                <w:sz w:val="18"/>
                <w:szCs w:val="18"/>
                <w:color w:val="auto"/>
              </w:rPr>
              <w:t>(3.2)</w:t>
            </w:r>
          </w:p>
        </w:tc>
        <w:tc>
          <w:tcPr>
            <w:tcW w:w="35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5"/>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Productivity/Price</w:t>
            </w:r>
          </w:p>
        </w:tc>
        <w:tc>
          <w:tcPr>
            <w:tcW w:w="50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1.8</w:t>
            </w:r>
          </w:p>
        </w:tc>
        <w:tc>
          <w:tcPr>
            <w:tcW w:w="3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37"/>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50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(1.5) pts</w:t>
            </w:r>
          </w:p>
        </w:tc>
        <w:tc>
          <w:tcPr>
            <w:tcW w:w="3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pts</w:t>
            </w:r>
          </w:p>
        </w:tc>
      </w:tr>
      <w:tr>
        <w:trPr>
          <w:trHeight w:val="27"/>
        </w:trPr>
        <w:tc>
          <w:tcPr>
            <w:tcW w:w="254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1.5 percentage point decrease in segment income for Flow Technologies as a percentage of net sales in the third quarter of 2018 from 2017 was primarily driven by:</w:t>
      </w:r>
    </w:p>
    <w:p>
      <w:pPr>
        <w:spacing w:after="0" w:line="116" w:lineRule="exact"/>
        <w:rPr>
          <w:sz w:val="20"/>
          <w:szCs w:val="20"/>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decrease was partially offset by:</w:t>
      </w:r>
    </w:p>
    <w:p>
      <w:pPr>
        <w:spacing w:after="0" w:line="333" w:lineRule="exact"/>
        <w:rPr>
          <w:sz w:val="20"/>
          <w:szCs w:val="20"/>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higher sales volume in our residential and commercial businesses, which resulted in increased leverage on operating expenses;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 control and savings generated from lean initiatives.</w:t>
      </w:r>
    </w:p>
    <w:p>
      <w:pPr>
        <w:spacing w:after="0" w:line="171" w:lineRule="exact"/>
        <w:rPr>
          <w:sz w:val="20"/>
          <w:szCs w:val="20"/>
          <w:color w:val="auto"/>
        </w:rPr>
      </w:pPr>
    </w:p>
    <w:p>
      <w:pPr>
        <w:ind w:left="60" w:right="440"/>
        <w:spacing w:after="0" w:line="277" w:lineRule="auto"/>
        <w:rPr>
          <w:sz w:val="20"/>
          <w:szCs w:val="20"/>
          <w:color w:val="auto"/>
        </w:rPr>
      </w:pPr>
      <w:r>
        <w:rPr>
          <w:rFonts w:ascii="Arial" w:cs="Arial" w:eastAsia="Arial" w:hAnsi="Arial"/>
          <w:sz w:val="18"/>
          <w:szCs w:val="18"/>
          <w:i w:val="1"/>
          <w:iCs w:val="1"/>
          <w:color w:val="auto"/>
        </w:rPr>
        <w:t>The 0.5 percentage point increase in segment income for Flow Technologies as a percentage of net sales in the first nine months of 2018 from 2017 was primarily driven by:</w:t>
      </w:r>
    </w:p>
    <w:p>
      <w:pPr>
        <w:spacing w:after="0" w:line="116" w:lineRule="exact"/>
        <w:rPr>
          <w:sz w:val="20"/>
          <w:szCs w:val="20"/>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sales volume in our residential and commercial businesses, which resulted in increased leverage on operating expenses;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71" w:lineRule="exact"/>
        <w:rPr>
          <w:sz w:val="20"/>
          <w:szCs w:val="20"/>
          <w:color w:val="auto"/>
        </w:rPr>
      </w:pPr>
    </w:p>
    <w:p>
      <w:pPr>
        <w:ind w:left="500" w:hanging="330"/>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intend to issue commercial paper to fund our financing needs on a short-term basis and use our revolving credit facility as back-up liquidity to support commercial paper.</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experience seasonal cash flows primarily due to seasonal demand in a number of markets.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Cash provided by operating activities of continuing operations was $299.2 million in the first nine months of 2018, compared to $147.6 million in the same period of 2017.</w:t>
      </w:r>
    </w:p>
    <w:p>
      <w:pPr>
        <w:spacing w:after="0" w:line="13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$299.2 million in net cash provided by operating activities of continuing operations in the first nine months of 2018 primarily reflects net income from continuing operations of $308.5 million, net of non-cash depreciation and amortization and the loss on early extinguishment of debt, offset by a negative impact of $31.6 million as a result of changes in net working capital.</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$147.6 million in net cash provided by operating activities of continuing operations in the first nine months of 2017 primarily reflects $225.2 million of net income from continuing operations, net of non-cash depreciation and amortization and the loss on early extinguishment of debt, offset by a negative impact of $94.6 million as a result of changes in net 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Cash used for investing activities of continuing operations was $47.9 million in the first nine months of 2018, compared to $2,695.9 million of cash provided by investing activities of continuing operation in the same period of 2017. Net cash used for investing activities of continuing operations in the first nine months of 2018 primarily reflects capital expenditures of $33.8 million, cash paid for the settlement of a working capital adjustment related to the sale of the Valves &amp; Controls business and cash paid for acquisitions of $0.9 million. Net cash provided by investing activities of continuing operations in the first nine months of 2017 primarily reflects cash received from the sale of the Valves &amp; Controls business, offset by capital expenditures of $25.4 million and acquisitions, net of cash acquired, of $45.9 million.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for financing activities was $268.4 million in the first nine months of 2018, compared with $3,201.9 million in the prior year period. As further described below, during the first nine months of 2018, we utilized the $993.6 million of cash distributed from the Separation to repay commercial paper and revolving long term debt and for the early extinguishment of certain series of fixed rate debt. Additionally, we repurchased $400.0 million of shares during the first nine months of 2018.</w:t>
      </w:r>
    </w:p>
    <w:p>
      <w:pPr>
        <w:spacing w:after="0" w:line="1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Net cash used for financing activities in the first nine months 2017 primarily relates to the utilization of the proceeds from the sale of the Valves &amp; Controls business to repay our commercial paper and revolving long term debt and for the early extinguishment of certain series of fixed rate debt. Additionally, we repurchased $100 million of shares during the first nine months of 2017.</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25, 2018, Pentair, Pentair Investments Switzerland GmbH (“PISG”), Pentair Finance S.à r.l. (“PFSA”) and Pentair, Inc. entered into a credit agreement, providing for a five-year $800.0 million senior unsecured revolving credit facility (the “Senior Credit Facility”), with Pentair and PISG as guarantors and PFSA and Pentair, Inc. as borrowers. The Senior Credit Facility replaced PFSA’s existing credit facility under that certain Amended and Restated Credit Agreement, dated as of October 3, 2014. PFSA has the option to request to increase the Senior Credit Facility in an aggregate amount of up to $300.0 million, subject to customary conditions, including the commitment of the participating lenders.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$99.0 million of commercial paper outstanding as of September 30, 2018 and $34.0 million as of December 31, 2017,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The Senior Credit Facility contains covenants requiring us not to permit (i) the ratio of our consolidated debt (net of its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September 30, 2018, we were in compliance with all financial covenants in our debt agreements.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Total availability under the Senior Credit Facility was $691.6 million as of September 30, 2018.</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$21.1 million, of which there were no outstanding borrowings at September 30, 2018. Borrowings under these credit facilities bear interest at variable rates.</w:t>
      </w:r>
    </w:p>
    <w:p>
      <w:pPr>
        <w:spacing w:after="0" w:line="11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June 2018, we used the $993.6 million of cash received from nVent as a result of the Distribution to pay down commercial paper and revolving credit facilities, redeem the remaining $255.3 million aggregate principal of our 2.9% fixed rate senior notes due 2018, and we completed a cash tender offer in the amount of €363.4 million aggregate principal of our 2.45% senior notes due 2019. All costs associated with the repurchases of debt were recorded as a </w:t>
      </w:r>
      <w:r>
        <w:rPr>
          <w:rFonts w:ascii="Arial" w:cs="Arial" w:eastAsia="Arial" w:hAnsi="Arial"/>
          <w:sz w:val="17"/>
          <w:szCs w:val="17"/>
          <w:i w:val="1"/>
          <w:iCs w:val="1"/>
          <w:color w:val="auto"/>
        </w:rPr>
        <w:t>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the early extinguishment of debt </w:t>
      </w:r>
      <w:r>
        <w:rPr>
          <w:rFonts w:ascii="Arial" w:cs="Arial" w:eastAsia="Arial" w:hAnsi="Arial"/>
          <w:sz w:val="17"/>
          <w:szCs w:val="17"/>
          <w:color w:val="auto"/>
        </w:rPr>
        <w:t>in the Condensed Consolidated Statements of Operations and Comprehensive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$16.0 million premium</w:t>
      </w:r>
      <w:r>
        <w:rPr>
          <w:rFonts w:ascii="Arial" w:cs="Arial" w:eastAsia="Arial" w:hAnsi="Arial"/>
          <w:sz w:val="17"/>
          <w:szCs w:val="17"/>
          <w:i w:val="1"/>
          <w:iCs w:val="1"/>
          <w:color w:val="auto"/>
        </w:rPr>
        <w:t xml:space="preserve"> </w:t>
      </w:r>
      <w:r>
        <w:rPr>
          <w:rFonts w:ascii="Arial" w:cs="Arial" w:eastAsia="Arial" w:hAnsi="Arial"/>
          <w:sz w:val="17"/>
          <w:szCs w:val="17"/>
          <w:color w:val="auto"/>
        </w:rPr>
        <w:t>paid on early extinguishment and $1.1 million of unamortized deferred financing costs.</w:t>
      </w:r>
    </w:p>
    <w:p>
      <w:pPr>
        <w:spacing w:after="0" w:line="1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2018, we have $42.6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In December 2014, the Board of Directors authorized the repurchase of our ordinary shares up to a maximum dollar limit of $1.0 billion (the “2014 Authorization”). On May 8, 2018, the Board of Directors authorized the repurchase of our ordinary shares up to a maximum dollar limit of $750.0 million (the “2018 Authorization”), replacing the 2014 Authorization. The 2018 Authorization expires on May 31, 2021. During the nine months ended September 30, 2018, we repurchased 7.8 million of our shares for $400.0 million, of which 2.2 million shares, or $150.0 million, and 5.6 million shares, or</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$250.0 million, were repurchased pursuant to the 2014 and 2018 Authorizations, respectively. As of September 30, 2018, we had $500.0 million available for share repurchases under the 2018 Authorization.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 xml:space="preserve">On September 18, 2018, the Board of Directors declared a quarterly cash dividend of $0.175, which reflects an adjustment for the Distribution, payable on November 2, 2018 to shareholders of record at the close of business on October 19, 2018. As a result, the balance of dividends payable included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liabilities </w:t>
      </w:r>
      <w:r>
        <w:rPr>
          <w:rFonts w:ascii="Arial" w:cs="Arial" w:eastAsia="Arial" w:hAnsi="Arial"/>
          <w:sz w:val="18"/>
          <w:szCs w:val="18"/>
          <w:color w:val="auto"/>
        </w:rPr>
        <w:t>on our Condensed Consolidated Balance Sheets was $30.4 million and $63.1 million at September 30, 2018 and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2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paid dividends in the first nine months of 2018 of $156.7 million, or $0.875 per ordinary share, compared with $188.9 million, or $1.035 per ordinary share, in the prior year period.</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$9.0 billion as of December 31, 2017.</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summarizes our significant contractual debt and fixed-rate interest obligations that impact our liquidity. There have been no other material changes from the significant contractual obligations previously disclosed in Item 7 of our 2017 Annual Report on Form 10-K.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70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Q4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Thereafter</w:t>
            </w:r>
          </w:p>
        </w:tc>
        <w:tc>
          <w:tcPr>
            <w:tcW w:w="26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Interest obligations on fixed-rate debt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5.9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125.4</w:t>
            </w:r>
          </w:p>
        </w:tc>
      </w:tr>
      <w:tr>
        <w:trPr>
          <w:trHeight w:val="27"/>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311.9</w:t>
            </w:r>
          </w:p>
        </w:tc>
      </w:tr>
      <w:tr>
        <w:trPr>
          <w:trHeight w:val="27"/>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 of the Notes to Condensed Consolidated Financial Statements for information pertaining to recently adopted accounting standards or accounting standards to be adopted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2017 Annual Report on Form 10-K, we identified the critical accounting policies that affect our more significant estimates and assumptions used in preparing our consolidated financial statements. Significant changes to our critical accounting estimates as a result of adopting ASC 606 are discussed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Accounting for long-term contracts involves the use of various techniques to estimate total contract revenue and costs. Contract estimates are based on various assumptions to project the outcome of future events that may span multiple years. We review and update our contract-related estimates regularly. We recognize adjustments in estimated profit on contracts under the cumulative catch-up method. Under this method, the impact of the adjustment on profit recorded to date is recognized in the period the adjustment is identified.</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other material changes to our critical accounting policies and estimates from those disclosed in our 2017 Annual Report on Form 10-K for the year ended December 31, 2017.</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September 30, 2018. For additional information, refer to Item 7A of our 2017 Annual Report on Form 10-K.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2018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2018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1" w:lineRule="exact"/>
        <w:rPr>
          <w:rFonts w:ascii="Arial" w:cs="Arial" w:eastAsia="Arial" w:hAnsi="Arial"/>
          <w:sz w:val="18"/>
          <w:szCs w:val="18"/>
          <w:b w:val="1"/>
          <w:bCs w:val="1"/>
          <w:color w:val="auto"/>
        </w:rPr>
      </w:pPr>
    </w:p>
    <w:p>
      <w:pPr>
        <w:ind w:left="400" w:hanging="392"/>
        <w:spacing w:after="0"/>
        <w:tabs>
          <w:tab w:leader="none" w:pos="4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4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September 30, 2018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22" w:right="29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been made parties to a number of actions filed or have been given notice of potential claims relating to the conduct of our business, including those pertaining to commercial disputes, product liability, asbestos, environmental, safety and health, patent infringement and employment matters.</w:t>
      </w:r>
    </w:p>
    <w:p>
      <w:pPr>
        <w:spacing w:after="0" w:line="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subsidiaries and numerous other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dozens to hundreds of corporate defendants. While we have observed an increase in the number of these lawsuits over the past several years, including lawsuits by plaintiffs with mesothelioma-related claims, a large percentage of these suits have not presented viable legal claims and, as a result, have been dismissed by the courts.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3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of September 30, 2018, there were approximately 600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September 30, 2018,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have been no material changes from the risk factors previously disclosed in Item 1A. of our 2017 Annual Report on Form 10-K, except that the spin-off of our Electrical business, nVent Electric plc, was completed on April 30, 2018. However, the risk factors under the caption “Risks Related to Our Proposed Separation of Our Water Business and Electrical Business by Spin-Off” previously disclosed in Item 1A. of our 2017 Annual Report on Form 10-K relating to such spin-off after its completion remain applicable.</w:t>
      </w:r>
    </w:p>
    <w:p>
      <w:pPr>
        <w:spacing w:after="0" w:line="2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third quarter of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2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(a)</w:t>
            </w:r>
          </w:p>
        </w:tc>
        <w:tc>
          <w:tcPr>
            <w:tcW w:w="360" w:type="dxa"/>
            <w:vAlign w:val="bottom"/>
          </w:tcPr>
          <w:p>
            <w:pPr>
              <w:spacing w:after="0"/>
              <w:rPr>
                <w:sz w:val="20"/>
                <w:szCs w:val="20"/>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0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Dollar value of shares that</w:t>
            </w:r>
          </w:p>
        </w:tc>
      </w:tr>
      <w:tr>
        <w:trPr>
          <w:trHeight w:val="216"/>
        </w:trPr>
        <w:tc>
          <w:tcPr>
            <w:tcW w:w="2620" w:type="dxa"/>
            <w:vAlign w:val="bottom"/>
          </w:tcPr>
          <w:p>
            <w:pPr>
              <w:spacing w:after="0"/>
              <w:rPr>
                <w:sz w:val="18"/>
                <w:szCs w:val="18"/>
                <w:color w:val="auto"/>
              </w:rPr>
            </w:pPr>
          </w:p>
        </w:tc>
        <w:tc>
          <w:tcPr>
            <w:tcW w:w="22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Total number</w:t>
            </w: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2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may yet be purchased</w:t>
            </w:r>
          </w:p>
        </w:tc>
      </w:tr>
      <w:tr>
        <w:trPr>
          <w:trHeight w:val="216"/>
        </w:trPr>
        <w:tc>
          <w:tcPr>
            <w:tcW w:w="2620" w:type="dxa"/>
            <w:vAlign w:val="bottom"/>
          </w:tcPr>
          <w:p>
            <w:pPr>
              <w:spacing w:after="0"/>
              <w:rPr>
                <w:sz w:val="18"/>
                <w:szCs w:val="18"/>
                <w:color w:val="auto"/>
              </w:rPr>
            </w:pPr>
          </w:p>
        </w:tc>
        <w:tc>
          <w:tcPr>
            <w:tcW w:w="2260" w:type="dxa"/>
            <w:vAlign w:val="bottom"/>
          </w:tcPr>
          <w:p>
            <w:pPr>
              <w:jc w:val="center"/>
              <w:ind w:left="90"/>
              <w:spacing w:after="0"/>
              <w:rPr>
                <w:sz w:val="20"/>
                <w:szCs w:val="20"/>
                <w:color w:val="auto"/>
              </w:rPr>
            </w:pPr>
            <w:r>
              <w:rPr>
                <w:rFonts w:ascii="Arial" w:cs="Arial" w:eastAsia="Arial" w:hAnsi="Arial"/>
                <w:sz w:val="18"/>
                <w:szCs w:val="18"/>
                <w:b w:val="1"/>
                <w:bCs w:val="1"/>
                <w:color w:val="auto"/>
                <w:w w:val="84"/>
              </w:rPr>
              <w:t>of shares</w:t>
            </w:r>
          </w:p>
        </w:tc>
        <w:tc>
          <w:tcPr>
            <w:tcW w:w="360" w:type="dxa"/>
            <w:vAlign w:val="bottom"/>
          </w:tcPr>
          <w:p>
            <w:pPr>
              <w:spacing w:after="0"/>
              <w:rPr>
                <w:sz w:val="18"/>
                <w:szCs w:val="18"/>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Average price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22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under the plans or</w:t>
            </w:r>
          </w:p>
        </w:tc>
      </w:tr>
      <w:tr>
        <w:trPr>
          <w:trHeight w:val="234"/>
        </w:trPr>
        <w:tc>
          <w:tcPr>
            <w:tcW w:w="2620" w:type="dxa"/>
            <w:vAlign w:val="bottom"/>
          </w:tcPr>
          <w:p>
            <w:pPr>
              <w:ind w:left="1120"/>
              <w:spacing w:after="0"/>
              <w:rPr>
                <w:sz w:val="20"/>
                <w:szCs w:val="20"/>
                <w:color w:val="auto"/>
              </w:rPr>
            </w:pPr>
            <w:r>
              <w:rPr>
                <w:rFonts w:ascii="Arial" w:cs="Arial" w:eastAsia="Arial" w:hAnsi="Arial"/>
                <w:sz w:val="18"/>
                <w:szCs w:val="18"/>
                <w:b w:val="1"/>
                <w:bCs w:val="1"/>
                <w:color w:val="auto"/>
              </w:rPr>
              <w:t>Period</w:t>
            </w:r>
          </w:p>
        </w:tc>
        <w:tc>
          <w:tcPr>
            <w:tcW w:w="226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purchased</w:t>
            </w:r>
          </w:p>
        </w:tc>
        <w:tc>
          <w:tcPr>
            <w:tcW w:w="360" w:type="dxa"/>
            <w:vAlign w:val="bottom"/>
          </w:tcPr>
          <w:p>
            <w:pPr>
              <w:spacing w:after="0"/>
              <w:rPr>
                <w:sz w:val="20"/>
                <w:szCs w:val="20"/>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paid per share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programs</w:t>
            </w:r>
          </w:p>
        </w:tc>
      </w:tr>
      <w:tr>
        <w:trPr>
          <w:trHeight w:val="34"/>
        </w:trPr>
        <w:tc>
          <w:tcPr>
            <w:tcW w:w="26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July 28</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33.29</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600,000,070</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July 29 - August 25</w:t>
            </w:r>
          </w:p>
        </w:tc>
        <w:tc>
          <w:tcPr>
            <w:tcW w:w="2260" w:type="dxa"/>
            <w:vAlign w:val="bottom"/>
          </w:tcPr>
          <w:p>
            <w:pPr>
              <w:jc w:val="right"/>
              <w:spacing w:after="0"/>
              <w:rPr>
                <w:sz w:val="20"/>
                <w:szCs w:val="20"/>
                <w:color w:val="auto"/>
              </w:rPr>
            </w:pPr>
            <w:r>
              <w:rPr>
                <w:rFonts w:ascii="Arial" w:cs="Arial" w:eastAsia="Arial" w:hAnsi="Arial"/>
                <w:sz w:val="18"/>
                <w:szCs w:val="18"/>
                <w:color w:val="auto"/>
              </w:rPr>
              <w:t>2,286,887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43.71</w:t>
            </w:r>
          </w:p>
        </w:tc>
        <w:tc>
          <w:tcPr>
            <w:tcW w:w="2120" w:type="dxa"/>
            <w:vAlign w:val="bottom"/>
          </w:tcPr>
          <w:p>
            <w:pPr>
              <w:jc w:val="right"/>
              <w:spacing w:after="0"/>
              <w:rPr>
                <w:sz w:val="20"/>
                <w:szCs w:val="20"/>
                <w:color w:val="auto"/>
              </w:rPr>
            </w:pPr>
            <w:r>
              <w:rPr>
                <w:rFonts w:ascii="Arial" w:cs="Arial" w:eastAsia="Arial" w:hAnsi="Arial"/>
                <w:sz w:val="18"/>
                <w:szCs w:val="18"/>
                <w:color w:val="auto"/>
              </w:rPr>
              <w:t>2,286,887</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500,000,101</w:t>
            </w:r>
          </w:p>
        </w:tc>
      </w:tr>
      <w:tr>
        <w:trPr>
          <w:trHeight w:val="27"/>
        </w:trPr>
        <w:tc>
          <w:tcPr>
            <w:tcW w:w="26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5"/>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26 - September 30</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35.94</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500,000,101</w:t>
            </w:r>
          </w:p>
        </w:tc>
      </w:tr>
      <w:tr>
        <w:trPr>
          <w:trHeight w:val="237"/>
        </w:trPr>
        <w:tc>
          <w:tcPr>
            <w:tcW w:w="2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2,328,182</w:t>
            </w:r>
          </w:p>
        </w:tc>
        <w:tc>
          <w:tcPr>
            <w:tcW w:w="3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2,286,887</w:t>
            </w: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hanging="330"/>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purchases in this column include 30,835 shares for the period July 1 - July 28, 0 shares for the period July 29 - August 25 and 10,460 shares for the period August 26 - September 30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32" w:lineRule="exact"/>
        <w:rPr>
          <w:rFonts w:ascii="Arial" w:cs="Arial" w:eastAsia="Arial" w:hAnsi="Arial"/>
          <w:sz w:val="18"/>
          <w:szCs w:val="18"/>
          <w:color w:val="auto"/>
        </w:rPr>
      </w:pPr>
    </w:p>
    <w:p>
      <w:pPr>
        <w:ind w:left="500" w:right="20" w:hanging="330"/>
        <w:spacing w:after="0" w:line="342"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500" w:right="220" w:hanging="330"/>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ind w:left="500" w:right="240" w:hanging="330"/>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December 2014, our Board of Directors authorized the repurchase of our ordinary shares up to a maximum dollar limit of $1.0 billion. On May 8, 2018, the Board of Directors authorized the repurchase of our ordinary shares up to a maximum dollar limit of $750.0 million, replacing the 2014 authorization. The 2018 authorization expires on May 31, 2021. We have $500.0 million remaining availability for repurchases under the 2018 authorization.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167"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Exhibit Index to Form 10-Q for the Period Ended September 30, 2018</w:t>
      </w:r>
    </w:p>
    <w:p>
      <w:pPr>
        <w:spacing w:after="0" w:line="360"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2">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3">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4">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66"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5">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960" w:hanging="790"/>
        <w:spacing w:after="0" w:line="273" w:lineRule="auto"/>
        <w:tabs>
          <w:tab w:leader="none" w:pos="96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The following materials from Pentair plc’s Quarterly Report on Form 10-Q for the quarter ended September 30, 2018 are filed herewith, formatted in XBRL (Extensible Business Reporting Language): (i) the Condensed Consolidated Statements of Operations and Comprehensive Income for the three and nine months ended September 30, 2018 and 2017, (ii) the Condensed Consolidated Balance Sheets as of September 30, 2018 and December 31, 2017, (iii) the Condensed Consolidated Statements of Cash Flows for the nine months ended September 30, 2018 and 2017, (iv) the Condensed Consolidated Statements of Changes in Equity for the nine months ended September 30, 2018 and 2017, and (v)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22" w:right="29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23,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 Chief Financial Officer</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Ademir Sarcevic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Ademir Sarcevic</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240" w:top="122" w:right="3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2018</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C. Borin, certify that:</w:t>
      </w:r>
    </w:p>
    <w:p>
      <w:pPr>
        <w:spacing w:after="0" w:line="225" w:lineRule="exact"/>
        <w:rPr>
          <w:sz w:val="20"/>
          <w:szCs w:val="20"/>
          <w:color w:val="auto"/>
        </w:rPr>
      </w:pPr>
    </w:p>
    <w:p>
      <w:pPr>
        <w:ind w:left="280" w:hanging="258"/>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2018</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September 30, 2018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2018</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September 30, 2018 as filed with the Securities and Exchange Commission on the date hereof (the “Report”), I, Mark C. Borin, Executive Vice President and Chief Financial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2018</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2"/>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3"/>
    </w:lvl>
  </w:abstractNum>
  <w:abstractNum w:abstractNumId="5">
    <w:nsid w:val="614FD4A1"/>
    <w:multiLevelType w:val="hybridMultilevel"/>
    <w:lvl w:ilvl="0">
      <w:lvlJc w:val="left"/>
      <w:lvlText w:val="%1."/>
      <w:numFmt w:val="decimal"/>
      <w:start w:val="4"/>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5"/>
    </w:lvl>
  </w:abstractNum>
  <w:abstractNum w:abstractNumId="9">
    <w:nsid w:val="5072367"/>
    <w:multiLevelType w:val="hybridMultilevel"/>
    <w:lvl w:ilvl="0">
      <w:lvlJc w:val="left"/>
      <w:lvlText w:val="%1."/>
      <w:numFmt w:val="decimal"/>
      <w:start w:val="8"/>
    </w:lvl>
  </w:abstractNum>
  <w:abstractNum w:abstractNumId="10">
    <w:nsid w:val="3804823E"/>
    <w:multiLevelType w:val="hybridMultilevel"/>
    <w:lvl w:ilvl="0">
      <w:lvlJc w:val="left"/>
      <w:lvlText w:val="%1."/>
      <w:numFmt w:val="decimal"/>
      <w:start w:val="9"/>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0"/>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decimal"/>
      <w:start w:val="1"/>
    </w:lvl>
    <w:lvl w:ilvl="1">
      <w:lvlJc w:val="left"/>
      <w:lvlText w:val="(%2)"/>
      <w:numFmt w:val="decimal"/>
      <w:start w:val="1"/>
    </w:lvl>
  </w:abstractNum>
  <w:abstractNum w:abstractNumId="15">
    <w:nsid w:val="5E884ADC"/>
    <w:multiLevelType w:val="hybridMultilevel"/>
    <w:lvl w:ilvl="0">
      <w:lvlJc w:val="left"/>
      <w:lvlText w:val="%1."/>
      <w:numFmt w:val="decimal"/>
      <w:start w:val="11"/>
    </w:lvl>
    <w:lvl w:ilvl="1">
      <w:lvlJc w:val="left"/>
      <w:lvlText w:val="%2"/>
      <w:numFmt w:val="decimal"/>
      <w:start w:val="1"/>
    </w:lvl>
  </w:abstractNum>
  <w:abstractNum w:abstractNumId="16">
    <w:nsid w:val="51EAD36B"/>
    <w:multiLevelType w:val="hybridMultilevel"/>
    <w:lvl w:ilvl="0">
      <w:lvlJc w:val="left"/>
      <w:lvlText w:val="%1."/>
      <w:numFmt w:val="decimal"/>
      <w:start w:val="12"/>
    </w:lvl>
  </w:abstractNum>
  <w:abstractNum w:abstractNumId="17">
    <w:nsid w:val="2D517796"/>
    <w:multiLevelType w:val="hybridMultilevel"/>
    <w:lvl w:ilvl="0">
      <w:lvlJc w:val="left"/>
      <w:lvlText w:val="%1."/>
      <w:numFmt w:val="decimal"/>
      <w:start w:val="13"/>
    </w:lvl>
  </w:abstractNum>
  <w:abstractNum w:abstractNumId="18">
    <w:nsid w:val="580BD78F"/>
    <w:multiLevelType w:val="hybridMultilevel"/>
    <w:lvl w:ilvl="0">
      <w:lvlJc w:val="left"/>
      <w:lvlText w:val="%1."/>
      <w:numFmt w:val="decimal"/>
      <w:start w:val="14"/>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5"/>
    </w:lvl>
  </w:abstractNum>
  <w:abstractNum w:abstractNumId="21">
    <w:nsid w:val="70A64E2A"/>
    <w:multiLevelType w:val="hybridMultilevel"/>
    <w:lvl w:ilvl="0">
      <w:lvlJc w:val="left"/>
      <w:lvlText w:val="%1."/>
      <w:numFmt w:val="decimal"/>
      <w:start w:val="16"/>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decimal"/>
      <w:start w:val="10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2020-01-11T22:51:39Z</dcterms:created>
  <dcterms:modified xsi:type="dcterms:W3CDTF">2020-01-11T22:51:39Z</dcterms:modified>
</cp:coreProperties>
</file>