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001-11625 </w:t>
      </w:r>
    </w:p>
    <w:p>
      <w:pPr>
        <w:pStyle w:val="TextBody"/>
        <w:bidi w:val="0"/>
        <w:spacing w:before="100" w:after="283"/>
        <w:jc w:val="center"/>
        <w:rPr/>
      </w:pPr>
      <w:r>
        <w:rPr/>
        <w:drawing>
          <wp:inline distT="0" distB="0" distL="0" distR="0">
            <wp:extent cx="21812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552450"/>
                    </a:xfrm>
                    <a:prstGeom prst="rect">
                      <a:avLst/>
                    </a:prstGeom>
                  </pic:spPr>
                </pic:pic>
              </a:graphicData>
            </a:graphic>
          </wp:inline>
        </w:drawing>
      </w:r>
    </w:p>
    <w:tbl>
      <w:tblPr>
        <w:tblW w:w="1095" w:type="dxa"/>
        <w:jc w:val="center"/>
        <w:tblInd w:w="0" w:type="dxa"/>
        <w:tblLayout w:type="fixed"/>
        <w:tblCellMar>
          <w:top w:w="28" w:type="dxa"/>
          <w:left w:w="28" w:type="dxa"/>
          <w:bottom w:w="28" w:type="dxa"/>
          <w:right w:w="28" w:type="dxa"/>
        </w:tblCellMar>
      </w:tblPr>
      <w:tblGrid>
        <w:gridCol w:w="351"/>
        <w:gridCol w:w="308"/>
        <w:gridCol w:w="436"/>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Pentair plc</w:t>
            </w:r>
          </w:p>
        </w:tc>
      </w:tr>
    </w:tbl>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5021" w:type="dxa"/>
        <w:jc w:val="left"/>
        <w:tblInd w:w="0" w:type="dxa"/>
        <w:tblLayout w:type="fixed"/>
        <w:tblCellMar>
          <w:top w:w="28" w:type="dxa"/>
          <w:left w:w="28" w:type="dxa"/>
          <w:bottom w:w="28" w:type="dxa"/>
          <w:right w:w="28" w:type="dxa"/>
        </w:tblCellMar>
      </w:tblPr>
      <w:tblGrid>
        <w:gridCol w:w="966"/>
        <w:gridCol w:w="849"/>
        <w:gridCol w:w="855"/>
        <w:gridCol w:w="109"/>
        <w:gridCol w:w="109"/>
        <w:gridCol w:w="109"/>
        <w:gridCol w:w="591"/>
        <w:gridCol w:w="591"/>
        <w:gridCol w:w="842"/>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98-1141328</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(I.R.S. Employer</w:t>
              <w:br/>
              <w:t>Identification number)</w:t>
            </w:r>
          </w:p>
        </w:tc>
      </w:tr>
    </w:tbl>
    <w:tbl>
      <w:tblPr>
        <w:tblW w:w="7969" w:type="dxa"/>
        <w:jc w:val="center"/>
        <w:tblInd w:w="0" w:type="dxa"/>
        <w:tblLayout w:type="fixed"/>
        <w:tblCellMar>
          <w:top w:w="28" w:type="dxa"/>
          <w:left w:w="28" w:type="dxa"/>
          <w:bottom w:w="28" w:type="dxa"/>
          <w:right w:w="28" w:type="dxa"/>
        </w:tblCellMar>
      </w:tblPr>
      <w:tblGrid>
        <w:gridCol w:w="124"/>
        <w:gridCol w:w="109"/>
        <w:gridCol w:w="109"/>
        <w:gridCol w:w="457"/>
        <w:gridCol w:w="457"/>
        <w:gridCol w:w="457"/>
        <w:gridCol w:w="457"/>
        <w:gridCol w:w="457"/>
        <w:gridCol w:w="472"/>
        <w:gridCol w:w="414"/>
        <w:gridCol w:w="414"/>
        <w:gridCol w:w="416"/>
        <w:gridCol w:w="284"/>
        <w:gridCol w:w="284"/>
        <w:gridCol w:w="286"/>
        <w:gridCol w:w="300"/>
        <w:gridCol w:w="300"/>
        <w:gridCol w:w="301"/>
        <w:gridCol w:w="499"/>
        <w:gridCol w:w="499"/>
        <w:gridCol w:w="5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Regal House, 70 London Road, </w:t>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Twickenham,</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London, </w:t>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TW13QS</w:t>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Kingdom</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969"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44-74-9421-6154 </w:t>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463" w:type="dxa"/>
        <w:jc w:val="left"/>
        <w:tblInd w:w="0" w:type="dxa"/>
        <w:tblLayout w:type="fixed"/>
        <w:tblCellMar>
          <w:top w:w="28" w:type="dxa"/>
          <w:left w:w="28" w:type="dxa"/>
          <w:bottom w:w="28" w:type="dxa"/>
          <w:right w:w="28" w:type="dxa"/>
        </w:tblCellMar>
      </w:tblPr>
      <w:tblGrid>
        <w:gridCol w:w="1425"/>
        <w:gridCol w:w="1252"/>
        <w:gridCol w:w="1267"/>
        <w:gridCol w:w="564"/>
        <w:gridCol w:w="564"/>
        <w:gridCol w:w="566"/>
        <w:gridCol w:w="1118"/>
        <w:gridCol w:w="1118"/>
        <w:gridCol w:w="1589"/>
      </w:tblGrid>
      <w:tr>
        <w:trPr/>
        <w:tc>
          <w:tcPr>
            <w:tcW w:w="142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nominal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PNR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jc w:val="both"/>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    Yes ☑</w:t>
      </w:r>
    </w:p>
    <w:p>
      <w:pPr>
        <w:pStyle w:val="TextBody"/>
        <w:bidi w:val="0"/>
        <w:spacing w:lineRule="auto" w:line="288" w:before="100" w:after="283"/>
        <w:jc w:val="both"/>
        <w:rPr>
          <w:color w:val="000000"/>
        </w:rPr>
      </w:pPr>
      <w:r>
        <w:rPr>
          <w:color w:val="000000"/>
        </w:rPr>
        <w:t>    </w:t>
      </w:r>
      <w:r>
        <w:rPr>
          <w:rFonts w:ascii="Times New Roman;sans-serif" w:hAnsi="Times New Roman;sans-serif"/>
          <w:b w:val="false"/>
          <w:color w:val="000000"/>
          <w:sz w:val="20"/>
        </w:rPr>
        <w:t>No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    Yes ☐    No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30"/>
        <w:gridCol w:w="554"/>
        <w:gridCol w:w="556"/>
        <w:gridCol w:w="109"/>
        <w:gridCol w:w="109"/>
        <w:gridCol w:w="109"/>
        <w:gridCol w:w="480"/>
        <w:gridCol w:w="480"/>
        <w:gridCol w:w="481"/>
        <w:gridCol w:w="109"/>
        <w:gridCol w:w="109"/>
        <w:gridCol w:w="109"/>
        <w:gridCol w:w="600"/>
        <w:gridCol w:w="600"/>
        <w:gridCol w:w="601"/>
        <w:gridCol w:w="109"/>
        <w:gridCol w:w="109"/>
        <w:gridCol w:w="109"/>
        <w:gridCol w:w="505"/>
        <w:gridCol w:w="505"/>
        <w:gridCol w:w="506"/>
        <w:gridCol w:w="109"/>
        <w:gridCol w:w="109"/>
        <w:gridCol w:w="109"/>
        <w:gridCol w:w="674"/>
        <w:gridCol w:w="674"/>
        <w:gridCol w:w="677"/>
        <w:gridCol w:w="109"/>
        <w:gridCol w:w="109"/>
        <w:gridCol w:w="156"/>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w:t>
              <w:br/>
              <w:t>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Act).    Yes ☐    No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market value of voting and non-voting common equity held by non-affiliates of the Registrant, based on the closing price of $64.60 per share as reported on the New York Stock Exchange on June 30, 2023 (the last business day of Registrant’s most recently completed second quarter): $10,553,275,633.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Registrant’s only class of common stock on December 31, 2023 was 165,334,513.</w:t>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Parts of the Registrant’s definitive proxy statement for its annual general meeting to be held on May 7, 2024, are incorporated by reference in this Form 10-K in response to Part III, ITEM 10, 11, 12, 13 and 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Pentair plc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2023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0"/>
        <w:gridCol w:w="281"/>
        <w:gridCol w:w="284"/>
        <w:gridCol w:w="109"/>
        <w:gridCol w:w="109"/>
        <w:gridCol w:w="109"/>
        <w:gridCol w:w="2722"/>
        <w:gridCol w:w="2682"/>
        <w:gridCol w:w="2690"/>
        <w:gridCol w:w="109"/>
        <w:gridCol w:w="109"/>
        <w:gridCol w:w="109"/>
        <w:gridCol w:w="167"/>
        <w:gridCol w:w="167"/>
        <w:gridCol w:w="238"/>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3">
              <w:r>
                <w:rPr>
                  <w:rStyle w:val="InternetLink"/>
                  <w:rFonts w:ascii="Times New Roman;sans-serif" w:hAnsi="Times New Roman;sans-serif"/>
                  <w:b w:val="false"/>
                  <w:color w:val="0000FF"/>
                  <w:sz w:val="20"/>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3">
              <w:r>
                <w:rPr>
                  <w:rStyle w:val="InternetLink"/>
                  <w:rFonts w:ascii="Times New Roman;sans-serif" w:hAnsi="Times New Roman;sans-serif"/>
                  <w:b w:val="false"/>
                  <w:color w:val="0000FF"/>
                  <w:sz w:val="20"/>
                  <w:u w:val="single"/>
                </w:rPr>
                <w:t>1</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6">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6">
              <w:r>
                <w:rPr>
                  <w:rStyle w:val="InternetLink"/>
                  <w:rFonts w:ascii="Times New Roman;sans-serif" w:hAnsi="Times New Roman;sans-serif"/>
                  <w:b w:val="false"/>
                  <w:color w:val="0000FF"/>
                  <w:sz w:val="20"/>
                  <w:u w:val="single"/>
                </w:rPr>
                <w:t>6</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9">
              <w:r>
                <w:rPr>
                  <w:rStyle w:val="InternetLink"/>
                  <w:rFonts w:ascii="Times New Roman;sans-serif" w:hAnsi="Times New Roman;sans-serif"/>
                  <w:b w:val="false"/>
                  <w:color w:val="0000FF"/>
                  <w:sz w:val="20"/>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9">
              <w:r>
                <w:rPr>
                  <w:rStyle w:val="InternetLink"/>
                  <w:rFonts w:ascii="Times New Roman;sans-serif" w:hAnsi="Times New Roman;sans-serif"/>
                  <w:b w:val="false"/>
                  <w:color w:val="0000FF"/>
                  <w:sz w:val="20"/>
                  <w:u w:val="single"/>
                </w:rPr>
                <w:t>18</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623">
              <w:r>
                <w:rPr>
                  <w:rStyle w:val="InternetLink"/>
                  <w:rFonts w:ascii="Times New Roman;sans-serif" w:hAnsi="Times New Roman;sans-serif"/>
                  <w:b w:val="false"/>
                  <w:color w:val="0000FF"/>
                  <w:sz w:val="20"/>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623">
              <w:r>
                <w:rPr>
                  <w:rStyle w:val="InternetLink"/>
                  <w:rFonts w:ascii="Times New Roman;sans-serif" w:hAnsi="Times New Roman;sans-serif"/>
                  <w:b w:val="false"/>
                  <w:color w:val="0000FF"/>
                  <w:sz w:val="20"/>
                  <w:u w:val="single"/>
                </w:rPr>
                <w:t>18</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22">
              <w:r>
                <w:rPr>
                  <w:rStyle w:val="InternetLink"/>
                  <w:rFonts w:ascii="Times New Roman;sans-serif" w:hAnsi="Times New Roman;sans-serif"/>
                  <w:b w:val="false"/>
                  <w:color w:val="0000FF"/>
                  <w:sz w:val="20"/>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22">
              <w:r>
                <w:rPr>
                  <w:rStyle w:val="InternetLink"/>
                  <w:rFonts w:ascii="Times New Roman;sans-serif" w:hAnsi="Times New Roman;sans-serif"/>
                  <w:b w:val="false"/>
                  <w:color w:val="0000FF"/>
                  <w:sz w:val="20"/>
                  <w:u w:val="single"/>
                </w:rPr>
                <w:t>20</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25">
              <w:r>
                <w:rPr>
                  <w:rStyle w:val="InternetLink"/>
                  <w:rFonts w:ascii="Times New Roman;sans-serif" w:hAnsi="Times New Roman;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25">
              <w:r>
                <w:rPr>
                  <w:rStyle w:val="InternetLink"/>
                  <w:rFonts w:ascii="Times New Roman;sans-serif" w:hAnsi="Times New Roman;sans-serif"/>
                  <w:b w:val="false"/>
                  <w:color w:val="0000FF"/>
                  <w:sz w:val="20"/>
                  <w:u w:val="single"/>
                </w:rPr>
                <w:t>20</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31">
              <w:r>
                <w:rPr>
                  <w:rStyle w:val="InternetLink"/>
                  <w:rFonts w:ascii="Times New Roman;sans-serif" w:hAnsi="Times New Roman;sans-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28">
              <w:r>
                <w:rPr>
                  <w:rStyle w:val="InternetLink"/>
                  <w:rFonts w:ascii="Times New Roman;sans-serif" w:hAnsi="Times New Roman;sans-serif"/>
                  <w:b w:val="false"/>
                  <w:color w:val="0000FF"/>
                  <w:sz w:val="20"/>
                  <w:u w:val="single"/>
                </w:rPr>
                <w:t>20</w:t>
              </w:r>
            </w:hyperlink>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PART II</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hyperlink w:anchor="idfb922b5c44e4373bae8123a2b3eac7b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37">
              <w:r>
                <w:rPr>
                  <w:rStyle w:val="InternetLink"/>
                  <w:rFonts w:ascii="Times New Roman;sans-serif" w:hAnsi="Times New Roman;sans-serif"/>
                  <w:b w:val="false"/>
                  <w:color w:val="0000FF"/>
                  <w:sz w:val="20"/>
                  <w:u w:val="single"/>
                </w:rPr>
                <w:t>22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40">
              <w:r>
                <w:rPr>
                  <w:rStyle w:val="InternetLink"/>
                  <w:rFonts w:ascii="Times New Roman;sans-serif" w:hAnsi="Times New Roman;sans-serif"/>
                  <w:b w:val="false"/>
                  <w:color w:val="0000FF"/>
                  <w:sz w:val="20"/>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40">
              <w:r>
                <w:rPr>
                  <w:rStyle w:val="InternetLink"/>
                  <w:rFonts w:ascii="Times New Roman;sans-serif" w:hAnsi="Times New Roman;sans-serif"/>
                  <w:b w:val="false"/>
                  <w:color w:val="0000FF"/>
                  <w:sz w:val="20"/>
                  <w:u w:val="single"/>
                </w:rPr>
                <w:t>23</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46">
              <w:r>
                <w:rPr>
                  <w:rStyle w:val="InternetLink"/>
                  <w:rFonts w:ascii="Times New Roman;sans-serif" w:hAnsi="Times New Roman;sans-serif"/>
                  <w:b w:val="false"/>
                  <w:color w:val="0000FF"/>
                  <w:sz w:val="20"/>
                  <w:u w:val="single"/>
                </w:rPr>
                <w:t>24</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64">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64">
              <w:r>
                <w:rPr>
                  <w:rStyle w:val="InternetLink"/>
                  <w:rFonts w:ascii="Times New Roman;sans-serif" w:hAnsi="Times New Roman;sans-serif"/>
                  <w:b w:val="false"/>
                  <w:color w:val="0000FF"/>
                  <w:sz w:val="20"/>
                  <w:u w:val="single"/>
                </w:rPr>
                <w:t>40</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67">
              <w:r>
                <w:rPr>
                  <w:rStyle w:val="InternetLink"/>
                  <w:rFonts w:ascii="Times New Roman;sans-serif" w:hAnsi="Times New Roman;sans-serif"/>
                  <w:b w:val="false"/>
                  <w:color w:val="0000FF"/>
                  <w:sz w:val="20"/>
                  <w:u w:val="single"/>
                </w:rPr>
                <w:t>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67">
              <w:r>
                <w:rPr>
                  <w:rStyle w:val="InternetLink"/>
                  <w:rFonts w:ascii="Times New Roman;sans-serif" w:hAnsi="Times New Roman;sans-serif"/>
                  <w:b w:val="false"/>
                  <w:color w:val="0000FF"/>
                  <w:sz w:val="20"/>
                  <w:u w:val="single"/>
                </w:rPr>
                <w:t>42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6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60">
              <w:r>
                <w:rPr>
                  <w:rStyle w:val="InternetLink"/>
                  <w:rFonts w:ascii="Times New Roman;sans-serif" w:hAnsi="Times New Roman;sans-serif"/>
                  <w:b w:val="false"/>
                  <w:color w:val="0000FF"/>
                  <w:sz w:val="20"/>
                  <w:u w:val="single"/>
                </w:rPr>
                <w:t>79</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63">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63">
              <w:r>
                <w:rPr>
                  <w:rStyle w:val="InternetLink"/>
                  <w:rFonts w:ascii="Times New Roman;sans-serif" w:hAnsi="Times New Roman;sans-serif"/>
                  <w:b w:val="false"/>
                  <w:color w:val="0000FF"/>
                  <w:sz w:val="20"/>
                  <w:u w:val="single"/>
                </w:rPr>
                <w:t>79</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66">
              <w:r>
                <w:rPr>
                  <w:rStyle w:val="InternetLink"/>
                  <w:rFonts w:ascii="Times New Roman;sans-serif" w:hAnsi="Times New Roman;sans-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66">
              <w:r>
                <w:rPr>
                  <w:rStyle w:val="InternetLink"/>
                  <w:rFonts w:ascii="Times New Roman;sans-serif" w:hAnsi="Times New Roman;sans-serif"/>
                  <w:b w:val="false"/>
                  <w:color w:val="0000FF"/>
                  <w:sz w:val="20"/>
                  <w:u w:val="single"/>
                </w:rPr>
                <w:t>79</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69">
              <w:r>
                <w:rPr>
                  <w:rStyle w:val="InternetLink"/>
                  <w:rFonts w:ascii="Times New Roman;sans-serif" w:hAnsi="Times New Roman;sans-serif"/>
                  <w:b w:val="false"/>
                  <w:color w:val="0000FF"/>
                  <w:sz w:val="20"/>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69">
              <w:r>
                <w:rPr>
                  <w:rStyle w:val="InternetLink"/>
                  <w:rFonts w:ascii="Times New Roman;sans-serif" w:hAnsi="Times New Roman;sans-serif"/>
                  <w:b w:val="false"/>
                  <w:color w:val="0000FF"/>
                  <w:sz w:val="20"/>
                  <w:u w:val="single"/>
                </w:rPr>
                <w:t>79</w:t>
              </w:r>
            </w:hyperlink>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PART III</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75">
              <w:r>
                <w:rPr>
                  <w:rStyle w:val="InternetLink"/>
                  <w:rFonts w:ascii="Times New Roman;sans-serif" w:hAnsi="Times New Roman;sans-serif"/>
                  <w:b w:val="false"/>
                  <w:color w:val="0000FF"/>
                  <w:sz w:val="20"/>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75">
              <w:r>
                <w:rPr>
                  <w:rStyle w:val="InternetLink"/>
                  <w:rFonts w:ascii="Times New Roman;sans-serif" w:hAnsi="Times New Roman;sans-serif"/>
                  <w:b w:val="false"/>
                  <w:color w:val="0000FF"/>
                  <w:sz w:val="20"/>
                  <w:u w:val="single"/>
                </w:rPr>
                <w:t>80</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78">
              <w:r>
                <w:rPr>
                  <w:rStyle w:val="InternetLink"/>
                  <w:rFonts w:ascii="Times New Roman;sans-serif" w:hAnsi="Times New Roman;sans-serif"/>
                  <w:b w:val="false"/>
                  <w:color w:val="0000FF"/>
                  <w:sz w:val="20"/>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78">
              <w:r>
                <w:rPr>
                  <w:rStyle w:val="InternetLink"/>
                  <w:rFonts w:ascii="Times New Roman;sans-serif" w:hAnsi="Times New Roman;sans-serif"/>
                  <w:b w:val="false"/>
                  <w:color w:val="0000FF"/>
                  <w:sz w:val="20"/>
                  <w:u w:val="single"/>
                </w:rPr>
                <w:t>80</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hyperlink w:anchor="idfb922b5c44e4373bae8123a2b3eac7b_18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81">
              <w:r>
                <w:rPr>
                  <w:rStyle w:val="InternetLink"/>
                  <w:rFonts w:ascii="Times New Roman;sans-serif" w:hAnsi="Times New Roman;sans-serif"/>
                  <w:b w:val="false"/>
                  <w:color w:val="0000FF"/>
                  <w:sz w:val="20"/>
                  <w:u w:val="single"/>
                </w:rPr>
                <w:t>81</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8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84">
              <w:r>
                <w:rPr>
                  <w:rStyle w:val="InternetLink"/>
                  <w:rFonts w:ascii="Times New Roman;sans-serif" w:hAnsi="Times New Roman;sans-serif"/>
                  <w:b w:val="false"/>
                  <w:color w:val="0000FF"/>
                  <w:sz w:val="20"/>
                  <w:u w:val="single"/>
                </w:rPr>
                <w:t>81</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87">
              <w:r>
                <w:rPr>
                  <w:rStyle w:val="InternetLink"/>
                  <w:rFonts w:ascii="Times New Roman;sans-serif" w:hAnsi="Times New Roman;sans-serif"/>
                  <w:b w:val="false"/>
                  <w:color w:val="0000FF"/>
                  <w:sz w:val="20"/>
                  <w:u w:val="single"/>
                </w:rPr>
                <w:t>Principal Accounting Fees and Services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87">
              <w:r>
                <w:rPr>
                  <w:rStyle w:val="InternetLink"/>
                  <w:rFonts w:ascii="Times New Roman;sans-serif" w:hAnsi="Times New Roman;sans-serif"/>
                  <w:b w:val="false"/>
                  <w:color w:val="0000FF"/>
                  <w:sz w:val="20"/>
                  <w:u w:val="single"/>
                </w:rPr>
                <w:t>81</w:t>
              </w:r>
            </w:hyperlink>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PART IV</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90">
              <w:r>
                <w:rPr>
                  <w:rStyle w:val="InternetLink"/>
                  <w:rFonts w:ascii="Times New Roman;sans-serif" w:hAnsi="Times New Roman;sans-serif"/>
                  <w:b w:val="false"/>
                  <w:color w:val="0000FF"/>
                  <w:sz w:val="20"/>
                  <w:u w:val="single"/>
                </w:rPr>
                <w:t>Exhibits and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90">
              <w:r>
                <w:rPr>
                  <w:rStyle w:val="InternetLink"/>
                  <w:rFonts w:ascii="Times New Roman;sans-serif" w:hAnsi="Times New Roman;sans-serif"/>
                  <w:b w:val="false"/>
                  <w:color w:val="0000FF"/>
                  <w:sz w:val="20"/>
                  <w:u w:val="single"/>
                </w:rPr>
                <w:t>82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90">
              <w:r>
                <w:rPr>
                  <w:rStyle w:val="InternetLink"/>
                  <w:rFonts w:ascii="Times New Roman;sans-serif" w:hAnsi="Times New Roman;sans-serif"/>
                  <w:b w:val="false"/>
                  <w:color w:val="0000FF"/>
                  <w:sz w:val="20"/>
                  <w:u w:val="single"/>
                </w:rPr>
                <w:t>Form 10-K Summary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93">
              <w:r>
                <w:rPr>
                  <w:rStyle w:val="InternetLink"/>
                  <w:rFonts w:ascii="Times New Roman;sans-serif" w:hAnsi="Times New Roman;sans-serif"/>
                  <w:b w:val="false"/>
                  <w:color w:val="0000FF"/>
                  <w:sz w:val="20"/>
                  <w:u w:val="single"/>
                </w:rPr>
                <w:t>85</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fb922b5c44e4373bae8123a2b3eac7b_196">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b922b5c44e4373bae8123a2b3eac7b_196">
              <w:r>
                <w:rPr>
                  <w:rStyle w:val="InternetLink"/>
                  <w:rFonts w:ascii="Times New Roman;sans-serif" w:hAnsi="Times New Roman;sans-serif"/>
                  <w:b w:val="false"/>
                  <w:color w:val="0000FF"/>
                  <w:sz w:val="20"/>
                  <w:u w:val="single"/>
                </w:rPr>
                <w:t>86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herein to “Pentair,” the “Company,” and such words as “we,” “us,” and “our” include Pentair plc and its consolidated subsidiaries.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68" w:before="0" w:after="0"/>
        <w:jc w:val="both"/>
        <w:rPr/>
      </w:pPr>
      <w:r>
        <w:rPr>
          <w:rFonts w:ascii="Times New Roman;sans-serif" w:hAnsi="Times New Roman;sans-serif"/>
          <w:b w:val="false"/>
          <w:color w:val="000000"/>
          <w:sz w:val="20"/>
          <w:shd w:fill="FFFFFF" w:val="clear"/>
        </w:rPr>
        <w:t>At Pentair, we help the world sustainably move, improve and enjoy water, life’s most essential resource. From our residential and commercial water solutions to industrial water managemen</w:t>
      </w:r>
      <w:r>
        <w:rPr>
          <w:rFonts w:ascii="Times New Roman;sans-serif" w:hAnsi="Times New Roman;sans-serif"/>
          <w:b w:val="false"/>
          <w:color w:val="000000"/>
          <w:sz w:val="20"/>
        </w:rPr>
        <w:t>t and everything in between, Pentair is focused on smart, sustainable water solutions that help people and the planet thrive.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Pentair strategy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vision is to be the world’s most valued sustainable water solutions company for our employees, customers and shareholders. As a company, we: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Focus on growth in our core businesses and strategic initiatives;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Accelerate digital, innovation, technology and environmental, social and governance (“ESG”) investments;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Expedite growth and drive margin expansion through our Transformation Program;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Build a high performance growth culture and deliver on our commitments while living our Win Right values.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HISTORY AND DEVELOPMENT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Irish public limited company that was formed in 2014. We are the successor to Pentair Ltd., a Swiss corporation formed in 2012, and Pentair, Inc., a Minnesota corporation formed in 1966 and our wholly-owned subsidiary, under the Securities Exchange Act of 1934, as amended (the “Exchange Act”). Although our jurisdiction of organization is Ireland, we manage our affairs so that we are centrally managed and controlled in the United Kingdom (the “U.K.”) and therefore have our tax residency in the U.K. </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July 2022, as part of our Water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w:t>
      </w:r>
      <w:r>
        <w:rPr>
          <w:rFonts w:ascii="Times New Roman;sans-serif" w:hAnsi="Times New Roman;sans-serif"/>
          <w:b w:val="false"/>
          <w:color w:val="000000"/>
          <w:sz w:val="20"/>
        </w:rPr>
        <w:t>$1.6 billion</w:t>
      </w:r>
      <w:r>
        <w:rPr>
          <w:color w:val="000000"/>
          <w:shd w:fill="FFFFFF" w:val="clear"/>
        </w:rPr>
        <w:t xml:space="preserve"> </w:t>
      </w:r>
      <w:r>
        <w:rPr>
          <w:rFonts w:ascii="Times New Roman;sans-serif" w:hAnsi="Times New Roman;sans-serif"/>
          <w:b w:val="false"/>
          <w:color w:val="000000"/>
          <w:sz w:val="20"/>
          <w:shd w:fill="FFFFFF" w:val="clear"/>
        </w:rPr>
        <w:t>in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registered principal office is located at Regal House, 70 London Road, Twickenham, London, TW13QS United Kingdom. Our management office in the United States (“U.S.”) is located at 5500 Wayzata Boulevard, Suite 900, Golden Valley, Minnesota.</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BUSINESS AND PRODUCTS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Pentair is comprised of three reportable business segments: Flow, Water Solutions and Pool. The following is a brief description of each of the Company’s reportable segments and business activities.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Flow</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Flow segment (formerly named the Industrial &amp; Flow Technologies segment) delivers water where it is needed, when it is needed, more efficiently and transforms waste into value. 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December 31, 2023, our residential and irrigation flow businesses, which sell pumps focused on residential and agriculture, comprised approximately 39% of Flow sales. Another approximately 27% of Flow sales were from the commercial &amp; infrastructure flow businesses, which sell larger pumps focused on fire suppression, wastewater and flood control. The remaining approximately 34% of Flow sales were from the industrial solutions business, comprised of applications focused on industrial process filtration and sustainable gas.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Flow brand names include Pentair Flow, Aurora, Berkeley, Codeline, Fairbanks-Nijhuis, Haffmans, Hydromatic, Hypro, Jung Pumpen, Myers, Sta-Rite, Shurflo, Südmo and X-Flow.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Customers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Flow customers include businesses engaged with end users, and wholesale and retail distribution in the residential, commercial, food and beverage, and industrial vertical markets.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experienced increased demand following warm weather trends for residential water supply and agricultural products. Such demand historically has been at seasonal highs from April to August. Seasonal effects may vary from year to year and are impacted by weather patterns, particularly by temperatures, heavy flooding and droughts.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Flow faces numerous domestic and international competitors, some of which have substantially greater resources directed to the vertical markets in which we compete. Competition focuses on brand names, product performance (including energy-efficient offerings and required specifications), quality, service and price. We compete by offering a wide variety of innovative and high-quality products, which are competitively priced.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Water Solutions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Water Solutions segment provides great tasting, higher-quality water and ice while helping people use water more 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water management and filtration in foodservice operations. In addition, our water solutions business also provides installation and preventative services for water management solutions for commercial operators.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fiscal year ended December 31, 2023, our commercial business, which products include pressure tanks, control valves, activated carbon products, commercial ice machines, conventional filtration products, and commercial point-of-entry and point-of-use water treatment systems, comprised approximately 67% of Water Solutions sales. In addition, our commercial business also provides installation and preventative services for water management solutions for commercial operators. The other approximately 33% of Water Solutions sales were associated with our residential business, which primarily focuses on products associated with residential point of entry and point of use filtration and softening systems.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Water Solutions brand names include Pentair Water Solutions, Everpure, Fleck, KBI, Manitowoc Ice, Pentek and RainSoft.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Water Solutions customers include businesses engaged in wholesale and retail distribution in the residential, commercial and food and beverage vertical markets. Customers also include end users, consumers, commercial operators and original equipment manufacturers.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seasonal demand with several end customers and end users within Water Solutions. End-user demand for water solution products generally follows warm weather trends and is at seasonal highs from April to September.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Water Solutions faces numerous domestic and international competitors, some of which have substantially greater resources directed to the vertical markets in which we compete. Competition focuses on brand names, product performance (including required specifications), quality and price. We compete by offering a wide variety of innovative and high-quality products, which are competitively priced. We believe our distribution channels and reputation for quality also provide us a competitive advantage.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Pool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Pool segment provides innovative, energy-efficient pool solutions to help people more sustainably enjoy water. This 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and construction and aquaculture solutions.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brand names associated with the Pool segment are Pentair Pool, Kreepy Krauly, Pleatco and Sta-Rite.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Pool customers include businesses engaged in wholesale and retail distribution in the residential and commercial vertical markets. Customers in the residential and commercial verticals also include end users and consumers.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One customer in the Pool business represented approximately 15% and 20% of our consolidated net sales in 2023 and 2022, respectively.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historically experienced seasonal demand with several end customers and end users. End-user demand for pool equipment follows warm weather trends and historically has been at seasonal highs from April to August. The magnitude of the sales spike has historically been partially mitigated by employing some advance sale “early buy” programs (generally including extended payment terms and/or additional discounts).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Pool faces numerous domestic and international competitors, some of which have substantially greater resources directed to the vertical markets in which we compete. Competition focuses on brand names, product performance (including energy-efficient offerings and required specifications), quality, service and price. We compete by offering a wide variety of innovative and high-quality products, which are competitively priced. We believe our distribution channels and reputation for quality also provide us a competitive advantage.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INFORMATION REGARDING ALL REPORTABLE SEGMENTS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research and development activities primarily in our own facilities. These efforts consist mostly of the development of new products, product applications and manufacturing processes.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Raw materials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materials we use in manufacturing our products are mild steel, stainless steel, electronic components (including drives and motors), plastics (resins, fiberglass, epoxies), metals and paint (powder and liquid). In addition to the purchase of raw materials, we purchase some finished goods for distribution for resale.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the materials we use in various manufacturing processes on the open market. We believe the majority of such materials are available through multiple sources and in adequate supply. We have certain long-term commitments, principally price commitments, for the purchase of various component parts and raw materials and continue to work with our suppliers to maintain delivery continuity. Alternate sources of supply are available for most materials and we believe that the termination of any of these commitments would not have a material adverse effect on our financial position, results of operations or cash flows. Global container transportation delays may also affect raw material availability and lead times.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commodities, such as metals and resins, are subject to commodity market and duty-driven price fluctuations. We manage these fluctuations through several mechanisms, including long-term agreements with price adjustment clauses for significant commodity market movements in certain circumstances. Prices for raw materials, such as metals, may trend higher in the near future due to the volatile market trends.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Patents, non-compete agreements, proprietary technologies, customer relationships, trademarks, trade names and brand names are important to our business. However, we do not regard our business as being materially dependent upon any single patent, non-compete agreement, proprietary technology, customer relationship, trademark, trade name or brand name.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Patents, patent applications and license agreements will expire or terminate over time by operation of law, in accordance with their terms or otherwise. We do not expect the termination of patents, patent applications or license agreements to have a material adverse effect on our financial position, results of operations or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Human capital resources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success depends on our ability to attract, develop and retain strong employees. We believe a deep-rooted culture energizes our employees to make a difference within and beyond the workplace. We strive to be the destination for top talent, and work hard to develop and retain high performers throughout their career. We also believe our Win Right values, positive culture and commitment to inclusion and diversity foster innovation and curiosity, which, in turn, contribute to us being an industry leader.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10,500 employees worldwide, of which approximately 49% are located in the U.S. A small portion of our U.S. employees are unionized, while outside the U.S., we have employees in certain countries, particularly in Europe, that are represented by an employee representative organization, such as a union, works council or employee association.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engagement and development</w:t>
      </w:r>
    </w:p>
    <w:p>
      <w:pPr>
        <w:pStyle w:val="TextBody"/>
        <w:bidi w:val="0"/>
        <w:spacing w:lineRule="auto" w:line="288" w:before="0" w:after="0"/>
        <w:jc w:val="both"/>
        <w:rPr/>
      </w:pPr>
      <w:r>
        <w:rPr>
          <w:rFonts w:ascii="Times New Roman;sans-serif" w:hAnsi="Times New Roman;sans-serif"/>
          <w:b w:val="false"/>
          <w:color w:val="000000"/>
          <w:sz w:val="20"/>
        </w:rPr>
        <w:t>Engaging our employees and developing their careers is important to our long-term success and ties directly to our Win Right culture and values. We support our Win Right culture by providing dedicated culture training to all our employees globally.</w:t>
      </w:r>
      <w:r>
        <w:rPr>
          <w:color w:val="000000"/>
        </w:rPr>
        <w:t xml:space="preserve"> </w:t>
      </w:r>
      <w:r>
        <w:rPr>
          <w:rFonts w:ascii="Times New Roman;sans-serif" w:hAnsi="Times New Roman;sans-serif"/>
          <w:b w:val="false"/>
          <w:color w:val="000000"/>
          <w:sz w:val="20"/>
        </w:rPr>
        <w:t>We engage with our employees and gather feedback about our employee programs, practices and policies through various approaches that include town hall meetings where Pentair leaders share strategies and perspectives; quarterly leadership meetings to help ensure our results and expectations are clearly communicated; and an annual senior leadership meeting to help drive growth and productivity initiatives, share best practices, and invest in our leaders. In addition, we conduct employee engagement and pulse surveys multiple times a year to gauge the level of engagement and actions needed on culture, the business, employee experience and retention.</w:t>
      </w:r>
      <w:r>
        <w:rPr>
          <w:color w:val="000000"/>
        </w:rPr>
        <w:t xml:space="preserve"> </w:t>
      </w:r>
      <w:r>
        <w:rPr>
          <w:rFonts w:ascii="Times New Roman;sans-serif" w:hAnsi="Times New Roman;sans-serif"/>
          <w:b w:val="false"/>
          <w:color w:val="000000"/>
          <w:sz w:val="20"/>
        </w:rPr>
        <w:t>We provide those insights transparently down to the manager level to drive quick insights, development and action planning to drive change.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Training and development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support employees in their career journey, we have developed and shared, through our dedicated development site, a number of tools and resources. We recently rolled out career pathing and development resources for all functions throughout Pentair. We support development annually with a dedicated career week, individual development planning and targeted development experiences supported through live training sessions; on-demand eLearning and virtual classrooms; and downloadable materials. Additionally, our annual talent management process supports employees to set objectives, receive feedback and development, and build development plans with their leaders.</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talent development efforts span across all levels of our organization, including our early career Leadership Development Program, a 36-month program in which future leaders participate in rotations intended to develop their capabilities through organization-wide exposure, and our Growth Manager development programs that prepare our new and experienced managers to be more effective and inclusive leaders at Pentair.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Inclusion and diversity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commitment to inclusion and diversity is part of living our Win Right values. Our success also depends on our ability to attract, engage and retain a diverse group of employees. We believe an inclusive and diverse workforce contributes different perspectives and innovative ideas that enable us to improve every day. We believe that every employee should be provided the same opportunity to be heard, respected, have a sense of belonging and contribute to our mission. Race, gender, ethnicity, country of origin, age, personal style, sexual orientation, physical ability, religion, life experiences and many more factors contribute to this diversity. Our Business Resource Groups have been put into place to help promote a culture of inclusion through employees providing feedback and sponsoring awareness, education and engagement.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statistics are a measure of our performance, and we are committed to advancing a diverse workplace. The following sets forth information regarding the diversity of our workforce as of December 31,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33"/>
        <w:gridCol w:w="733"/>
        <w:gridCol w:w="735"/>
        <w:gridCol w:w="1119"/>
        <w:gridCol w:w="1119"/>
        <w:gridCol w:w="1123"/>
        <w:gridCol w:w="1328"/>
        <w:gridCol w:w="1328"/>
        <w:gridCol w:w="1887"/>
      </w:tblGrid>
      <w:tr>
        <w:trPr/>
        <w:tc>
          <w:tcPr>
            <w:tcW w:w="8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Percent of workforce</w:t>
            </w:r>
          </w:p>
        </w:tc>
        <w:tc>
          <w:tcPr>
            <w:tcW w:w="4543"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xml:space="preserve">Percent of leadership roles </w:t>
            </w:r>
            <w:r>
              <w:rPr>
                <w:rFonts w:ascii="Times New Roman;sans-serif" w:hAnsi="Times New Roman;sans-serif"/>
                <w:b/>
                <w:color w:val="000000"/>
                <w:sz w:val="13"/>
              </w:rPr>
              <w:t>(3)</w:t>
            </w:r>
          </w:p>
        </w:tc>
      </w:tr>
      <w:tr>
        <w:trPr/>
        <w:tc>
          <w:tcPr>
            <w:tcW w:w="2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both"/>
              <w:rPr/>
            </w:pPr>
            <w:r>
              <w:rPr>
                <w:rFonts w:ascii="Times New Roman;sans-serif" w:hAnsi="Times New Roman;sans-serif"/>
                <w:b w:val="false"/>
                <w:color w:val="000000"/>
                <w:sz w:val="20"/>
              </w:rPr>
              <w:t>Minorities</w:t>
            </w:r>
            <w:r>
              <w:rPr>
                <w:color w:val="000000"/>
              </w:rPr>
              <w:t xml:space="preserve"> </w:t>
            </w:r>
            <w:r>
              <w:rPr>
                <w:rFonts w:ascii="Times New Roman;sans-serif" w:hAnsi="Times New Roman;sans-serif"/>
                <w:b w:val="false"/>
                <w:color w:val="000000"/>
                <w:sz w:val="13"/>
              </w:rPr>
              <w:t>(1)</w:t>
            </w:r>
          </w:p>
        </w:tc>
        <w:tc>
          <w:tcPr>
            <w:tcW w:w="3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4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r>
              <w:rPr>
                <w:rFonts w:ascii="Times New Roman;sans-serif" w:hAnsi="Times New Roman;sans-serif"/>
                <w:b w:val="false"/>
                <w:color w:val="000000"/>
                <w:sz w:val="20"/>
              </w:rPr>
              <w:t xml:space="preserve">Women </w:t>
            </w:r>
            <w:r>
              <w:rPr>
                <w:rFonts w:ascii="Times New Roman;sans-serif" w:hAnsi="Times New Roman;sans-serif"/>
                <w:b w:val="false"/>
                <w:color w:val="000000"/>
                <w:sz w:val="13"/>
              </w:rPr>
              <w:t>(2)</w:t>
            </w:r>
          </w:p>
        </w:tc>
        <w:tc>
          <w:tcPr>
            <w:tcW w:w="33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54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Inclusive of the following racial minority groups: Black/African American, Hispanic/Latino, American Indian/Alaskan Native, Asian, Native Hawaiian/Other Pacific Islander. Data for U.S. employee population only.</w:t>
            </w:r>
            <w:r>
              <w:rPr>
                <w:color w:val="000000"/>
              </w:rPr>
              <w:t xml:space="preserve"> </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Global data.</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8"/>
              </w:rPr>
              <w:t>Leadership roles are those of employees who are director level and above.</w:t>
            </w:r>
          </w:p>
        </w:tc>
      </w:tr>
    </w:tbl>
    <w:p>
      <w:pPr>
        <w:pStyle w:val="TextBody"/>
        <w:bidi w:val="0"/>
        <w:spacing w:lineRule="auto" w:line="288" w:before="180" w:after="283"/>
        <w:jc w:val="both"/>
        <w:rPr/>
      </w:pPr>
      <w:r>
        <w:rPr>
          <w:rFonts w:ascii="Times New Roman;sans-serif" w:hAnsi="Times New Roman;sans-serif"/>
          <w:b w:val="false"/>
          <w:color w:val="000000"/>
          <w:sz w:val="20"/>
        </w:rPr>
        <w:t>We take an integrated approach to supporting and promoting workplace inclusion and diversity including: ensuring leadership involvement and ownership; attracting and retaining diverse talent at all levels; fostering a globally aware, inclusive culture; and ensuring our practices are fair and nondiscriminatory. In addition, we promote an inclusive and diverse workplace through: a training called the “The Power of Inclusion”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Business Resource Groups led by employees; Pentair’s Code of Business Conduct and Ethics; and an Inclusion and Diversity Hub on our company’s intranet.</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 safety and wellness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providing a safe workplace for all of our employees. We encourage employees to “Stop Work” anytime there is a potential concern regarding worker safety, and promote an open door policy so that all of our employees feel free to speak to their manager if there are any potential health, safety, compliance or sustainability concerns. Additionally, each site maintains a confidential reporting process, and we encourage the use of the Ethics Hotline for employees to report anonymously potential safety concerns. All locations, enterprise wide, must meet and/or exceed regulatory agency standards as applicable to each site’s location.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U.S., all non-union full-time employees are eligible to receive the following benefits: short-term and long-term disability insurance; flexible and health savings accounts and wellness programs; health insurance (medical, pharmacy, dental); eight weeks paid parental leave for birth, adoptive and foster parents; two weeks paid caregiver leave; legal services; retirement benefits; stock ownership; tuition reimbursement; holidays; vacation and sick time. Union employee benefits vary by contract.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ESG (Environmental, Social and Governance)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leading provider of smart, sustainable water solutions and with a foundation of Win Right values, we recognize that the work we do and the products and services we provide help to improve lives and the environment around the world. Pentair strives to be a positive influence on the social and environmental issues of today. We are focused on building on our Win Right values and culture by further contributing to the development of a sustainable and responsible society that we believe will also drive our future growth. We are also focused on further integrating our sustainability goals throughout our business by creating accountability for our social responsibility strategy and shared commitments and targets. We have established a formal social responsibility program to further advance our social responsibility goals.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2020, Pentair completed a formal ESG assessment to identify ESG topics of importance to our shareholders, customers, suppliers, employees and communities. Through engagement with these stakeholders, internal business leaders and subject matter experts, we identified key ESG topic areas, which ultimately culminated in Pentair’s Social Responsibility Strategic Targets (“Strategic Targets”), which we announced in 2021. In 2023, Pentair completed a refreshed ESG assessment in alignment with the European Union’s Corporate Sustainability Reporting Directive (“CSRD”). This assessment supported the topics focused on for our Strategic Targets and they remain in effect. We expect to use the results of our updated ESG assessment for continued sustainability strategic planning and risk management, as well as to determine future disclosure requirements under CSRD.</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Annually, we publish a corporate responsibility report on our ESG and social responsibility activities and accomplishments, which can be found on our corporate website, and which is not incorporated by reference into this Annual Report on Form 10-K.</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lineRule="auto" w:line="288" w:before="0" w:after="0"/>
        <w:jc w:val="both"/>
        <w:rPr/>
      </w:pPr>
      <w:r>
        <w:rPr>
          <w:rFonts w:ascii="Times New Roman;sans-serif" w:hAnsi="Times New Roman;sans-serif"/>
          <w:b w:val="false"/>
          <w:color w:val="000000"/>
          <w:sz w:val="20"/>
        </w:rPr>
        <w:t>See ITEM 1A “Risk Factors –</w:t>
      </w:r>
      <w:r>
        <w:rPr>
          <w:color w:val="000000"/>
        </w:rPr>
        <w:t xml:space="preserve"> </w:t>
      </w:r>
      <w:r>
        <w:rPr>
          <w:rFonts w:ascii="Times New Roman;sans-serif" w:hAnsi="Times New Roman;sans-serif"/>
          <w:b w:val="false"/>
          <w:color w:val="000000"/>
          <w:sz w:val="20"/>
        </w:rPr>
        <w:t>We are exposed to potential environmental laws, liabilities and litigation.”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Captive insurance subsidiary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property and casualty insurance program is insured through our regulated wholly-owned captive insurance subsidiary, Penwald Insurance Company (“Penwald”). Reserves for policy claims are established based on actuarial projections of ultimate losses. Accruals with respect to liabilities insured by third parties, such as liabilities arising from acquired businesses, pre-Penwald liabilities and those of certain non-U.S. operations, are established.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Matters pertaining to Penwald are discussed in ITEM 8, Note 1 of the Notes to Consolidated Financial Statements – Insurance subsidiary, included in this Form 10-K.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Available information</w:t>
      </w:r>
    </w:p>
    <w:p>
      <w:pPr>
        <w:pStyle w:val="TextBody"/>
        <w:bidi w:val="0"/>
        <w:spacing w:lineRule="auto" w:line="288" w:before="0" w:after="180"/>
        <w:jc w:val="both"/>
        <w:rPr/>
      </w:pPr>
      <w:r>
        <w:rPr>
          <w:rFonts w:ascii="Times New Roman;sans-serif" w:hAnsi="Times New Roman;sans-serif"/>
          <w:b w:val="false"/>
          <w:color w:val="000000"/>
          <w:sz w:val="20"/>
        </w:rPr>
        <w:t>We make available free of charge (other than an investor’s own Internet access charges) through our Internet website (</w:t>
      </w:r>
      <w:r>
        <w:rPr>
          <w:rFonts w:ascii="Times New Roman;sans-serif" w:hAnsi="Times New Roman;sans-serif"/>
          <w:b w:val="false"/>
          <w:color w:val="000000"/>
          <w:sz w:val="20"/>
          <w:u w:val="single"/>
        </w:rPr>
        <w:t>https://www.pentair.com</w:t>
      </w:r>
      <w:r>
        <w:rPr>
          <w:rFonts w:ascii="Times New Roman;sans-serif" w:hAnsi="Times New Roman;sans-serif"/>
          <w:b w:val="false"/>
          <w:color w:val="000000"/>
          <w:sz w:val="20"/>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(the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pStyle w:val="TextBody"/>
        <w:bidi w:val="0"/>
        <w:spacing w:lineRule="auto" w:line="288" w:before="0" w:after="180"/>
        <w:jc w:val="both"/>
        <w:rPr/>
      </w:pPr>
      <w:r>
        <w:rPr>
          <w:rFonts w:ascii="Times New Roman;sans-serif" w:hAnsi="Times New Roman;sans-serif"/>
          <w:b w:val="false"/>
          <w:color w:val="000000"/>
          <w:sz w:val="20"/>
        </w:rPr>
        <w:t xml:space="preserve">In addition, the SEC maintains an internet site that contains reports, proxy and information statements, and other information regarding issuers that file electronically with the SEC, and you may access any materials we file with the SEC through their website at </w:t>
      </w:r>
      <w:r>
        <w:rPr>
          <w:rFonts w:ascii="Times New Roman;sans-serif" w:hAnsi="Times New Roman;sans-serif"/>
          <w:b w:val="false"/>
          <w:color w:val="000000"/>
          <w:sz w:val="20"/>
          <w:u w:val="single"/>
        </w:rPr>
        <w:t>www.sec.gov</w:t>
      </w:r>
      <w:r>
        <w:rPr>
          <w:rFonts w:ascii="Times New Roman;sans-serif" w:hAnsi="Times New Roman;sans-serif"/>
          <w:b w:val="false"/>
          <w:color w:val="000000"/>
          <w:sz w:val="20"/>
        </w:rPr>
        <w:t>.</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consider all of the information in this document and the following risk factors before making an investment decision regarding our securities. Any of the following risks could materially and adversely affect our business, financial condition, results of operations, cash flows and the actual outcome of matters as to which forward-looking statements are made in this document.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Risks Relating to Our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General global economic and business conditions affect demand for our products.</w:t>
      </w:r>
    </w:p>
    <w:p>
      <w:pPr>
        <w:pStyle w:val="TextBody"/>
        <w:bidi w:val="0"/>
        <w:spacing w:lineRule="auto" w:line="288" w:before="0" w:after="0"/>
        <w:jc w:val="both"/>
        <w:rPr/>
      </w:pPr>
      <w:r>
        <w:rPr>
          <w:rFonts w:ascii="Times New Roman;sans-serif" w:hAnsi="Times New Roman;sans-serif"/>
          <w:b w:val="false"/>
          <w:color w:val="000000"/>
          <w:sz w:val="20"/>
        </w:rPr>
        <w:t xml:space="preserve">We compete in various geographic regions and product markets around the world. Among these, the most significant are global industrial, commercial, and residential markets. We have experienced, and expect to continue to experience, fluctuations in revenues and results of operations due to economic and business cycles. In particular, during 2021, we had higher than anticipated demand in our pool business and certain parts of our residential and commercial businesses. However, such demand in our pool and other residential businesses declined during 2022 and 2023 as we saw inventory correcting within our residential distribution channels and may not be repeated in future periods. Important factors for our businesses and the businesses of our customers include the overall strength of the global economy and various regional economies and our customers’ confidence in these economies, industrial and governmental capital spending, the strength of residential and commercial real estate markets, residential housing markets, the commercial business climate, global supply chain stability, unemployment rates, availability of consumer and commercial financing, interest rates, inflation rates, and energy and commodity prices. </w:t>
      </w:r>
      <w:r>
        <w:rPr>
          <w:rFonts w:ascii="Times New Roman;sans-serif" w:hAnsi="Times New Roman;sans-serif"/>
          <w:b w:val="false"/>
          <w:color w:val="000000"/>
          <w:sz w:val="20"/>
          <w:shd w:fill="FFFFFF" w:val="clear"/>
        </w:rPr>
        <w:t xml:space="preserve">Recessions, economic downturns, inflation, slowing economic growth and social and political instability in the industries and/or markets where we compete could negatively affect our revenues and financial performance in future periods, result in future restructuring charges, and adversely impact our ability to grow or sustain our business. For example, current macroeconomic and political instability caused by global supply chain disruptions, inflation and the strengthening of the U.S. dollar have and could continue to adversely impact our results of operations. In addition, military conflicts, such as those between Russia and Ukraine and Hamas and Israel, and their impact on economies may adversely impact our results of operations. </w:t>
      </w:r>
      <w:r>
        <w:rPr>
          <w:rFonts w:ascii="Times New Roman;sans-serif" w:hAnsi="Times New Roman;sans-serif"/>
          <w:b w:val="false"/>
          <w:color w:val="000000"/>
          <w:sz w:val="20"/>
        </w:rPr>
        <w:t>The businesses of many of our industrial customers are to varying degrees cyclical and have experienced periodic downturns. While we attempt to minimize our exposure to economic or market fluctuations by serving a balanced mix of end markets and geographic regions, any of the above factors, individually or in the aggregate, or a significant or sustained downturn in a specific end market or geographic region could reduce demand for our products and services, which could have a material adverse effect on our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compete in attractive markets with a high level of competition, which may result in pressure on our profit margins and limit our ability to maintain or increase the market share of our products.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and services are geographically diverse and highly competitive. We compete against large and well-established national and global companies, regional and local companies, diversified and pure-play companies, and lower cost manufacturers. Competition may also result from new entrants into the markets we serve offering products and/or services that compete with ours. We compete based on technical expertise, intellectual property, reputation for quality and reliability, timeliness of delivery, previous installation history, contractual terms, service offerings, customer experience and service, and price. Some of our competitors attempt to compete based primarily on price, localized expertise and local relationships, especially with respect to products and applications that do not require a great deal of engineering or technical expertise. In addition, during economic downturns, average selling prices tend to decrease as market participants compete more aggressively on price. Moreover, demand for our products, which impacts profit margins, is affected by changes in customer order patterns, such as changes in the levels of inventory maintained by customers and the timing of customer purchases, adoption of new technology and connected products, and changes in customers’ preferences for our products, including the success of products offered by our competitors. Customer purchasing behavior may also shift by product mix in the market or result in a shift to new distribution channels. If we are unable to continue to differentiate our products, services and solutions or adapt to changes in customer purchasing behavior or shifts in distribution channels, or if we are unable to maintain our desired pricing or forced to incur additional costs to remain competitive, it could have a material adverse effect on our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future growth is dependent upon our ability to transform and adapt our products, services, solutions, and organization to meet the demands of local markets in both developed and emerging economies and by developing or acquiring new technologies that achieve market acceptance with acceptable margins.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global markets that are characterized by customer demand that is often global in scope but localized in delivery. We compete with thousands of smaller regional and local companies that may be positioned to offer products produced at lower cost than ours, or to capitalize on highly localized relationships and knowledge that are difficult for us to replicate. Also, in several emerging markets, potential customers prefer local suppliers, in some cases because of existing relationships and in other cases because of local legal restrictions or incentives that favor local businesses. In addition, we need to be flexible to adapt our products to ever changing customer preferences, including those relating to regulatory, climate change and social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responsibility matters. 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 Accordingly, our future success depends upon a number of factors, including our ability to transform and adapt our products, services, solutions, organization, workforce and sales strategies to fit localities throughout the world, particularly in high growth emerging markets; identify emerging technological and other trends in our target end markets; and develop or acquire competitive technologies, products, services, and solutions and bring them to market quickly and cost-effectively. </w:t>
      </w:r>
      <w:r>
        <w:rPr>
          <w:rFonts w:ascii="Times New Roman;sans-serif" w:hAnsi="Times New Roman;sans-serif"/>
          <w:b w:val="false"/>
          <w:color w:val="000000"/>
          <w:sz w:val="20"/>
          <w:shd w:fill="FFFFFF" w:val="clear"/>
        </w:rPr>
        <w:t>We must also monitor disruptive technologies, such as artificial intelligence, and business models, and we may not be able to take advantage of such technologies, including if we are not able to attract and retain talent that would enable us to leverage such technologies. In addition, the markets for our products, services and solutions may not develop or grow as we anticipate. The failure of our products, services or solutions to gain market acceptance due to more attractive offerings by our competitors, the introduction of new competitors to the market with new or innovative product offerings or the failure to address any of the above factors</w:t>
      </w:r>
      <w:r>
        <w:rPr>
          <w:color w:val="000000"/>
        </w:rPr>
        <w:t xml:space="preserve"> </w:t>
      </w:r>
      <w:r>
        <w:rPr>
          <w:rFonts w:ascii="Times New Roman;sans-serif" w:hAnsi="Times New Roman;sans-serif"/>
          <w:b w:val="false"/>
          <w:color w:val="000000"/>
          <w:sz w:val="20"/>
        </w:rPr>
        <w:t>could have a material adverse effect on our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identify, finance and complete suitable acquisitions and investments, and any completed acquisitions and investments may be unsuccessful or consume significant resources.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acquiring businesses and making investments that complement our existing businesses. We continue to analyze and evaluate the acquisition of strategic businesses or product lines with the potential to strengthen our industry position or enhance our existing set of product, service, and solution offerings. We may not be able to identify suitable acquisition candidates, obtain financing or have sufficient cash necessary for acquisitions or successfully complete acquisitions in the future. Acquisitions and investments may involve significant cash expenditures, debt incurrences, equity issuances, operating losses and expenses. Acquisitions involve numerous other risks, including: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diversion of management time and attention from daily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difficulties integrating acquired businesses, technologies and personnel into our business;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difficulties in obtaining and verifying the financial statements and other business information of acquired businesses;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inability to obtain required regulatory approvals;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potential loss of key employees, key contractual relationships or key customers of acquired companies or of ours;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assumption of the liabilities and exposure to unforeseen liabilities of acquired companies;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dilution of interests of holders of our shares through the issuance of equity securities or equity-linked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may be difficult for us to integrate acquired businesses efficiently into our business operations. Any acquisitions or investments may not be successful or realize the intended benefits and may ultimately result in impairment charges or have a material adverse effect on our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may not achieve some or all of the expected benefits of our business initiatives.</w:t>
      </w:r>
    </w:p>
    <w:p>
      <w:pPr>
        <w:pStyle w:val="TextBody"/>
        <w:bidi w:val="0"/>
        <w:spacing w:lineRule="auto" w:line="288" w:before="0" w:after="0"/>
        <w:jc w:val="both"/>
        <w:rPr/>
      </w:pPr>
      <w:r>
        <w:rPr>
          <w:rFonts w:ascii="Times New Roman;sans-serif" w:hAnsi="Times New Roman;sans-serif"/>
          <w:b w:val="false"/>
          <w:color w:val="000000"/>
          <w:sz w:val="20"/>
        </w:rPr>
        <w:t>During 2023 and 2022, we initiated and continued execution of certain business initiatives aimed at reducing our fixed cost structure and realigning our business. During 2021, we also launched and committed resources to a program designed to accelerate growth and drive margin expansion through transformation of our business model to drive operational excellence, reduce complexity and streamline our processes. As a result, we have incurred and expect to continue to incur in the future substantial expense, including transformation costs that include professional services, project management and related design and execution charges, as well as costs related to both labor and non-labor restructuring and IT investments, and restructuring charges. We may not be able to achieve accelerated growth and margin expansion or operating efficiencies to reduce costs or realize benefits that we anticipated in connection with these initiatives. If we are unable to execute these initiatives as planned, we may not realize all or any of the anticipated benefits, which could have a material adverse effect on our business, financial condition, results of operations and cash flows</w:t>
      </w:r>
      <w:r>
        <w:rPr>
          <w:rFonts w:ascii="Times New Roman;sans-serif" w:hAnsi="Times New Roman;sans-serif"/>
          <w:b w:val="false"/>
          <w:color w:val="000000"/>
          <w:sz w:val="22"/>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may experience cost and other inflation.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prior years, we experienced inflationary cost increases of raw materials, such as metals, resins, drives and motors, as well as increases in logistics, energy, insurance and labor costs (including wages, pensions and health care benefits), and due to the current volatile nature of the market, we expect inflationary cost increases to continue in 2024. We strive for productivity improvements and implement increases in selling prices to help mitigate cost increases. We continue to implement operational initiatives to mitigate the impacts of inflation and continuously reduce our costs. However, these actions may not be successful in managing our costs or increasing our productivity and we anticipate inflation to continue with respect to raw materials as well as labor and logistics. Continued cost inflation or failure of our initiatives to increase prices, generate cost savings or improve productivity could have a material adverse effect on our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Interruption of our supply chain could affect our ability to produce or deliver our products and could negatively impact our business and profitability.</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During 2023, 2022 and 2021, we experienced supply chain challenges, including increased lead times for raw materials due to availability constraints and high demand for these materials. </w:t>
      </w:r>
      <w:r>
        <w:rPr>
          <w:rFonts w:ascii="Times New Roman;sans-serif" w:hAnsi="Times New Roman;sans-serif"/>
          <w:b w:val="false"/>
          <w:color w:val="000000"/>
          <w:sz w:val="20"/>
        </w:rPr>
        <w:t>These disruptions or our failure to effectively respond to them have increased and may continue to increase product, logistics or labor costs, limit availability of raw materials or cause delays in delivering our backlog or may cause an inability to deliver products to our customers or meet customer demand.</w:t>
      </w:r>
      <w:r>
        <w:rPr>
          <w:color w:val="000000"/>
          <w:shd w:fill="FFFFFF" w:val="clear"/>
        </w:rPr>
        <w:t xml:space="preserve"> </w:t>
      </w:r>
      <w:r>
        <w:rPr>
          <w:rFonts w:ascii="Times New Roman;sans-serif" w:hAnsi="Times New Roman;sans-serif"/>
          <w:b w:val="false"/>
          <w:color w:val="000000"/>
          <w:sz w:val="20"/>
          <w:shd w:fill="FFFFFF" w:val="clear"/>
        </w:rPr>
        <w:t xml:space="preserve">While we have elevated our engagement with our suppliers and used secondary suppliers and new methods of procurement where available to mitigate the supply chain pressures, supply chain challenges may continue in the future. In addition, as we execute on our ongoing Transformation Program, we may experience costs as a result of changing to new suppliers. </w:t>
      </w:r>
      <w:r>
        <w:rPr>
          <w:rFonts w:ascii="Times New Roman;sans-serif" w:hAnsi="Times New Roman;sans-serif"/>
          <w:b w:val="false"/>
          <w:color w:val="000000"/>
          <w:sz w:val="20"/>
        </w:rPr>
        <w:t>Any material interruption in our supply chain, such as material interruption of the supply of raw materials and components due to the casualty loss of any of our manufacturing plants; interruptions in service by our third-party logistic service providers or common carriers that ship goods within our distribution channels; unexpected delays in shipping or processing through customs of goods; increased logistics costs, including air freight; lack of availability of marine cargo insurance for shipments in certain geographies due to hostilities; trade restrictions, such as increased tariffs or quotas, embargoes or customs restrictions or inspections; or other unexpected or uncontrollable events that cause a material interruption in our supply chain such as pandemics (including COVID-19); social or labor unrest; natural disasters; or political disputes, international hostilities and military conflicts; could negatively affect our ability to produce or deliver our products and have a negative material impact on our business and our profitability. Additionally, our raw materials and components are sourced from a wide variety of domestic and international business partners. We rely on these suppliers to provide high quality products and to comply with applicable laws. Our ability to find qualified suppliers who meet our standards and supply products in a timely and efficient manner may be a challenge, especially with respect to raw materials and components sourced from outside the U.S. and from countries or regions with diminished infrastructure, developing or failing economies or which are experiencing political instability or social unrest. For certain products, we may rely on one or very few suppliers. A supplier's failure to meet our standards, provide products in a timely and efficient manner, or comply with applicable laws is beyond our control. In addition, our competitors may be less reliant on third-party suppliers than we are, which may give such competitors more control over their supply chain and lead times for manufacturing products. These issues could have a material adverse effect on our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political, regulatory, economic, trade, and other risks that arise from operating a multinational business.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outside of the U.S. for the year ended December 31, 2023 accounted for 31% of our net sales. Further, most of our businesses obtain some products, components and raw materials from non-U.S. suppliers. Accordingly, our business is subject to the political, regulatory, economic, trade, and other risks that are inherent in operating in, and purchasing from, numerous countries. These risks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changes in general economic and political conditions in countries where we operate or purchase from, particularly in emerging markets;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relatively more severe economic conditions in some international markets than in the U.S.;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imposition of sanctions, tariffs, duties, exchange controls, currency restrictions or other trade restrictions;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changes in tax treaties, laws or rulings that could have a material adverse impact on our effective tax rate;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difficulty of enforcing agreements and collecting receivables through non-U.S. legal systems;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difficulty of communicating and monitoring evolving standards and directives across our product lines, services, and global facilities;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difficulty of ensuring that our products, services and supply chains meet ever-changing regional regulations and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trade protection measures and import or export licensing requirements and restrictions;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possibility of military conflicts or terrorist action affecting us, our operations, supply chains, our end-markets or economies generally;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threat of nationalization and expropriation;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changes due to nationalist consumer sentiment;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difficulty in staffing and managing widespread operations in non-U.S. labor markets;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limitations on repatriation of earnings or other regionally-imposed capital requirements;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difficulty of protecting intellectual property in non-U.S. countries;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changes in and required compliance with a variety of non-U.S. laws and regulations, some of which may be incompatible with each other or U.S. laws and regulations.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anticipate and effectively manage these and other risks. We cannot assure that these and other factors will not have a material adverse effect on our international operations or on our business as a whole.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U.S. or foreign government administrative policy, including changes to existing trade agreements, could have a material adverse effect on us.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changes to U.S. or foreign government administrative policy, there may be changes to existing trade agreements; greater restrictions on free trade generally; significant increases in tariffs on goods including those imported into the U.S., particularly tariffs on products manufactured in Mexico, China, or other countries where we purchase, have operations or manufacture or sell products; prohibitions or restrictions on doing business with certain entities, including those with certain relationships with China; and adverse responses by foreign governments to U.S. trade policy, among other possible changes. It remains unclear what the U.S. administration or foreign governments, including China, will or will not do with respect to tariffs or international trade agreements and policies. A trade war; other governmental action related to tariffs or international trade agreements; changes in U.S. social, political, regulatory and economic conditions or in laws and policies governing foreign trade, manufacturing, development and investment in the territories and countries where we currently purchase, have operations or manufacture and sell products; and any resulting negative sentiments towards the U.S. as a result of such changes, could have a material adverse effect on our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Intellectual property challenges may hinder our ability to develop, engineer and market our products.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Patents, non-compete agreements, proprietary technologies, customer relationships, trademarks, trade names and brand names are important to our business. Intellectual property protections, however, may not preclude competitors from developing products like ours, or from challenging our names or products. Our pending patent, copyright, and trademark registration applications may not be accepted, or competitors may challenge the validity or scope of our patents, copyrights or trademarks. In addition, our patents, copyrights, trademarks and other intellectual property rights may not provide us a significant competitive advantage. Furthermore, our business strategy also includes expanding our smart products and Internet of Things offerings and there are many other companies that hold patents in this space. Over the past few years, we have noticed an increasing tendency for participants in our markets, including competitors, to use challenges to intellectual property to compete. Patent and trademark challenges increase our costs to develop, engineer and market our products. We may need to spend significant resources monitoring, enforcing and defending, including through litigation, our intellectual property rights, and we may or may not be able to detect infringement by third parties. If we fail to successfully enforce our intellectual property rights or register new patents, our competitive position could suffer, which could have a material adverse effect on our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have significant goodwill and intangible assets and future impairment of our goodwill and intangible assets could have a material adverse effect on our results of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test goodwill and other indefinite-lived intangible assets for impairment on at least an annual basis, and more frequently if circumstances warrant. As of December 31, 2023, our goodwill and intangible assets were $4,317.0 million and represented approximately 66% of our total assets. Declines in fair market value could result in future goodwill and intangible asset impairment charges.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 loss of, or material cancellation, reduction, or delay in purchases by or delivery of products to, one or more of our largest customers could harm our business.</w:t>
      </w:r>
    </w:p>
    <w:p>
      <w:pPr>
        <w:pStyle w:val="TextBody"/>
        <w:bidi w:val="0"/>
        <w:spacing w:lineRule="auto" w:line="288" w:before="0" w:after="0"/>
        <w:jc w:val="both"/>
        <w:rPr/>
      </w:pPr>
      <w:r>
        <w:rPr>
          <w:rFonts w:ascii="Times New Roman;sans-serif" w:hAnsi="Times New Roman;sans-serif"/>
          <w:b w:val="false"/>
          <w:color w:val="000000"/>
          <w:sz w:val="20"/>
        </w:rPr>
        <w:t xml:space="preserve">Our net sales to our largest customer represented approximately </w:t>
      </w:r>
      <w:r>
        <w:rPr>
          <w:rFonts w:ascii="Times New Roman;sans-serif" w:hAnsi="Times New Roman;sans-serif"/>
          <w:b w:val="false"/>
          <w:color w:val="000000"/>
          <w:sz w:val="18"/>
        </w:rPr>
        <w:t>15%</w:t>
      </w:r>
      <w:r>
        <w:rPr>
          <w:color w:val="000000"/>
        </w:rPr>
        <w:t xml:space="preserve"> </w:t>
      </w:r>
      <w:r>
        <w:rPr>
          <w:rFonts w:ascii="Times New Roman;sans-serif" w:hAnsi="Times New Roman;sans-serif"/>
          <w:b w:val="false"/>
          <w:color w:val="000000"/>
          <w:sz w:val="20"/>
        </w:rPr>
        <w:t xml:space="preserve">of our consolidated net sales in 2023. While we do not have any other customers that accounted for more than 10% of our consolidated net sales in 2023, we have other customers that are key to the success of our business. Our concentration of sales to a relatively small number of larger customers makes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relationship with each of these customers important to our business. Our success is dependent on retaining these customers, which requires us to successfully manage relationships and anticipate the needs of our customers in the channels in which we sell our products. Our customers also may be impacted by economic conditions in the industries of those customers, which could result in reduced demand for or a delay in purchases of our products. In addition, our customers may cancel orders for purchases of our products or may not order products at rates consistent with past order levels, including due to inventory rebalancing or corrections in channels. In addition, we may not be able to timely deliver products to our largest customers due to supply chain interruptions or otherwise. We cannot provide assurance that we will be able to retain our largest customers. In addition, some of our customers may shift their purchases to our competitors in the future. The loss of one or more of our largest customers, any material cancellation, reduction, or delay in purchases by or delivery of products to these customers, or our inability to successfully develop relationships with additional customers could have a material adverse effect on our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Catastrophic and other events beyond our control may disrupt operations at our manufacturing facilities and those of our suppliers, which could cause us to be unable to meet customer demands or increase our costs, or reduce customer spending.</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operations at any of our manufacturing facilities or those of our suppliers were to be disrupted as a result of significant equipment failures, natural disasters, earthquakes, power outages, fires, explosions, terrorism, political disputes, international hostilities, military conflicts, cybersecurity incidents, adverse weather conditions, labor disputes, public health epidemics (including the COVID-19 pandemic) or other catastrophic events or disruptions outside of our control, we may be unable to fill customer orders and otherwise meet customer demand for our products. Some of our operations, including our pool business operations in North Carolina and California, are in areas that are more susceptible to natural disasters such as hurricanes, wildfires and earthquakes. These types of events may negatively impact residential, commercial and industrial spending in impacted regions or, depending on the severity, global spending. As a result, any of such events could have a material adverse effect on our business, financial condition, results of operations and cash flows. We maintain property insurance that we believe to be adequate to provide for reconstruction of facilities and equipment, and to cover business interruption losses resulting from any production interruption or shutdown caused by an insured loss. However, any recovery under our insurance policies may not offset the lost sales or increased costs that may be experienced during the disruption of operations and may also affect the price and availability of insurance in the future, which could have a material adverse effect on our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Seasonality of sales and weather conditions could have a material adverse effect on our financial results.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seasonal demand with end customers and end users within each of our business segments. Demand for pool equipment in the Pool segment, water solution products in the Water Solutions segment, and residential water supply and agricultural products within the Flow segment follows warm weather trends, with seasonal highs from April to September. While historically we have attempted to mitigate the magnitude of the sales spikes in the Pool segment by employing some advance sale “early buy” programs (generally including extended payment terms and/or additional discounts), we cannot provide assurance that should we use such programs in the future they will be successful. In addition, seasonal effects associated with products within our Flow, Water Solutions and Pool segments may vary from year to year and be impacted by weather patterns, such as temperature, heavy flooding and droughts. Moreover, adverse weather conditions, such as cold or wet weather, may negatively impact demand for, and sales of products within our business segments.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Volatility in currency exchange rates could have a material adverse effect on our financial condition, results of operations and cash flows.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outside of the U.S. for the year ended December 31, 2023 accounted for approximately 31% of our net sales. Our financial statements reflect translation of items denominated in non-U.S. currencies to U.S. dollars. Therefore, if the U.S. dollar strengthens in relation to the principal non-U.S. currencies from which we derive revenue as compared to a prior period, our U.S. dollar reported revenue and income will effectively be decreased to the extent of the change in currency valuations, and vice-versa. Fluctuations in foreign currency exchange rates, most notably the strengthening of the U.S. dollar against the euro, could have a material adverse effect on our reported revenue in future periods. In addition, currency variations could have a material adverse effect on margins on sales of our products in countries outside of the U.S. and margins on sales of products that include components obtained from suppliers located outside of the U.S.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by matters associated with our labor force.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employees are covered by collective bargaining agreements or represented by works councils. Although we believe that our relations with the labor unions and works councils that represent our employees are generally good and we have experienced no material work stoppages recently, no assurances can be made that we will not experience these and other types of conflicts with labor unions, works councils, other groups representing employees or our employees generally in the future, or that any future negotiations with these groups will not result in significant increases in our cost of labor. In addition, an important aspect of attracting and retaining qualified personnel is continuing to offer competitive wages, employee healthcare, retirement and other benefits. The expenses we record for our employee benefit plans depend on factors such as changes in market interest rates and healthcare cost inflation, and significant unfavorable changes in these factors could increase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expenses and funding requirements. An inability to control costs and funding requirements related to employee benefits could negatively impact our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Complications with the design or implementation of our updated enterprise resource planning system could adversely impact our business and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extensively on information systems and technology to operate and manage our business and summarize operating results. We are in the process of a multi-year implementation of an updated global enterprise resource planning (“ERP”) system in connection with moving to digital processes under our Transformation Program. Ultimately, this ERP system will update our existing operating and transactional financial systems. The ERP system is designed to accurately maintain our financial records, enhance operational functionality and provide timely information to our management team related to the operation of the business. The ERP system implementation process has required, and will continue to require, the investment of significant personnel and financial resources. We may not be able to successfully implement the ERP system without experiencing delays, increased costs and other difficulties. If we are unable to successfully design and implement the updated ERP system as planned, our financial position, results of operations and cash flows could be negatively impacted. Additionally, if we do not effectively implement the ERP system as planned or the ERP system does not operate as intended, the effectiveness of our internal control over financial reporting could be adversely affected or our ability to assess those controls adequately could be further delayed.</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Risks Relating to Our Debt and Financial Markets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Increased leverage may harm our business, financial condition and results of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$2,006.8 million of total debt outstanding on a consolidated basis. We and our subsidiaries may incur additional indebtedness in the future, including in connection with acquisitions, subject to restrictions in our debt agreements. Our increased level of indebtedness and any future increases in our level of indebtedness may have important effects on our future operations, including, without limitation: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will have additional cash requirements in order to support the payment of interest on our outstanding indebtedness;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increases in our outstanding indebtedness and leverage may increase our vulnerability to adverse changes in general economic and industry conditions, as well as to competitive pressure;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obtain additional financing for working capital, capital expenditures, general corporate and other purposes may be reduced;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flexibility in planning for, or reacting to, changes in our business and our industry may be reduced;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flexibility to make acquisitions and develop technology may be limited.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payments of principal and interest on and to refinance our indebtedness, including our existing debt as well as any future debt that we may incur, will depend on our ability to generate cash in the future from operations, financings or asset sales. Our ability to generate cash is subject to general economic conditions and financial, business and other factors affecting our operations, many of which are beyond our control. If we are unable to generate sufficient cash flow from operations in the future to service our debt and meet our other cash requirements, we may be required, among other things: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to seek additional financing in the debt or equity markets;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to refinance or restructure all or a portion of our indebtedness;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to sell selected assets or businesses; or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to reduce or delay planned capital or operating expenditures.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Such measures might not be sufficient to enable us to service our debt and meet our other cash requirements. In addition, any such financing, refinancing or sale of assets might not be available at all or on economically favorable terms.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Covenants in our debt instruments may adversely affect us.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credit agreements and indentures contain customary financial covenants, including those that limit the amount of our debt, which may restrict the operations of our business and our ability to incur additional debt to finance acquisitions. Our ability to meet the financial covenants may be affected by events beyond our control, and we cannot provide assurance that we will meet those tests. A breach of any of these covenants could result in a default under our credit agreements or indentures. Upon the occurrence of an event of default under any of our credit facilities or indentures, the lenders or trustees could elect to declare all amounts outstanding thereunder to be immediately due and payable and, in the case of credit facility lenders, terminate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to extend further credit. If the lenders or trustees accelerate the repayment of borrowings, we cannot provide assurance that we will have sufficient assets to repay our credit facilities and our other indebtedness. Furthermore, acceleration of any obligation under any of our material debt instruments will permit the holders of our other material debt to accelerate their obligations, which could have a material adverse effect on our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may increase our debt or raise additional capital, our credit ratings may be downgraded in the future, or our interest rates may increase, each of which could affect our financial condition, and may decrease our profitability.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$2,006.8 million of total debt outstanding on a consolidated basis. We may increase our debt or raise additional capital in the future, subject to restrictions in our debt agreements. If our cash flow from operations is less than we anticipate, if our cash requirements are more than we expect, or if we intend to finance acquisitions, we may require more financing. However, debt or equity financing may not be available to us on acceptable terms, or at all. If we incur additional debt or raise equity through the issuance of additional capital shares, the terms of the debt or capital shares issued may give the holders rights, preferences and privileges senior to those of holders of our ordinary shares, particularly in the event of liquidation. The terms of the debt may also impose additional and more stringent restrictions on our operations than we currently have. If we raise funds through the issuance of additional equity, the percentage ownership of existing shareholders in our company would decline. If we are unable to raise additional capital when needed, our financial condition could be adversely affected.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changes in the ratings that rating agencies assign to our debt may ultimately negatively impact our access to the debt capital markets and increase the costs we incur to borrow funds. If ratings for our debt fall below investment grade, our access to the debt capital markets may become restricted. Additionally, our credit agreements generally include an increase in interest rates if the ratings for our debt are downgraded. To the extent that our interest rates increase, our interest expense will increase, which could adversely affect our financial condition, results of operations and cash flows.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Disruptions in the financial markets could adversely affect us, our customers and our suppliers by increasing funding costs or reducing availability of credit.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business, we may access credit markets for general corporate purposes, which may include repayment of indebtedness, acquisitions, additions to working capital, repurchase of shares, capital expenditures and investments in our subsidiaries. Although we expect to have sufficient liquidity to meet our foreseeable needs, our access to and the cost of capital could be negatively impacted by disruptions in the credit markets, including due to failures of financial institutions, which have occurred in the past and made financing terms for borrowers unattractive or unavailable. These factors may make it more difficult or expensive for us to access credit markets if the need arises. In addition, these factors may make it more difficult for our suppliers to meet demand for products or for customers to purchase products or commence new projects, as suppliers and customers may experience increased costs of debt financing or difficulties in obtaining debt financing. Disruptions in the financial markets have had adverse effects on other areas of the economy and have led to a slowdown in general economic activity that may continue to adversely affect our businesses. One or more of these factors could adversely affect our business, financial condition, results of operations or cash flows.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Risks Relating to Legal, Regulatory and Compliance Matters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Violations of the U.S. Foreign Corrupt Practices Act, U.K. Bribery Act, and other anti-corruption laws outside the U.S. could have a material adverse effect on us.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Foreign Corrupt Practices Act (“FCPA”), U.K. Bribery Act, and other anti-corruption laws in other jurisdictions generally prohibit companies and their intermediaries from making improper payments to government officials or other persons for the purpose of obtaining or retaining business. Recent years have seen a substantial increase in anti-bribery law enforcement activity, with more frequent and aggressive investigations and enforcement proceedings by both the U.S. Department of Justice and the SEC, increased enforcement activity by non-U.S. regulators and increases in criminal and civil proceedings brought against companies and individuals. Our policies mandate compliance with these anti-bribery laws. We operate in many parts of the world that are recognized as having governmental and commercial corruption and, in certain circumstances, strict compliance with anti-bribery laws may conflict with local customs and practices. We cannot assure that our internal control policies and procedures will always protect us from negligent, reckless or criminal acts committed by our employees or third-party intermediaries. In the event that we believe or have reason to believe that our employees, customers, or agents have or may have violated applicable anti-corruption laws, including the FCPA, we may be required to investigate the relevant facts and circumstances, which can be expensive and require significant time and attention from senior management. Violations of these laws may require self-disclosure to government agencies and result in criminal or civil sanctions, which could disrupt our business and result in a material adverse effect on our reputation,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failure to satisfy international trade compliance regulations, and changes in U.S. government and other applicable sanctions, could have a material adverse effect on us.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global operations require importing and exporting goods and technology across international borders on a regular basis. Certain of the products we sell are “dual use” products, which are products that may have both civil and military applications, or may otherwise be involved in weapons proliferation, and are often subject to more stringent export controls. From time to time, we obtain or receive information alleging improper activity in connection with imports or exports. Our policies mandate strict compliance with U.S. and non-U.S. trade laws applicable to our products. However, even when we are in strict compliance with law and our policies, we may suffer reputational damage if certain of our products are sold through various intermediaries to sanctioned entities or to entities operating in sanctioned countries. When we receive information alleging improper activity, our policy is to investigate that information and respond appropriately, including, if warranted, reporting our findings to relevant governmental authorities. Nonetheless, our policies and procedures may not always protect us from actions that would violate U.S. and/or non-U.S. laws. Any improper actions could subject us to civil or criminal penalties, including material monetary fines, or other adverse actions including denial of import or export privileges, and could damage our reputation and business prospects.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environmental laws, liabilities and litigation.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U.S. federal, state, local and non-U.S. laws and regulations governing protection of the environment and worker health and safety. Compliance with these environmental, health and safety regulations could require us to satisfy environmental liabilities, increase the cost of manufacturing our products or otherwise have a material adverse effect on our business, financial condition, results of operations and cash flows. Any violations of these laws by us could cause us to incur unanticipated liabilities. We are also required to comply with various environmental laws and maintain permits, many of which are subject to renewal from time to time, for many of our businesses, and we could be adversely impacted if we are unable to renew existing permits or to obtain any additional permits that may be required. Compliance with environmental requirements also could require significant operating or capital expenditures or result in significant operational restrictions. We cannot provide assurance that we have been or will be at all times in compliance with environmental and health and safety laws. If we violate these laws, we could be fined, criminally charged or otherwise sanctioned by regulators.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named as a defendant, target or a potentially responsible party (“PRP”) in a number of environmental matters relating to our current or former businesses. We have disposed of a number of businesses and in certain cases, we have retained responsibility and potential liability for certain environmental obligations. We have received claims for indemnification from certain purchasers of businesses from us. We may be named as a PRP at other sites in the future for existing business units, as well as both divested and acquired businesses. In addition to clean-up actions brought by governmental authorities, private parties could bring individual or class-action claims due to the presence of, or exposure to, hazardous substances, including at sites where we did not have operations but may have acquired liability through an acquisition of a business.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the operations of divested or acquired businesses or other businesses that previously owned or used the properties. The cost of remediation and other environmental liabilities can be difficult to accurately predict and is typically excluded by insurance. In addition, environmental requirements change and tend to become more stringent over time. Our eventual environmental remediation costs and liabilities could exceed the amount of our current reserves.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subsidiaries are party to asbestos-related litigation that could adversely affect our financial condition, results of operations and cash flows.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subsidiaries, along with numerous other companies, are named as defendants in a substantial number of lawsuits based on alleged exposure to asbestos-containing materials, substantially all of which relate to our discontinued operations. These cases typically involve product liability claims based primarily on allegations of manufacture, sale or distribution of industrial products that either contained asbestos or were attached to or used with asbestos-containing components manufactured by third parties or to which asbestos insulation was applied after installation. In addition, some cases brought against us involve the presence of asbestos at facilities that we own or used to own. Each case typically names a large number of product manufacturers, service providers and premises owners. Historically, our subsidiaries have been identified as defendants in asbestos-related claims. Our strategy has been, and continues to be, to mount a vigorous defense aimed at having unsubstantiated suits dismissed, and settling claims before trial only where appropriate. As of December 31, 2023, there were approximately 590 claims pending against our subsidiaries, substantially all of which relate to our discontinued operations. We cannot predict with certainty the extent to which we will be successful in litigating or otherwise resolving lawsuits in the future, and we continue to evaluate different strategies related to asbestos claims filed against us including the possibility of entity restructuring. Unfavorable rulings, judgments or settlement terms could have a material adverse impact on our business and financial condition, results of operations and cash flows. In addition, while most of the asbestos claims against us are covered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liability insurance policies from many years ago, not all claims are insured. As our insurers resolve claims relating to past policy periods, the aggregate coverage provided by those policies erodes. If we exhaust our coverage under those policies, we will be exposed to potential uninsured losses. Over time, the uninsured portion of our asbestos docket may increase, which may require us to set greater reserves to resolve future asbestos cases.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the broad range of standards, laws and regulations in the jurisdictions in which we operate may result in exposure to substantial disruptions, costs and liabilities.</w:t>
      </w:r>
    </w:p>
    <w:p>
      <w:pPr>
        <w:pStyle w:val="TextBody"/>
        <w:bidi w:val="0"/>
        <w:spacing w:lineRule="auto" w:line="288" w:before="0" w:after="0"/>
        <w:jc w:val="both"/>
        <w:rPr/>
      </w:pPr>
      <w:r>
        <w:rPr>
          <w:rFonts w:ascii="Times New Roman;sans-serif" w:hAnsi="Times New Roman;sans-serif"/>
          <w:b w:val="false"/>
          <w:color w:val="000000"/>
          <w:sz w:val="20"/>
        </w:rPr>
        <w:t xml:space="preserve">Our products, manufacturing facilities and business operations are subject to numerous federal, state and local statutory and regulatory requirements, both within and outside the U.S. These laws and regulations impose on us increasingly complex, stringent and costly monitoring and compliance activities, including but not limited to environmental, health, and safety protection standards and permitting, labeling and other requirements regarding (among other things) product efficiency and performance, material makeup, air quality and emissions, and wastewater discharges; the use, handling, and disposal of hazardous or toxic materials and substances, including perfluoroalkyl and polyfluoroalkyl substances (“PFAS”) and other substances of concern; remediation of environmental contamination; and working conditions for and compensation of our employees. We may also be affected by future standards, laws or regulations, including those </w:t>
      </w:r>
      <w:r>
        <w:rPr>
          <w:rFonts w:ascii="Times New Roman;sans-serif" w:hAnsi="Times New Roman;sans-serif"/>
          <w:b w:val="false"/>
          <w:color w:val="000000"/>
          <w:sz w:val="20"/>
          <w:shd w:fill="FFFFFF" w:val="clear"/>
        </w:rPr>
        <w:t>imposed in response to energy, climate change, product functionality, geopolitical, corporate social responsibility, or similar concerns. These standards, laws, or regulations may impact our costs of operation, the sourcing of raw materials, and the manufacture and distribution of our products and place restrictions and other requirements or impediments on the products and solutions we can sell in certain geographical locations or on the willingness of certain investors to own our shares.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certain regulatory, financial and other risks related to climate change and other sustainability matters.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Climate change is receiving ever increasing attention worldwide. Many scientists, legislators and others attribute global warming to increased levels of greenhouse gases, which has led to significant legislative and regulatory efforts to limit greenhouse gas emissions. The U.S. Environmental Protection Agency (“EPA”) has published findings that emissions of carbon dioxide, methane, and other greenhouse gases (“GHGs”) present an endangerment to public health and the environment because emissions of such gases are, according to the EPA, contributing to the warming of the earth’s atmosphere and other climate changes. Based on these findings,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 in 2021, the U.S. rejoined the Paris Accord. These and other existing or potential international initiatives and regulations could affect our international operations. To the extent our customers, particularly our energy and industrial customers, are subject to any of these or other similar proposed or newly enacted laws and regulations, we are exposed to risks that the additional costs by customers to comply with such laws and regulations could impact their ability or desire to continue to operate at similar levels in certain jurisdictions as historically seen or as currently anticipated, which could negatively impact their demand for our products and services. As customers become increasingly concerned about the environmental impact of their purchases, if we fail to keep up with changing regulations or innovate or operate in ways that minimize the energy use of our products or operations, customers may choose more energy efficient or sustainable alternatives. These actions could also increase costs associated with our operations, including costs for raw materials and transportation. We may also be subject to consumer lawsuits or enforcement actions by governmental authorities if our ESG claims relating to product marketing are inaccurate. It is uncertain what new laws will be enacted and therefore we cannot predict the potential impact of such laws on our future financial condition, results of operations and cash flows. The laws and regulations regarding ESG disclosures and requirements are rapidly evolving and could have an adverse effect on our operations and the costs of compliance with, and the other burdens imposed by, these and other laws or regulatory actions may increase our operational costs.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strategy regarding environmental, climate change and sustainability matters, we have set and may set additional targets aimed at reducing our impact on the environment and climate change and/or targets relating to other sustainability matters. In addition, as a leading provider of water treatment solutions, our business strategy includes positioning our products and services as sustainable solutions. Actions we take to achieve our targets or strategy could result in increased costs to our operations. We may not be able to achieve such targets or our desired impact, and any future investments we make in furtherance of achieving such targets and strategy may not meet investor expectations or standards regarding sustainability performance. Moreover, we may determine that it is in the best interest of our company and our shareholders to prioritize other business, social, governance or sustainable investments over the achievement of our current targets based on economic, regulatory and social factors, business strategy or pressure from investors or other stakeholders. In addition, investors and other stakeholders are increasingly focused on ESG matters, and as stakeholder ESG expectations and standards are evolving, we may not be able to sufficiently respond to these evolving standards and expectations or investors may not view our products and services as sustainable solutions. Furthermore, we could be criticized for the accuracy or completeness of the disclosure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ESG initiatives. If we are unable to meet our targets or successfully implement our strategy or our ESG reporting is inaccurate or incomplete, then we could suffer from reputational damage and incur adverse reaction from investors and other stakeholders, which could adversely impact the perception of our brand and our products and services by current and potential investors and customers, which could in turn adversely impact our business, results of operations, or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Increased cybersecurity threats and computer crime pose a risk to our systems, networks, products and services, and we are exposed to potential regulatory, financial and reputational risks relating to the protection of our data.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upon information technology systems and networks in connection with a variety of business activities, some of which are managed by third parties. As our business increasingly interfaces with employees, customers, dealers and suppliers using information technology systems and networks, we are subject to an increased risk to the secure operation of these systems and networks. Our evolution into smart products and Internet of Things subjects us to increased cyber and technology risks. The secure operation of our information technology systems and networks is critical to our business operations and strategy. Cybersecurity threats from user error to attacks designed to gain unauthorized access to our systems, networks and data are increasing in frequency and sophistication. These threats pose a risk to the security of our systems and networks and the confidentiality, availability and integrity of the data we process and maintain. Establishing systems and processes to address these threats may increase our costs. We have experienced cybersecurity incidents, and, although we have determined such cybersecurity incidents to be immaterial and such incidents have not had a material adverse effect on our business strategy, financial condition, results of operations or cash flows, there can be no assurance of similar results in the future. Should future attacks succeed, it could expose us and our employees, customers, dealers and suppliers to the theft of assets, misuse of information or systems, compromises of confidential information, manipulation and destruction of data, product failures, production downtimes and operations disruptions. The occurrence of any of these events could have a material adverse effect on our reputation, business, financial condition, results of operations and cash flows. While we maintain cybersecurity insurance, the costs related to cybersecurity threats or incidents may not be fully insured, and future cybersecurity coverage may become more expensive if we experience a cybersecurity incident. In addition, such cybersecurity incidents could result in litigation, regulatory action and potential liability and the costs and operational consequences of implementing further data protection measures. For information on our cybersecurity risk management, strategy and governance, see ITEM 1C.- Cybersecurity.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data privacy laws and our ability to comply with them could have a material adverse effect on us.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and store data that is sensitive to us and our employees, customers, dealers and suppliers. A variety of state, national, foreign and international laws and regulations apply to the collection, use, retention, protection, security, disclosure, transfer and other processing of personal and other data. Many foreign data privacy regulations, including the General Data Protection Regulation (the “GDPR”) in the European Union, are more stringent than federal regulations in the United States. Within the United States, many states are considering adopting, or have already adopted privacy regulations, including, for example, the California Consumer Privacy Act. These laws and regulations are rapidly evolving and changing, and could have an adverse effect on our operations. Companies’ obligations and requirements under these laws and regulations are subject to uncertainty in how they may be interpreted by courts and governmental authorities. The costs of compliance with, and the other burdens imposed by, these and other laws or regulatory actions may increase our operational costs, and/or result in interruptions or delays in the availability of systems. In the case of non-compliance with these laws, including the GDPR, regulators have the authority to levy significant fines. In addition, if there is a breach of privacy, we may be required to make notifications under data privacy laws or regulations, or could become subject to litigation. The occurrence of any of these events could have a material adverse effect on our reputation,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may be negatively impacted by litigation and other claims.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and may in the future become, subject to litigation and other claims. These legal proceedings are typically claims that relate to our products or services or to the conduct of our business and include, without limitation, claims relating to commercial regulatory or contractual disputes with suppliers, authorities, customers or parties to acquisitions and divestitures; intellectual property matters; environmental, asbestos, safety and health matters; product quality and liability matters; matters arising from the use or installation of our products; consumer protection matters; and employment and labor matters. The outcome of such legal proceedings cannot be predicted with certainty and some may be disposed of unfavorably to us. Insurance coverage is not available for some of our claims and may be disputed by carriers in others. While we currently maintain what we believe to be suitable product liability insurance, we may not be able to maintain this insurance on our preferred terms or at an acceptable cost. Further, this insurance may not provide adequate protection against potential or previously existing liabilities. In addition, we self-insure a portion of product liability claims and must satisfy deductibles on other insured claims. Further, some of our business involves the sale of our products to customers that are constructing large and complex systems, facilities or other capital projects, and while we generally try to limit our exposure to liquidated damages, consequential damages and other potential damages in the contracts for these projects, we could be exposed to significant monetary damages and other liabilities in connection with the sale of our products for these projects for a variety of reasons. In addition, some of our businesses, customers, and dealers are subject to various laws and regulations regarding consumer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protection and advertising and sales practices, and we have been named, and may be named in the future, as a defendant in litigation, including class action complaints, arising from alleged violation of these laws and regulations. In addition, our indemnification obligations relating to the purchase or sale of businesses could result in litigation or claims of unknown amounts. Successful claims or litigation against us for significant amounts could have a material adverse effect on our reputation, business, financial condition, results of operations and cash flows.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Risks Relating to Our Jurisdiction of Incorporation in Ireland and Tax Residency in the U.K.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changes in law and other factors that may not allow us to maintain a worldwide effective corporate tax rate that is competitive in our industry.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that we should be able to maintain a worldwide effective corporate tax rate that is competitive in our industry, we cannot give any assurance as to what our effective tax rate will be in the future because of, among other things, uncertainty regarding tax policies of the jurisdictions where we operate. Also, the tax laws and treaties of the U.S., the U.K., Ireland and other jurisdictions could change in the future, and such changes could cause a material change in our worldwide effective corporate tax rate. For example, the Organization for Economic Co-operation and Development Pillar Two Model Rules (“Pillar Two”) for a global 15.0% minimum tax, are in the process of being adopted by a number of jurisdictions in which we operate. In particular, the U.K. has completed passage of legislation to comply with the Pillar Two framework, which became effective at the start of 2024. We expect Pillar Two to have a negative 1.0% to 1.5% impact to our effective tax rate in 2024. That impact could change in the future as we continue to evaluate the enacted legislative changes and as new guidance becomes available. In addition, legislative action could be taken by the U.S., the U.K., Ireland or the European Union that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U.K., we could be subject to increased taxation and/or be required to take action to maintain our effective tax rate, which could materially adversely affect our financial condition, results of operations, cash flows or our effective tax rate in future reporting periods.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 change in our tax residency could have a negative effect on our future profitability, and may trigger taxes on dividends or exit charges.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current Irish legislation, a company is regarded as resident for tax purposes in Ireland if it is incorporated in Ireland. Under current U.K. legislation, a company that is centrally managed and controlled in the U.K. is regarded as resident in the U.K. for taxation purposes unless it is treated as resident in another jurisdiction pursuant to any appropriate double tax treaty with the U.K. Other jurisdictions may also seek to assert taxing jurisdiction over us.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Organization for Economic Co-operation and Development proposed a number of measures relating to the tax treatment of multinationals, some of which are implemented by amending double tax treaties through the multilateral convention to implement tax treaty-related measures to prevent base erosion and profit shifting (the “MLI”). The MLI has now entered into force for a number of countries, including Ireland and the U.K. Under the Double Tax Convention between Ireland and the U.K., as amended by the MLI, the residency tie-breaker provides that a company will remain dual resident unless there is a determination otherwise by the tax authorities of the two contracting states.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we obtained a determination from the tax authorities in Ireland, the Irish Revenue Commissioners, and in the U.K., HM Revenue &amp; Customs, which states that we are resident for tax purposes only in the U.K.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in the future, whether as a result of a change in law or the practice of any relevant tax authority or as a result of any change in the conduct of our affairs, we could become, or be regarded as having become, resident in a jurisdiction other than the U.K. If we cease to be resident in the U.K. and become a resident in another jurisdiction, we may be subject to U.K. exit charges, and could become liable for additional tax charges in the other jurisdiction (including dividend withholding taxes or corporate income tax charges). If we were to be treated as resident in more than one jurisdiction, we could be subject to taxation in multiple jurisdictions. If, for example, we were considered to be a tax resident of Ireland, we could become liable for Irish corporation tax, and any dividends paid by us could be subject to Irish dividend withholding tax.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Irish law differs from the laws in effect in the United States and may afford less protection to holders of our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Irish company, we are governed by the Irish Companies Act 2014, which differs in some material respects from laws generally applicable to U.S. corporations and shareholders, including, among others, differences relating to interested director and officer transactions and shareholder lawsuits. Further,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and require court permission to do so. Accordingly, holders of our securities may have more difficulty protecting their interests than would holders of securities of a corporation incorporated in a jurisdiction of the U.S.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Irish law differs from the laws in effect in the United States, which may negatively impact our ability to issue ordinary shares.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Irish law, we must have authority from our shareholders to issue any ordinary shares, including shares that are part of our authorized but unissued share capital. In addition, unless otherwise authorized by its shareholders or constitutional document, when an Irish company issues shares for cash to new shareholders, it is required first to offer those shares on the same or more favorable terms to existing shareholders on a pro-rata basis. If we are unable to obtain these authorizations from our shareholders, or are otherwise limited by the terms of our authorizations, our ability to issue ordinary shares under our equity compensation plans and, if applicable, to facilitate funding acquisitions or otherwise raise capital could be adversely affected.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Transfers of our ordinary shares may be subject to Irish stamp duty.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Transfers of our ordinary shares effected by means of the transfer of book entry interests in the Depository Trust Company (“DTC”) will not be subject to Irish stamp duty. However, if you hold your ordinary shares directly rather than beneficially through DTC, any transfer of your ordinary shares could be subject to Irish stamp duty (currently at the rate of 1% of the higher of the price paid or the market value of the shares acquired). Payment of Irish stamp duty is generally a legal obligation of the transferee.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of association provide that, in the event of any such payment, we (i) may seek reimbursement from the buyer, (ii) will have a lien against the shares acquired by such buyer and any dividends paid on such shares and (iii) may set-off the amount of the stamp duty against future dividends on such shares. Parties to a share transfer may assume that any stamp duty arising in respect of a transaction in our shares has been paid unless one or both of such parties is otherwise notified by us.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ordinary shares, received by means of a gift or inheritance could be subject to Irish capital acquisitions tax.</w:t>
      </w:r>
    </w:p>
    <w:p>
      <w:pPr>
        <w:pStyle w:val="TextBody"/>
        <w:bidi w:val="0"/>
        <w:spacing w:lineRule="auto" w:line="288" w:before="0" w:after="0"/>
        <w:jc w:val="both"/>
        <w:rPr/>
      </w:pPr>
      <w:r>
        <w:rPr>
          <w:rFonts w:ascii="Times New Roman;sans-serif" w:hAnsi="Times New Roman;sans-serif"/>
          <w:b w:val="false"/>
          <w:color w:val="000000"/>
          <w:sz w:val="20"/>
        </w:rPr>
        <w:t>Irish capital acquisitions tax (“CAT”) could apply to a gift or inheritance of our ordinary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are exempt from CAT. Children have a tax-free threshold of €335,000</w:t>
      </w:r>
      <w:r>
        <w:rPr>
          <w:color w:val="000000"/>
          <w:shd w:fill="FFFFFF" w:val="clear"/>
        </w:rPr>
        <w:t xml:space="preserve"> </w:t>
      </w:r>
      <w:r>
        <w:rPr>
          <w:rFonts w:ascii="Times New Roman;sans-serif" w:hAnsi="Times New Roman;sans-serif"/>
          <w:b w:val="false"/>
          <w:color w:val="000000"/>
          <w:sz w:val="20"/>
        </w:rPr>
        <w:t>per lifetime in respect of taxable gifts or inheritances received from their parents for periods on or after October 9, 2019. The standard rate of CAT for gifts and inheritances received above this threshold is 33%.</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share price may fluctuate significantly.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prices at which our shares may trade. The market price of our shares may fluctuate widely, depending on many factors, some of which may be beyond our control, including: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actual or anticipated fluctuations in our results of operations due to factors related to our business;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success or failure of our business strategy;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quarterly or annual earnings, or those of other companies in our industry;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obtain third-party financing as needed;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announcements by us or our competitors of significant acquisitions or dispositions;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changes in earnings estimates or guidance by us or securities analysts or our ability to meet those estimates or guidance;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operating and share price performance of other comparable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investor perception of us;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effect of certain events or occurrences on our reputation;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overall market fluctuations;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results from any material litigation or governmental investigation or environmental liabilities;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natural or other environmental disasters;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changes in laws and regulations affecting our business;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general economic conditions and other external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markets in general have experienced volatility that has often been unrelated to the operating performance of a particular company. These broad market fluctuations could have a material adverse effect on our share price.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and Board of Directors (the “Board”) recognize the importance of maintaining the security and resiliency of our cybersecurity environment to deliver on the expectations of our customers, dealers, business partners, employees and investors. The Board is actively involved in our risk management practices, including oversight of our overall enterprise risk management (“ERM”) program, in which cybersecurity risk is included. Our cybersecurity program is aligned with the National Institute of Standards and Technology (“NIST”) Cybersecurity Framework (“CSF”) and leverages International Organization for Standardization and other applicable industry standards. Overall, the purpose of our information security program is to protect the confidentiality, integrity and availability of our systems and data, along with the safe operation of our connected products. This is supported by our security operating framework, roadmap and governance.</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Cybersecurity Risk Management and Strategy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 is focused on the following areas: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Security governance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processes to assess, identify and manage material risks from cybersecurity threats. Annual risk assessments are performed and incorporated as part of our ERM organizational process. Strategic and operational cybersecurity risks are assessed, identified and managed by our cybersecurity team, which is led by our Chief Information Security Officer (the “CISO”). Our cybersecurity team shares information regarding such risks with our Security Steering Committee, which consists of our Chief Financial Officer, General Counsel, Chief Human Resources Officer, Chief Technology Officer and Chief Supply Chain Officer, and our ERM function, both of which support the Board’s oversight of cybersecurity risk.</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Technical safeguards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deploy technical safeguards that are designed to protect our systems from cybersecurity threats, including firewalls, anti-malware software, and authentication and authorization controls. Ongoing enhancements are integrated into our security roadmap, as informed by our security audits and assessments.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Security and privacy incident response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place an incident response plan to identify, protect, detect, respond to and recover from cybersecurity threats and incidents. The CISO, the Security Steering Committee, our Chief Executive Officer and the Board are notified of any material cybersecurity incidents through an established escalation process.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incident response team maintains a standard playbook to respond to any potential cybersecurity incidents. We test and evaluate our plans on a regular basis.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Third-party risk management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risk-based third-party risk management process to identify, assess and manage risks presented by service providers, vendors and other third parties that access our systems or that process or store our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Security awareness and training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ongoing security awareness and training to educate internal users on how to identify and report potential issues. Professional-level employees receive mandatory cybersecurity education and training. Employee phishing tests are conducted on a regular basis. Employees who do not follow protocol are redirected for additional training. We also provide periodic updates to employees on emerging cybersecurity trends and ways to protect themselves and our company.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Security audits and assessments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periodic security audits and assessments to test our cybersecurity program. These efforts span across our cybersecurity program, including but not limited to audits, assessments, tabletop exercises, vulnerability scanning and penetration tests. We regularly engage third parties to assess our cybersecurity program, including cybersecurity maturity assessments, penetration testing, and independent review of our security control environment and operating effectiveness. The results of the assessments are included for review by the Security Steering Committee and the Audit and Finance Committee of the Board. We believe our cybersecurity program is enhanced with the results of the audits, assessments and reviews performed.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0" w:after="0"/>
        <w:jc w:val="both"/>
        <w:rPr/>
      </w:pPr>
      <w:r>
        <w:rPr>
          <w:rFonts w:ascii="Times New Roman;sans-serif" w:hAnsi="Times New Roman;sans-serif"/>
          <w:b w:val="false"/>
          <w:color w:val="000000"/>
          <w:sz w:val="20"/>
          <w:shd w:fill="FFFFFF" w:val="clear"/>
        </w:rPr>
        <w:t>The Board is responsible for general oversight of our risk management, including cybersecurity risk.</w:t>
      </w:r>
      <w:r>
        <w:rPr>
          <w:color w:val="000000"/>
        </w:rPr>
        <w:t xml:space="preserve"> </w:t>
      </w:r>
      <w:r>
        <w:rPr>
          <w:rFonts w:ascii="Times New Roman;sans-serif" w:hAnsi="Times New Roman;sans-serif"/>
          <w:b w:val="false"/>
          <w:color w:val="000000"/>
          <w:sz w:val="20"/>
        </w:rPr>
        <w:t>The Audit and Finance Committee of the Board is responsible for overseeing our risk exposure to information security, cybersecurity and data protection, as well as the steps management has taken to monitor and control such exposures. Cybersecurity reviews are conducted at least quarterly and reported to the Board or the Audit and Finance Committee by the CISO and/or Chief Financial Officer at least quarterly.</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team, which assesses and manages our risks from cybersecurity threats, is led by the CISO, who reports to our Chief Financial Officer. Additional oversight for assessing and managing cybersecurity risk include the Security Steering Committee and as part of our ERM program.</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CISO has over 20 years of cybersecurity and technology experience and has previously held Chief Information Security Officer positions at a large public retail company, as well as at a public technology company and services organization. The CISO has an undergraduate degree in Management Information Systems. Members of our cybersecurity team have, combined, over 100 years of cybersecurity experience, have degrees including Bachelors in Information Systems, Management Information Systems and/or Masters in Security Technologies, and hold professional certifications including Certified Information Systems Security Professional, Global Information Assurance Certification Security Essentials, Certified Cloud Security Professional, Certified Information Systems Auditor, Microsoft Cybersecurity Architect Expert and/or Certified Digital Forensics Examiner. Our Chief Executive Officer, Chief Financial Officer and General Counsel each hold degrees in their respective fields, and each have over 25 years of experience managing risks at the Company and at similar companies, including risks arising from cybersecurity threats.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Impact of Cybersecurity Threats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Previous cybersecurity incidents have not materially affected us, including our business strategy, results of operations or financial condition. However, risks from cybersecurity threats, including but not limited to exploitation of vulnerabilities, ransomware, denial of service, supply chain attacks, or other similar threats may materially affect us, including our execution of business strategy, reputation, results of operations and/or financial condition. See ITEM 1A. “Risk Factors - Increased cybersecurity threats and computer crime pose a risk to our systems, networks, products and services, and we are exposed to potential regulatory, financial and reputational risks relating to the protection of our data” for a discussion of cybersecurity risks.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office is located in leased premises in London, U.K., and our management office in the U.S. is located in leased premises in Golden Valley, Minnesota.</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conducted in sites throughout the world. These sites house manufacturing and distribution operations, as well as sales and marketing, engineering and administrative offices. The following is a summary of our principal properties as of December 31, 2023, including manufacturing, distribution, sales offices and service centers:</w:t>
      </w:r>
    </w:p>
    <w:tbl>
      <w:tblPr>
        <w:tblW w:w="10205" w:type="dxa"/>
        <w:jc w:val="center"/>
        <w:tblInd w:w="0" w:type="dxa"/>
        <w:tblLayout w:type="fixed"/>
        <w:tblCellMar>
          <w:top w:w="28" w:type="dxa"/>
          <w:left w:w="28" w:type="dxa"/>
          <w:bottom w:w="28" w:type="dxa"/>
          <w:right w:w="28" w:type="dxa"/>
        </w:tblCellMar>
      </w:tblPr>
      <w:tblGrid>
        <w:gridCol w:w="509"/>
        <w:gridCol w:w="447"/>
        <w:gridCol w:w="453"/>
        <w:gridCol w:w="804"/>
        <w:gridCol w:w="804"/>
        <w:gridCol w:w="807"/>
        <w:gridCol w:w="460"/>
        <w:gridCol w:w="460"/>
        <w:gridCol w:w="461"/>
        <w:gridCol w:w="375"/>
        <w:gridCol w:w="375"/>
        <w:gridCol w:w="376"/>
        <w:gridCol w:w="805"/>
        <w:gridCol w:w="805"/>
        <w:gridCol w:w="807"/>
        <w:gridCol w:w="424"/>
        <w:gridCol w:w="424"/>
        <w:gridCol w:w="609"/>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1"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 of Sites</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Manufacturing</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Distribution</w:t>
            </w:r>
          </w:p>
        </w:tc>
        <w:tc>
          <w:tcPr>
            <w:tcW w:w="2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Sales and Corporate Offices</w:t>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 Centers</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Flow</w:t>
            </w:r>
          </w:p>
        </w:tc>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and 15 foreign countries</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and 6 foreign countries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and 2 foreign countries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and 3 foreign countries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1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ans-serif" w:hAnsi="Times New Roman;sans-serif"/>
          <w:b w:val="false"/>
          <w:color w:val="000000"/>
          <w:sz w:val="20"/>
        </w:rPr>
        <w:t>We believe that our production sites, as well as the related machinery and equipment, are well maintained and suitable for their purpose and are adequate to support our businesses.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0"/>
        <w:jc w:val="both"/>
        <w:rPr/>
      </w:pPr>
      <w:r>
        <w:rPr>
          <w:rFonts w:ascii="Times New Roman;sans-serif" w:hAnsi="Times New Roman;sans-serif"/>
          <w:b w:val="false"/>
          <w:color w:val="000000"/>
          <w:sz w:val="20"/>
        </w:rPr>
        <w:t xml:space="preserve">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customers, authorities or parties to acquisitions and divestitures; intellectual property matters; environmental, asbestos, safety and health matters; product liability; the use or installation of our products; consumer matters; and employment and labor matters. Refer to </w:t>
      </w:r>
      <w:r>
        <w:rPr>
          <w:color w:val="000000"/>
        </w:rPr>
        <w:t>“</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 xml:space="preserve">and </w:t>
      </w:r>
      <w:r>
        <w:rPr>
          <w:color w:val="000000"/>
        </w:rPr>
        <w:t>“</w:t>
      </w:r>
      <w:r>
        <w:rPr>
          <w:rFonts w:ascii="Times New Roman;sans-serif" w:hAnsi="Times New Roman;sans-serif"/>
          <w:b w:val="false"/>
          <w:i/>
          <w:color w:val="000000"/>
          <w:sz w:val="20"/>
        </w:rPr>
        <w:t>Environmental matters”</w:t>
      </w:r>
      <w:r>
        <w:rPr>
          <w:color w:val="000000"/>
        </w:rPr>
        <w:t xml:space="preserve"> </w:t>
      </w:r>
      <w:r>
        <w:rPr>
          <w:rFonts w:ascii="Times New Roman;sans-serif" w:hAnsi="Times New Roman;sans-serif"/>
          <w:b w:val="false"/>
          <w:color w:val="000000"/>
          <w:sz w:val="20"/>
        </w:rPr>
        <w:t xml:space="preserve">within </w:t>
      </w:r>
      <w:hyperlink w:anchor="idfb922b5c44e4373bae8123a2b3eac7b_154">
        <w:r>
          <w:rPr>
            <w:rStyle w:val="InternetLink"/>
            <w:rFonts w:ascii="Times New Roman;sans-serif" w:hAnsi="Times New Roman;sans-serif"/>
            <w:b w:val="false"/>
            <w:color w:val="0000FF"/>
            <w:sz w:val="20"/>
            <w:u w:val="single"/>
          </w:rPr>
          <w:t>Note 15 “Commitments and Contingencies”</w:t>
        </w:r>
      </w:hyperlink>
      <w:r>
        <w:rPr>
          <w:rFonts w:ascii="Times New Roman;sans-serif" w:hAnsi="Times New Roman;sans-serif"/>
          <w:b w:val="false"/>
          <w:color w:val="000000"/>
          <w:sz w:val="20"/>
        </w:rPr>
        <w:t xml:space="preserve">, of the consolidated financial statements included in ITEM 8 of Part II of this Form 10-K for information regarding legal and regulatory proceedings we are involved in. In addition, see </w:t>
      </w:r>
      <w:hyperlink w:anchor="idfb922b5c44e4373bae8123a2b3eac7b_16">
        <w:r>
          <w:rPr>
            <w:rStyle w:val="InternetLink"/>
            <w:rFonts w:ascii="Times New Roman;sans-serif" w:hAnsi="Times New Roman;sans-serif"/>
            <w:b w:val="false"/>
            <w:color w:val="0000FF"/>
            <w:sz w:val="20"/>
            <w:u w:val="single"/>
          </w:rPr>
          <w:t>Item 1A “Risk Factors - Our subsidiaries are party to asbestos-related product litigation that could adversely affect our financial condition, results of operations and cash flows”</w:t>
        </w:r>
      </w:hyperlink>
      <w:r>
        <w:rPr>
          <w:color w:val="000000"/>
        </w:rPr>
        <w:t xml:space="preserve"> </w:t>
      </w:r>
      <w:r>
        <w:rPr>
          <w:rFonts w:ascii="Times New Roman;sans-serif" w:hAnsi="Times New Roman;sans-serif"/>
          <w:b w:val="false"/>
          <w:color w:val="000000"/>
          <w:sz w:val="20"/>
        </w:rPr>
        <w:t xml:space="preserve">related to asbestos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executive officers of Pentair plc, their ages, current position and their business experience during at least the past five years are as follows:</w:t>
      </w:r>
    </w:p>
    <w:tbl>
      <w:tblPr>
        <w:tblW w:w="10205" w:type="dxa"/>
        <w:jc w:val="left"/>
        <w:tblInd w:w="0" w:type="dxa"/>
        <w:tblLayout w:type="fixed"/>
        <w:tblCellMar>
          <w:top w:w="28" w:type="dxa"/>
          <w:left w:w="28" w:type="dxa"/>
          <w:bottom w:w="28" w:type="dxa"/>
          <w:right w:w="28" w:type="dxa"/>
        </w:tblCellMar>
      </w:tblPr>
      <w:tblGrid>
        <w:gridCol w:w="539"/>
        <w:gridCol w:w="251"/>
        <w:gridCol w:w="253"/>
        <w:gridCol w:w="145"/>
        <w:gridCol w:w="145"/>
        <w:gridCol w:w="146"/>
        <w:gridCol w:w="109"/>
        <w:gridCol w:w="109"/>
        <w:gridCol w:w="109"/>
        <w:gridCol w:w="2693"/>
        <w:gridCol w:w="2358"/>
        <w:gridCol w:w="3348"/>
      </w:tblGrid>
      <w:tr>
        <w:trPr/>
        <w:tc>
          <w:tcPr>
            <w:tcW w:w="5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Name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Current Position and Business Experience</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John L. Stauch</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since 2018; Executive Vice President and Chief Financial Officer 2007 – 2018; Chief Financial Officer of the Automation and Control Systems unit of Honeywell International Inc. 2005 – 2007; Vice President, Finance and Chief Financial Officer of the Sensing and Controls unit of Honeywell International Inc. 2004 – 2005; Vice President, Finance and Chief Financial Officer of the Automation &amp; Control Products unit of Honeywell International Inc. 2002 – 2004; Chief Financial Officer and IT Director of PerkinElmer Optoelectronics, a unit of PerkinElmer, Inc., 2000 – 2002.</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Adrian C. Chiu</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President of the Water Solutions reporting segment since January 1, 2023; Executive Vice President, Chief Human Resources Officer and Chief Transformation Officer 2021 – 2022; Vice President of Total Rewards and Human Resources Information Systems 2018 – 2021; Vice President and Project Management Office Leader for the separation of nVent plc (Pentair’s former electrical business) 2017 – 2018; Vice President of Human Resources Technology, Operations, and Equity Compensation 2016 – 2018; Senior Director of Human Resources Technology and Services 2011 – 2016; Various consulting positions of increasing responsibility at IBM Global Business Services 2000 – 2011.</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Chief Accounting Officer since 2020; Executive Vice President and Chief Financial Officer of NCR Corporation (a global provider of omni-channel technology solutions) 2016 – 2018; Senior Vice President and Chief Financial Officer of NCR Corporation 2010 – 2016; Vice President and Corporate Controller of NCR Corporation 2007 – 2009.</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Tanya L. Hooper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Human Resources Officer since January 1, 2023; Vice President of Global Talent and Corporate Human Resources of Honeywell International Inc. 2021 – 2022; Vice President and Chief Human Resources Officer of Collins Aerospace 2019 – 2021; Vice President of Talent of Collins Aerospace 2018 – 2019; Vice President of Human Resources of Collins Aerospace 2016 – 2018; Various positions of increasing responsibility at Shell 2000 – 2016.</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Jerome O. Pedretti</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Executive Officer of the Pool reporting segment since January 1, 2023; Executive Vice President and President of the Flow reporting segment 2020 – 2022; Senior Vice President of Pentair’s former Aquatic Systems reporting segment 2016 – 2019; Vice President of Pentair’s former Valves &amp; Controls business 2014 – 2016; Vice President Growth Strategy 2010 – 2014; Various business leadership positions of Pentair 2005 – 2014; Consultant at Bain &amp; Co 2002 – 2005. </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Stephen J. Pilla</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Supply Chain Officer and Chief Transformation Officer since January 1, 2023; Executive Vice President and Chief Supply Chain Officer 2020 – 2022; Vice President and Chief Supply Chain Officer of Red Wing Shoe Co. (a manufacturer of personal protection equipment and footwear) 2017 – 2020; Vice President and General Manager of Pentair’s former Enclosure Division 2015 – 2017; Vice President of Pentair’s Global Operations and Supply Chain 2014 – 2016; Vice President, Global Supply of Pentair 2009 – 2012; Various other business leadership positions of Pentair 2002 – 2009.</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Karla C. Robertson</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Secretary and Chief Social Responsibility Officer since 2020; Executive Vice President, General Counsel and Secretary 2018 – 2020; General Counsel, Water segment 2017 – 2018; Executive Vice President, General Counsel and Corporate Secretary of SUPERVALU Inc. (a wholesaler and retailer of grocery products) 2013 – 2017; Vice President, Employment, Compensation and Benefits Law of SUPERVALU Inc. 2012 – 2013; Director, Employment Law of SUPERVALU Inc. 2011 – 2012; Senior Counsel, Employment Law of SUPERVALU Inc. 2009 – 2011; Senior Employee Relations Counsel of Target Corporation 2006 – 2008; Associate, Faegre &amp; Benson LLP 2000 – 2005; Judicial Clerk, United States District Court for the Southern District of Iowa 1998 – 2000.</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Philip M. Rolchigo</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Technology Officer since 2018; Chief Technology Officer 2017 – 2018; Vice President of Technology 2015 – 2017; Vice President of Engineering 2007 – 2015; Business Development Director of Water Technologies business of GE Global Research Center 2006 – 2007; Director of Technology of GE Water &amp; Process Technologies 2003 – 2006; Chief Technology Officer of Osmonics 2000 – 2003; Vice President of Research &amp; Development of Osmonics 1998 – 2000.</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De’Mon L. Wiggins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President of the Flow reporting segment since January 1, 2023; Group President of Pentair’s Pool business 2021 – 2022; Vice President of Pentair’s Pool business 2017 – 2021; Vice President and Strategic Business Unit leader for Pentair’s Fluid Motion platform 2016 – 2017; Various other business leadership positions of Pentair 2010 – 2016.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ordinary shares are listed for trading on the New York Stock Exchange (“NYSE”) under the symbol “PNR.” As of December 31, 2023, there were 12,363 shareholders of record. </w:t>
      </w:r>
    </w:p>
    <w:p>
      <w:pPr>
        <w:pStyle w:val="TextBody"/>
        <w:bidi w:val="0"/>
        <w:spacing w:lineRule="auto" w:line="288" w:before="180" w:after="283"/>
        <w:jc w:val="both"/>
        <w:rPr/>
      </w:pPr>
      <w:r>
        <w:rPr>
          <w:rFonts w:ascii="Times New Roman;sans-serif" w:hAnsi="Times New Roman;sans-serif"/>
          <w:b w:val="false"/>
          <w:color w:val="000000"/>
          <w:sz w:val="20"/>
        </w:rPr>
        <w:t>Pentair has paid 192 consecutive quarterly cash dividends, including most recently a dividend of $0.22 per share in the fourth quarter of 2023. On December 11, 2023, Pentair’s Board of Directors approved a regular quarterly cash dividend of $0.23 per share that was paid on February 2, 2024 to shareholders of record at the close of business on January 19, 2024. This dividend reflects a 5 percent increase in the Company’s regular cash dividend rate and marks the 48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consecutive year that Pentair has increased its dividend.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timing, declaration and payment of future dividends to holders of our ordinary shares will depend upon many factors, including our financial condition and results of operations, the capital requirements of our businesses, industry practice and any other relevant factors.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Share Performance Graph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under the caption “Share Performance Graph” in this ITEM 5 of this Annual Report on Form 10-K is not deemed to be “soliciting material” or to be “filed” with the SEC or subject to Regulation 14A or 14C under the Securities Exchange Act of 1934, as amended (the “Exchange Act”), or to the liabilities of Section 18 of the Exchange Act and will not be deemed to be incorporated by reference into any filing under the Securities Act of 1933, as amended, or the Exchange Act, except to the extent we specifically incorporate it by reference into such a filing.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sets forth the cumulative total shareholder return on our ordinary shares for the last five years, assuming the investment of $100 on December 31, 2018 and the reinvestment of all dividends since that date to December 31, 2023. The graph also contains for comparison purposes the S&amp;P 500 Index, the S&amp;P 500 Industrials Index and the S&amp;P Mid Cap 400 Index assuming the same investment level and reinvestment of dividends.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virtue of our market capitalization, we are a component of the S&amp;P 500 Index. On the basis of our size and diversity of businesses, we believe the S&amp;P 500 Industrials Index and the S&amp;P Mid Cap 400 Index are appropriate published industry indexes for comparison purposes.</w:t>
      </w:r>
    </w:p>
    <w:p>
      <w:pPr>
        <w:pStyle w:val="TextBody"/>
        <w:bidi w:val="0"/>
        <w:spacing w:before="180" w:after="283"/>
        <w:jc w:val="center"/>
        <w:rPr/>
      </w:pPr>
      <w:r>
        <w:rPr/>
        <w:drawing>
          <wp:inline distT="0" distB="0" distL="0" distR="0">
            <wp:extent cx="5943600" cy="3971925"/>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3"/>
                    <a:stretch>
                      <a:fillRect/>
                    </a:stretch>
                  </pic:blipFill>
                  <pic:spPr bwMode="auto">
                    <a:xfrm>
                      <a:off x="0" y="0"/>
                      <a:ext cx="5943600" cy="39719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9057" w:type="dxa"/>
        <w:jc w:val="left"/>
        <w:tblInd w:w="0" w:type="dxa"/>
        <w:tblLayout w:type="fixed"/>
        <w:tblCellMar>
          <w:top w:w="28" w:type="dxa"/>
          <w:left w:w="28" w:type="dxa"/>
          <w:bottom w:w="28" w:type="dxa"/>
          <w:right w:w="28" w:type="dxa"/>
        </w:tblCellMar>
      </w:tblPr>
      <w:tblGrid>
        <w:gridCol w:w="851"/>
        <w:gridCol w:w="749"/>
        <w:gridCol w:w="754"/>
        <w:gridCol w:w="296"/>
        <w:gridCol w:w="676"/>
        <w:gridCol w:w="154"/>
        <w:gridCol w:w="109"/>
        <w:gridCol w:w="109"/>
        <w:gridCol w:w="109"/>
        <w:gridCol w:w="211"/>
        <w:gridCol w:w="721"/>
        <w:gridCol w:w="109"/>
        <w:gridCol w:w="211"/>
        <w:gridCol w:w="721"/>
        <w:gridCol w:w="109"/>
        <w:gridCol w:w="211"/>
        <w:gridCol w:w="721"/>
        <w:gridCol w:w="109"/>
        <w:gridCol w:w="211"/>
        <w:gridCol w:w="721"/>
        <w:gridCol w:w="109"/>
        <w:gridCol w:w="211"/>
        <w:gridCol w:w="721"/>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Base Period</w:t>
              <w:br/>
              <w:t>December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INDEXED RETURNS</w:t>
              <w:br/>
              <w:t>Years ended December 31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Company / Index</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Pentair plc</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S&amp;P 500 Index</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S&amp;P 500 Industrials Index</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S&amp;P Mid Cap 400 Index</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ans-serif" w:hAnsi="Times New Roman;sans-serif"/>
          <w:b/>
          <w:i/>
          <w:color w:val="000000"/>
          <w:sz w:val="20"/>
        </w:rPr>
      </w:pPr>
      <w:r>
        <w:rPr>
          <w:rFonts w:ascii="Times New Roman;sans-serif" w:hAnsi="Times New Roman;sans-serif"/>
          <w:b/>
          <w:i/>
          <w:color w:val="000000"/>
          <w:sz w:val="20"/>
        </w:rPr>
        <w:t>Purchases of Equity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purchases we made of our ordinary shares during the fourth quarter of 2023:</w:t>
      </w:r>
    </w:p>
    <w:tbl>
      <w:tblPr>
        <w:tblW w:w="9706" w:type="dxa"/>
        <w:jc w:val="left"/>
        <w:tblInd w:w="0" w:type="dxa"/>
        <w:tblLayout w:type="fixed"/>
        <w:tblCellMar>
          <w:top w:w="28" w:type="dxa"/>
          <w:left w:w="28" w:type="dxa"/>
          <w:bottom w:w="28" w:type="dxa"/>
          <w:right w:w="28" w:type="dxa"/>
        </w:tblCellMar>
      </w:tblPr>
      <w:tblGrid>
        <w:gridCol w:w="897"/>
        <w:gridCol w:w="787"/>
        <w:gridCol w:w="791"/>
        <w:gridCol w:w="440"/>
        <w:gridCol w:w="440"/>
        <w:gridCol w:w="441"/>
        <w:gridCol w:w="226"/>
        <w:gridCol w:w="662"/>
        <w:gridCol w:w="117"/>
        <w:gridCol w:w="1114"/>
        <w:gridCol w:w="1114"/>
        <w:gridCol w:w="1116"/>
        <w:gridCol w:w="212"/>
        <w:gridCol w:w="1193"/>
        <w:gridCol w:w="156"/>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w:t>
              <w:br/>
              <w:t>of shares</w:t>
              <w:br/>
              <w:t>purchased</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w:t>
              <w:br/>
              <w:t>price paid </w:t>
              <w:br/>
              <w:t>per share</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w:t>
              <w:br/>
              <w:t>of shares purchased as part of publicly</w:t>
              <w:br/>
              <w:t xml:space="preserve">announced plans </w:t>
              <w:br/>
              <w:t>or programs</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 value of</w:t>
              <w:br/>
              <w:t>shares that may</w:t>
              <w:br/>
              <w:t>yet be purchased</w:t>
              <w:br/>
              <w:t>under the plans </w:t>
              <w:br/>
              <w:t>or programs</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1 – October 28</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600,002,203 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29 – November 25</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600,002,203 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26 – December 31</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600,002,203 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The purchases in this column include 4,679 shares for the period October 1 – October 28, 594 shares for the period October 29 – November 25, and 1,283 shares for the period November 26 – December 31 deemed surrendered to us by participants in our equity incentive plans to satisfy the exercise price or withholding of tax obligations related to the exercise of stock options and vesting of restricted and performance shares.</w:t>
      </w:r>
    </w:p>
    <w:p>
      <w:pPr>
        <w:pStyle w:val="TextBody"/>
        <w:bidi w:val="0"/>
        <w:spacing w:lineRule="auto" w:line="288" w:before="180" w:after="283"/>
        <w:ind w:left="0" w:right="0" w:hanging="360"/>
        <w:jc w:val="both"/>
        <w:rPr/>
      </w:pPr>
      <w:r>
        <w:rPr>
          <w:rFonts w:ascii="Times New Roman;sans-serif" w:hAnsi="Times New Roman;sans-serif"/>
          <w:b w:val="false"/>
          <w:color w:val="000000"/>
          <w:sz w:val="12"/>
        </w:rPr>
        <w:t>(b)</w:t>
      </w:r>
      <w:r>
        <w:rPr>
          <w:rFonts w:ascii="Times New Roman;sans-serif" w:hAnsi="Times New Roman;sans-serif"/>
          <w:b w:val="false"/>
          <w:color w:val="000000"/>
          <w:sz w:val="18"/>
        </w:rPr>
        <w:t>The average price paid in this column includes shares repurchased as part of our publicly announced plans and shares deemed surrendered to us by participants in our equity incentive plans to satisfy the exercise price for the exercise price of stock options and withholding tax obligations due upon stock option exercises and vesting of restricted and performance shares.</w:t>
      </w:r>
    </w:p>
    <w:p>
      <w:pPr>
        <w:pStyle w:val="TextBody"/>
        <w:bidi w:val="0"/>
        <w:spacing w:lineRule="auto" w:line="288" w:before="180" w:after="283"/>
        <w:ind w:left="0" w:right="0" w:hanging="360"/>
        <w:jc w:val="both"/>
        <w:rPr/>
      </w:pPr>
      <w:r>
        <w:rPr>
          <w:rFonts w:ascii="Times New Roman;sans-serif" w:hAnsi="Times New Roman;sans-serif"/>
          <w:b w:val="false"/>
          <w:color w:val="000000"/>
          <w:sz w:val="12"/>
        </w:rPr>
        <w:t>(c)</w:t>
      </w:r>
      <w:r>
        <w:rPr>
          <w:rFonts w:ascii="Times New Roman;sans-serif" w:hAnsi="Times New Roman;sans-serif"/>
          <w:b w:val="false"/>
          <w:color w:val="000000"/>
          <w:sz w:val="18"/>
        </w:rPr>
        <w:t>The number of shares in this column represents the number of shares repurchased as part of our publicly announced plans to repurchase our ordinary shares up to a maximum dollar limit authorized by the Board of Directors, discussed below.</w:t>
      </w:r>
    </w:p>
    <w:p>
      <w:pPr>
        <w:pStyle w:val="TextBody"/>
        <w:bidi w:val="0"/>
        <w:spacing w:lineRule="auto" w:line="288" w:before="180" w:after="240"/>
        <w:ind w:left="0" w:right="0" w:hanging="360"/>
        <w:jc w:val="both"/>
        <w:rPr/>
      </w:pPr>
      <w:r>
        <w:rPr>
          <w:rFonts w:ascii="Times New Roman;sans-serif" w:hAnsi="Times New Roman;sans-serif"/>
          <w:b w:val="false"/>
          <w:color w:val="000000"/>
          <w:sz w:val="12"/>
        </w:rPr>
        <w:t>(d)</w:t>
      </w:r>
      <w:r>
        <w:rPr>
          <w:rFonts w:ascii="Times New Roman;sans-serif" w:hAnsi="Times New Roman;sans-serif"/>
          <w:b w:val="false"/>
          <w:color w:val="000000"/>
          <w:sz w:val="18"/>
        </w:rPr>
        <w:t>In December 2020, the Board of Directors authorized the repurchase of our ordinary shares up to a maximum dollar limit of $750.0 million. This authorization expires on December 31, 2025. As of December 31, 2023, we had $600.0 million remaining availability for repurchases under this authorization. From time to time, we may enter into a Rule 10b5-1 trading plan for the purpose of repurchasing shares under this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ESG goals. Additional information concerning these and other factors is contained in our filings with the U.S. Securities and Exchange Commission (the “SEC”), including this Annual Report on Form 10-K. All forward-looking statements speak only as of the date of this report. Pentair assumes no obligation, and disclaims any obligation, to update the information contained in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Pentair plc and its consolidated subsidiaries (“we,” “us,” “our,” “Pentair” or the “Company”) is a pure play water industrial manufacturing company comprised of three reporting segments: Flow (formerly named the Industrial &amp; Flow Technologies segment), Water Solutions and Pool. We classify our operations into business segments based primarily on types of products offered and markets served. For the year ended December 31, 2023, the Flow, Water Solutions and Pool segments represented approximately 38%, 29% and 33% of total revenues, respectively.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jurisdiction of organization is Ireland, we manage our affairs so that we are centrally managed and controlled in the United Kingdom (the “U.K.”) and therefore have our tax residency in the U.K.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as part of our Water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Key trends and uncertainties regarding our existing business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trends and uncertainties affected our financial performance in 2023, and are reasonably likely to impact our results in the future: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 2021, we created a transformation office and launched and committed resources to the Transformation Program designed to accelerate growth and drive margin expansion by driving operational excellence, reducing complexity and streamlining our processes. During 2023, we made strategic progress on our Transformation Program initiatives with a focus on our four key themes of pricing excellence, strategic sourcing, operations excellence and organizational effectiveness. We expect to continue to execute on our key Transformation Program initiatives to drive margin expansion and to continue to incur transformation costs in 2024 and beyond.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 2023, we executed certain business restructuring initiatives aimed at reducing our fixed cost structure and realigning our business. We expect these actions to continue into 2024 and to drive margin growth.</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current volatile market for commodities has the potential to drive price increases in our supply chain. While we have taken pricing actions and implemented transformation initiatives that we expect to improve productivity and offset cost increases, we anticipate supply chain pressures and inflationary cost increases to continue into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Organization for Economic Co-operation and Development Pillar Two Model Rules (“Pillar Two”), for a global 15.0% minimum tax, are in the process of being adopted by a number of jurisdictions in which we operate. In particular, the U.K. has completed passage of legislation to comply with the Pillar Two framework, which became effective at the start of 2024. We expect Pillar Two to have a negative 1.0% to 1.5% impact to our effective tax rate in 2024. That impact could change in the future as we continue to evaluate the enacted legislative changes and as new guidance becomes available.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our operating objectives focus on delivering our core and building our future. We expect to execute these objectives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Delivering profitable revenue growth and productivity for customers and shareholders;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Continuing to focus on capital allocation through:</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Committing to maintain our investment grade rating;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Focusing on reducing our long-term debt;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Returning cash to shareholders through dividends and share repurchases;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Accelerating our performance with strategically-aligned mergers and acquisitions;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Focusing growth initiatives that accelerate our investments in digital, innovation, technology and ESG;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Continuing to implement our Transformation Program initiatives that will drive operational excellence, reduce complexity and improve our organizational structure;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Building a high performance growth culture and delivering on our commitments while living our Win Right values.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results of operations were as follows:</w:t>
      </w:r>
    </w:p>
    <w:tbl>
      <w:tblPr>
        <w:tblW w:w="10205" w:type="dxa"/>
        <w:jc w:val="center"/>
        <w:tblInd w:w="0" w:type="dxa"/>
        <w:tblLayout w:type="fixed"/>
        <w:tblCellMar>
          <w:top w:w="28" w:type="dxa"/>
          <w:left w:w="28" w:type="dxa"/>
          <w:bottom w:w="28" w:type="dxa"/>
          <w:right w:w="28" w:type="dxa"/>
        </w:tblCellMar>
      </w:tblPr>
      <w:tblGrid>
        <w:gridCol w:w="1396"/>
        <w:gridCol w:w="1201"/>
        <w:gridCol w:w="1159"/>
        <w:gridCol w:w="211"/>
        <w:gridCol w:w="766"/>
        <w:gridCol w:w="241"/>
        <w:gridCol w:w="211"/>
        <w:gridCol w:w="766"/>
        <w:gridCol w:w="241"/>
        <w:gridCol w:w="211"/>
        <w:gridCol w:w="766"/>
        <w:gridCol w:w="241"/>
        <w:gridCol w:w="109"/>
        <w:gridCol w:w="109"/>
        <w:gridCol w:w="109"/>
        <w:gridCol w:w="285"/>
        <w:gridCol w:w="246"/>
        <w:gridCol w:w="653"/>
        <w:gridCol w:w="306"/>
        <w:gridCol w:w="262"/>
        <w:gridCol w:w="716"/>
      </w:tblGrid>
      <w:tr>
        <w:trPr/>
        <w:tc>
          <w:tcPr>
            <w:tcW w:w="139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r>
      <w:tr>
        <w:trPr/>
        <w:tc>
          <w:tcPr>
            <w:tcW w:w="3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 vs 2021</w:t>
            </w:r>
          </w:p>
        </w:tc>
      </w:tr>
      <w:tr>
        <w:trPr/>
        <w:tc>
          <w:tcPr>
            <w:tcW w:w="3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3.9 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(1.9)</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16.6 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16.4 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15.8 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0.2 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0.6 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0.2 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(0.1)</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18.0 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14.4 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3.6 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(2.5)</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16"/>
              </w:rPr>
              <w:t>Effective tax 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(12.8)</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0.9 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 Not Meaningful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consolidated net sales change were as follows:</w:t>
      </w:r>
    </w:p>
    <w:tbl>
      <w:tblPr>
        <w:tblW w:w="4561" w:type="dxa"/>
        <w:jc w:val="left"/>
        <w:tblInd w:w="0" w:type="dxa"/>
        <w:tblLayout w:type="fixed"/>
        <w:tblCellMar>
          <w:top w:w="28" w:type="dxa"/>
          <w:left w:w="28" w:type="dxa"/>
          <w:bottom w:w="28" w:type="dxa"/>
          <w:right w:w="28" w:type="dxa"/>
        </w:tblCellMar>
      </w:tblPr>
      <w:tblGrid>
        <w:gridCol w:w="738"/>
        <w:gridCol w:w="650"/>
        <w:gridCol w:w="652"/>
        <w:gridCol w:w="293"/>
        <w:gridCol w:w="293"/>
        <w:gridCol w:w="675"/>
        <w:gridCol w:w="256"/>
        <w:gridCol w:w="256"/>
        <w:gridCol w:w="748"/>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 vs 2021</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Core growth</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Acquisition/Divestiture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0.4 percent decrease in consolidated net sales in 2023 from 2022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sales volume in our residential business within our Flow segment compared to the prior year;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sales volume in our residential business within our Water Solutions segment driven by lower demand compared to the prior year and certain business exits announced in the second half of 2022;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sales volume in our Pool segment primarily due to higher channel inventory and lower demand compared to the prior year.</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decrease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a rise in inflationary costs as well as lower rebates and incentives in our Pool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within our Water Solutions segment from the acquisition of Manitowoc Ice, which was completed in the third quarter of 2022;</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volume in our commercial business within our Water Solutions segment driven by demand and easing of supply chain pressures, which allowed increased productivity and delivery to market;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volume in our commercial and industrial solutions businesses within our Flow segment compared to the prior year.</w:t>
      </w:r>
    </w:p>
    <w:p>
      <w:pPr>
        <w:pStyle w:val="TextBody"/>
        <w:bidi w:val="0"/>
        <w:spacing w:lineRule="auto" w:line="288" w:before="180" w:after="283"/>
        <w:jc w:val="both"/>
        <w:rPr/>
      </w:pPr>
      <w:r>
        <w:rPr>
          <w:rFonts w:ascii="Times New Roman;sans-serif" w:hAnsi="Times New Roman;sans-serif"/>
          <w:b/>
          <w:i/>
          <w:color w:val="000000"/>
          <w:sz w:val="20"/>
        </w:rPr>
        <w:t>Gross profit</w:t>
      </w: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3.9 percentage point increase in gross profit as a percentage of net sales in 2023 from 2022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increased selling prices to mitigate impacts of inflation as well as lower rebates and incentives in our Pool segment;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productivity within our Water Solutions segment as a result of certain transformation and restructuring initiatives;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productivity in our Flow segment mainly driven by manufacturing leverage and transformation initiatives;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inventory impairments and write-offs and certain accruals of $19.6 million, recorded in 2022 as part of exiting businesses in our Water Solutions segment;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amortization of inventory fair market value step-up of $5.8 million in 2022, as a result of the Manitowoc Ice acquisition.</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inflationary cost increases related to labor costs and certain raw materials;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inventory impairments and write-offs of $7.0 million in 2023.</w:t>
      </w:r>
    </w:p>
    <w:p>
      <w:pPr>
        <w:pStyle w:val="TextBody"/>
        <w:bidi w:val="0"/>
        <w:spacing w:lineRule="auto" w:line="288" w:before="180" w:after="283"/>
        <w:jc w:val="both"/>
        <w:rPr/>
      </w:pPr>
      <w:r>
        <w:rPr>
          <w:rFonts w:ascii="Times New Roman;sans-serif" w:hAnsi="Times New Roman;sans-serif"/>
          <w:b/>
          <w:i/>
          <w:color w:val="000000"/>
          <w:sz w:val="20"/>
        </w:rPr>
        <w:t>Selling, general and administrative (“SG&amp;A”)</w:t>
      </w: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0.2 percentage point increase in SG&amp;A expense as a percentage of net sales in 2023 from 2022 was driven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higher employee compensation costs compared to the prior year;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transformation costs of $44.3 million in 2023, compared to $27.2 million in 2022.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no deal-related costs and expenses in 2023, compared to $22.2 million in 2022;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restructuring costs of $9.1 million in 2023, compared to $36.7 million in 2022.</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interest expense</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increase in net interest expense in 2023 from 2022 was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variable interest rates in 2023 compared to the prior year;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debt due to the acquisition of Manitowoc Ice in the third quarter of 2022.</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amortization of debt issuance costs of $9.0 million in 2022 related to financing commitments for a bridge loan facility established in connection with the acquisition of Manitowoc Ice that did not recur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(Benefit) provision for income taxes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12.8 percentage point decrease in the effective tax rate in 2023 from 2022 was primarily due to:</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favorable impact of worthless stock deductions related to exiting certain businesses in our Water Solutions segment;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favorable impact of discrete items primarily related to increases in tax basis in assets located in foreign jurisdictions;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favorable mix of global earnings.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2022 Comparison with 2021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discussion of changes in our consolidated results of operations, segment results of operations for the Flow (formerly named Industrial &amp; Flow Technologies) segment and liquidity and capital resources from the year ended December 31, 2022 to December 31, 2021 can be found in Part II, ITEM 7, Management’s Discussion and Analysis of Financial Condition and Results of Operations of our Annual Report on Form 10-K for the year ended December 31, 2022, which was filed with the SEC on February 21, 2023. However, such discussion is not incorporated by reference into, and does not constitute a part of, this Annual Report on Form 10-K.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summary that follows provides a discussion of the results of operations of our three reportable segments (Flow, Water Solutions and Pool). Each of these segments is comprised of various product offerings that serve multiple end users.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and transformation activities, impairments and other unusual non-operating items.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Flow</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sales and segment income for Flow were as follows:</w:t>
      </w:r>
    </w:p>
    <w:tbl>
      <w:tblPr>
        <w:tblW w:w="8135" w:type="dxa"/>
        <w:jc w:val="center"/>
        <w:tblInd w:w="0" w:type="dxa"/>
        <w:tblLayout w:type="fixed"/>
        <w:tblCellMar>
          <w:top w:w="28" w:type="dxa"/>
          <w:left w:w="28" w:type="dxa"/>
          <w:bottom w:w="28" w:type="dxa"/>
          <w:right w:w="28" w:type="dxa"/>
        </w:tblCellMar>
      </w:tblPr>
      <w:tblGrid>
        <w:gridCol w:w="533"/>
        <w:gridCol w:w="466"/>
        <w:gridCol w:w="471"/>
        <w:gridCol w:w="211"/>
        <w:gridCol w:w="766"/>
        <w:gridCol w:w="241"/>
        <w:gridCol w:w="211"/>
        <w:gridCol w:w="766"/>
        <w:gridCol w:w="241"/>
        <w:gridCol w:w="211"/>
        <w:gridCol w:w="766"/>
        <w:gridCol w:w="241"/>
        <w:gridCol w:w="109"/>
        <w:gridCol w:w="109"/>
        <w:gridCol w:w="109"/>
        <w:gridCol w:w="259"/>
        <w:gridCol w:w="252"/>
        <w:gridCol w:w="802"/>
        <w:gridCol w:w="255"/>
        <w:gridCol w:w="256"/>
        <w:gridCol w:w="860"/>
      </w:tblGrid>
      <w:tr>
        <w:trPr/>
        <w:tc>
          <w:tcPr>
            <w:tcW w:w="5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 vs 2021</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17.8 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16.1 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1.7 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1.1 </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r>
    </w:tbl>
    <w:p>
      <w:pPr>
        <w:pStyle w:val="TextBody"/>
        <w:bidi w:val="0"/>
        <w:spacing w:lineRule="auto" w:line="288" w:before="80" w:after="283"/>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change in Flow net sales were as follows:</w:t>
      </w:r>
    </w:p>
    <w:tbl>
      <w:tblPr>
        <w:tblW w:w="3780" w:type="dxa"/>
        <w:jc w:val="left"/>
        <w:tblInd w:w="0" w:type="dxa"/>
        <w:tblLayout w:type="fixed"/>
        <w:tblCellMar>
          <w:top w:w="28" w:type="dxa"/>
          <w:left w:w="28" w:type="dxa"/>
          <w:bottom w:w="28" w:type="dxa"/>
          <w:right w:w="28" w:type="dxa"/>
        </w:tblCellMar>
      </w:tblPr>
      <w:tblGrid>
        <w:gridCol w:w="472"/>
        <w:gridCol w:w="416"/>
        <w:gridCol w:w="417"/>
        <w:gridCol w:w="270"/>
        <w:gridCol w:w="270"/>
        <w:gridCol w:w="675"/>
        <w:gridCol w:w="256"/>
        <w:gridCol w:w="256"/>
        <w:gridCol w:w="748"/>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 vs 2021</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Core growth</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5.4 percent increase in net sales for Flow in 2023 from 2022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inflationary cost increases;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volume in our commercial and industrial solutions businesses in 2023 compared to the prior year;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favorable foreign currency effects in 2023 compared to the prior year.</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sales volume in our residential business in 2023 compared to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Segment income </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components of the change in </w:t>
      </w:r>
      <w:r>
        <w:rPr>
          <w:rFonts w:ascii="Times New Roman;sans-serif" w:hAnsi="Times New Roman;sans-serif"/>
          <w:b w:val="false"/>
          <w:color w:val="000000"/>
          <w:sz w:val="20"/>
        </w:rPr>
        <w:t>Flow</w:t>
      </w:r>
      <w:r>
        <w:rPr>
          <w:color w:val="000000"/>
          <w:shd w:fill="FFFFFF" w:val="clear"/>
        </w:rPr>
        <w:t xml:space="preserve"> </w:t>
      </w:r>
      <w:r>
        <w:rPr>
          <w:rFonts w:ascii="Times New Roman;sans-serif" w:hAnsi="Times New Roman;sans-serif"/>
          <w:b w:val="false"/>
          <w:color w:val="000000"/>
          <w:sz w:val="20"/>
          <w:shd w:fill="FFFFFF" w:val="clear"/>
        </w:rPr>
        <w:t>segment income as a percentage of net sales from the prior period were as follows:</w:t>
      </w:r>
    </w:p>
    <w:tbl>
      <w:tblPr>
        <w:tblW w:w="4022" w:type="dxa"/>
        <w:jc w:val="center"/>
        <w:tblInd w:w="0" w:type="dxa"/>
        <w:tblLayout w:type="fixed"/>
        <w:tblCellMar>
          <w:top w:w="28" w:type="dxa"/>
          <w:left w:w="28" w:type="dxa"/>
          <w:bottom w:w="28" w:type="dxa"/>
          <w:right w:w="28" w:type="dxa"/>
        </w:tblCellMar>
      </w:tblPr>
      <w:tblGrid>
        <w:gridCol w:w="797"/>
        <w:gridCol w:w="702"/>
        <w:gridCol w:w="706"/>
        <w:gridCol w:w="239"/>
        <w:gridCol w:w="241"/>
        <w:gridCol w:w="406"/>
        <w:gridCol w:w="239"/>
        <w:gridCol w:w="241"/>
        <w:gridCol w:w="45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Growth/Price/Acquisition</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Productivity</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bl>
    <w:p>
      <w:pPr>
        <w:pStyle w:val="TextBody"/>
        <w:bidi w:val="0"/>
        <w:spacing w:lineRule="auto" w:line="288" w:before="80" w:after="283"/>
        <w:jc w:val="both"/>
        <w:rPr/>
      </w:pPr>
      <w:r>
        <w:rPr>
          <w:rFonts w:ascii="Times New Roman;sans-serif" w:hAnsi="Times New Roman;sans-serif"/>
          <w:b w:val="false"/>
          <w:i/>
          <w:color w:val="000000"/>
          <w:sz w:val="20"/>
        </w:rPr>
        <w:t>The 1.7 percentage point increase in segment income for Flow</w:t>
      </w:r>
      <w:r>
        <w:rPr>
          <w:color w:val="000000"/>
          <w:shd w:fill="FFFFFF" w:val="clear"/>
        </w:rPr>
        <w:t xml:space="preserve"> </w:t>
      </w:r>
      <w:r>
        <w:rPr>
          <w:rFonts w:ascii="Times New Roman;sans-serif" w:hAnsi="Times New Roman;sans-serif"/>
          <w:b w:val="false"/>
          <w:i/>
          <w:color w:val="000000"/>
          <w:sz w:val="20"/>
        </w:rPr>
        <w:t>as a percentage of net sales in 2023 from 2022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impacts of inflation;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productivity mainly driven by manufacturing leverage and transformation initiatives.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inflationary cost increases related to labor costs and certain raw materials.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Water Solutions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sales and segment income for Water Solutions were as follows:</w:t>
      </w:r>
    </w:p>
    <w:tbl>
      <w:tblPr>
        <w:tblW w:w="7835" w:type="dxa"/>
        <w:jc w:val="left"/>
        <w:tblInd w:w="0" w:type="dxa"/>
        <w:tblLayout w:type="fixed"/>
        <w:tblCellMar>
          <w:top w:w="28" w:type="dxa"/>
          <w:left w:w="28" w:type="dxa"/>
          <w:bottom w:w="28" w:type="dxa"/>
          <w:right w:w="28" w:type="dxa"/>
        </w:tblCellMar>
      </w:tblPr>
      <w:tblGrid>
        <w:gridCol w:w="533"/>
        <w:gridCol w:w="466"/>
        <w:gridCol w:w="471"/>
        <w:gridCol w:w="211"/>
        <w:gridCol w:w="766"/>
        <w:gridCol w:w="241"/>
        <w:gridCol w:w="211"/>
        <w:gridCol w:w="616"/>
        <w:gridCol w:w="241"/>
        <w:gridCol w:w="211"/>
        <w:gridCol w:w="616"/>
        <w:gridCol w:w="241"/>
        <w:gridCol w:w="109"/>
        <w:gridCol w:w="109"/>
        <w:gridCol w:w="109"/>
        <w:gridCol w:w="255"/>
        <w:gridCol w:w="256"/>
        <w:gridCol w:w="802"/>
        <w:gridCol w:w="255"/>
        <w:gridCol w:w="256"/>
        <w:gridCol w:w="860"/>
      </w:tblGrid>
      <w:tr>
        <w:trPr/>
        <w:tc>
          <w:tcPr>
            <w:tcW w:w="5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 vs 2021</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15.1 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5.9 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1.9 </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r>
    </w:tbl>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change in Water Solutions net sales were as follows:</w:t>
      </w:r>
    </w:p>
    <w:tbl>
      <w:tblPr>
        <w:tblW w:w="4515" w:type="dxa"/>
        <w:jc w:val="left"/>
        <w:tblInd w:w="0" w:type="dxa"/>
        <w:tblLayout w:type="fixed"/>
        <w:tblCellMar>
          <w:top w:w="28" w:type="dxa"/>
          <w:left w:w="28" w:type="dxa"/>
          <w:bottom w:w="28" w:type="dxa"/>
          <w:right w:w="28" w:type="dxa"/>
        </w:tblCellMar>
      </w:tblPr>
      <w:tblGrid>
        <w:gridCol w:w="738"/>
        <w:gridCol w:w="650"/>
        <w:gridCol w:w="652"/>
        <w:gridCol w:w="270"/>
        <w:gridCol w:w="270"/>
        <w:gridCol w:w="675"/>
        <w:gridCol w:w="256"/>
        <w:gridCol w:w="256"/>
        <w:gridCol w:w="748"/>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 vs 2021</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Core growth</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Acquisition/Divestiture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19.3 percent increase in net sales for Water Solutions in 2023 from 2022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as a result of the acquisition of Manitowoc Ice, which was completed in the third quarter of 2022;</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higher sales volume in our commercial business driven by higher demand and easing of supply chain pressures, which allowed increased production and delivery to market;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inflationary cost increases.</w:t>
      </w:r>
    </w:p>
    <w:p>
      <w:pPr>
        <w:pStyle w:val="TextBody"/>
        <w:bidi w:val="0"/>
        <w:spacing w:lineRule="auto" w:line="288" w:before="180" w:after="283"/>
        <w:jc w:val="both"/>
        <w:rPr/>
      </w:pPr>
      <w:r>
        <w:rPr>
          <w:rFonts w:ascii="Times New Roman;sans-serif" w:hAnsi="Times New Roman;sans-serif"/>
          <w:b w:val="false"/>
          <w:i/>
          <w:color w:val="000000"/>
          <w:sz w:val="20"/>
        </w:rPr>
        <w:t>This</w:t>
      </w:r>
      <w:r>
        <w:rPr>
          <w:color w:val="000000"/>
        </w:rPr>
        <w:t xml:space="preserve"> </w:t>
      </w:r>
      <w:r>
        <w:rPr>
          <w:rFonts w:ascii="Times New Roman;sans-serif" w:hAnsi="Times New Roman;sans-serif"/>
          <w:b w:val="false"/>
          <w:i/>
          <w:color w:val="000000"/>
          <w:sz w:val="20"/>
        </w:rPr>
        <w:t>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sales volume in our residential business driven by lower demand in 2023 compared to the prior year and certain business exits announced in the second half of 2022;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unfavorable foreign currency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28.2 percent increase in net sales for Water Solutions in 2022 from 2021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due to the acquisitions of Manitowoc Ice and Ken’s Beverage, Inc. completed in the third quarter of 2022 and the second quarter of 2021, respectively;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impacts of inflation;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volume in our commercial business in 2022 compared to the prior year.</w:t>
      </w:r>
    </w:p>
    <w:p>
      <w:pPr>
        <w:pStyle w:val="TextBody"/>
        <w:bidi w:val="0"/>
        <w:spacing w:lineRule="auto" w:line="288" w:before="180" w:after="283"/>
        <w:jc w:val="both"/>
        <w:rPr/>
      </w:pPr>
      <w:r>
        <w:rPr>
          <w:rFonts w:ascii="Times New Roman;sans-serif" w:hAnsi="Times New Roman;sans-serif"/>
          <w:b w:val="false"/>
          <w:i/>
          <w:color w:val="000000"/>
          <w:sz w:val="20"/>
        </w:rPr>
        <w:t>This</w:t>
      </w:r>
      <w:r>
        <w:rPr>
          <w:color w:val="000000"/>
        </w:rPr>
        <w:t xml:space="preserve"> </w:t>
      </w:r>
      <w:r>
        <w:rPr>
          <w:rFonts w:ascii="Times New Roman;sans-serif" w:hAnsi="Times New Roman;sans-serif"/>
          <w:b w:val="false"/>
          <w:i/>
          <w:color w:val="000000"/>
          <w:sz w:val="20"/>
        </w:rPr>
        <w:t>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sales volume in our residential business in 2022 compared to the prior year;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unfavorable foreign currency effects.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Segment income </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components of the change in </w:t>
      </w:r>
      <w:r>
        <w:rPr>
          <w:rFonts w:ascii="Times New Roman;sans-serif" w:hAnsi="Times New Roman;sans-serif"/>
          <w:b w:val="false"/>
          <w:color w:val="000000"/>
          <w:sz w:val="20"/>
        </w:rPr>
        <w:t>Water Solutions</w:t>
      </w:r>
      <w:r>
        <w:rPr>
          <w:color w:val="000000"/>
          <w:shd w:fill="FFFFFF" w:val="clear"/>
        </w:rPr>
        <w:t xml:space="preserve"> </w:t>
      </w:r>
      <w:r>
        <w:rPr>
          <w:rFonts w:ascii="Times New Roman;sans-serif" w:hAnsi="Times New Roman;sans-serif"/>
          <w:b w:val="false"/>
          <w:color w:val="000000"/>
          <w:sz w:val="20"/>
          <w:shd w:fill="FFFFFF" w:val="clear"/>
        </w:rPr>
        <w:t>segment income as a percentage of net sales from the prior period were as follows:</w:t>
      </w:r>
    </w:p>
    <w:tbl>
      <w:tblPr>
        <w:tblW w:w="4127" w:type="dxa"/>
        <w:jc w:val="left"/>
        <w:tblInd w:w="0" w:type="dxa"/>
        <w:tblLayout w:type="fixed"/>
        <w:tblCellMar>
          <w:top w:w="28" w:type="dxa"/>
          <w:left w:w="28" w:type="dxa"/>
          <w:bottom w:w="28" w:type="dxa"/>
          <w:right w:w="28" w:type="dxa"/>
        </w:tblCellMar>
      </w:tblPr>
      <w:tblGrid>
        <w:gridCol w:w="797"/>
        <w:gridCol w:w="702"/>
        <w:gridCol w:w="706"/>
        <w:gridCol w:w="239"/>
        <w:gridCol w:w="241"/>
        <w:gridCol w:w="406"/>
        <w:gridCol w:w="291"/>
        <w:gridCol w:w="294"/>
        <w:gridCol w:w="45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Growth/Price/Acquisition</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Productivity</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bl>
    <w:p>
      <w:pPr>
        <w:pStyle w:val="TextBody"/>
        <w:bidi w:val="0"/>
        <w:spacing w:lineRule="auto" w:line="288" w:before="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5.9 percentage point increase in segment income for Water Solutions as a percentage of net sales in 2023 from 2022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as a result of the Manitowoc Ice acquisition;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impacts of inflation;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productivity in the residential business as a result of certain transformation and restructuring initiatives.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inflationary cost increases related to labor costs and certain raw materials;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unfavorable foreign currency effects.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1.9 percentage point increase in segment income for Water Solutions as a percentage of net sales in 2022 from 2021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as a result of the Manitowoc Ice acquisition in the third quarter of 2022;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impacts of inflation.</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inflationary cost increases due to high demand and limited supply of raw materials such as metals, resins and electronics along with increased logistics and labor costs;</w:t>
      </w:r>
    </w:p>
    <w:p>
      <w:pPr>
        <w:pStyle w:val="TextBody"/>
        <w:bidi w:val="0"/>
        <w:spacing w:lineRule="auto" w:line="288" w:before="180" w:after="200"/>
        <w:ind w:left="0" w:right="0" w:hanging="360"/>
        <w:jc w:val="both"/>
        <w:rPr/>
      </w:pPr>
      <w:r>
        <w:rPr>
          <w:color w:val="000000"/>
        </w:rPr>
        <w:t>•</w:t>
      </w:r>
      <w:r>
        <w:rPr>
          <w:rFonts w:ascii="Times New Roman;sans-serif" w:hAnsi="Times New Roman;sans-serif"/>
          <w:b w:val="false"/>
          <w:color w:val="000000"/>
          <w:sz w:val="20"/>
        </w:rPr>
        <w:t>decreased productivity in our residential business due to decreased sales volume; and</w:t>
      </w:r>
    </w:p>
    <w:p>
      <w:pPr>
        <w:pStyle w:val="TextBody"/>
        <w:bidi w:val="0"/>
        <w:spacing w:lineRule="auto" w:line="288" w:before="180" w:after="200"/>
        <w:ind w:left="0" w:right="0" w:hanging="360"/>
        <w:jc w:val="both"/>
        <w:rPr/>
      </w:pPr>
      <w:r>
        <w:rPr>
          <w:color w:val="000000"/>
        </w:rPr>
        <w:t>•</w:t>
      </w:r>
      <w:r>
        <w:rPr>
          <w:rFonts w:ascii="Times New Roman;sans-serif" w:hAnsi="Times New Roman;sans-serif"/>
          <w:b w:val="false"/>
          <w:color w:val="000000"/>
          <w:sz w:val="20"/>
        </w:rPr>
        <w:t>unfavorable foreign currency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Pool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sales and segment income for Pool were as follows:</w:t>
      </w:r>
    </w:p>
    <w:tbl>
      <w:tblPr>
        <w:tblW w:w="8149" w:type="dxa"/>
        <w:jc w:val="center"/>
        <w:tblInd w:w="0" w:type="dxa"/>
        <w:tblLayout w:type="fixed"/>
        <w:tblCellMar>
          <w:top w:w="28" w:type="dxa"/>
          <w:left w:w="28" w:type="dxa"/>
          <w:bottom w:w="28" w:type="dxa"/>
          <w:right w:w="28" w:type="dxa"/>
        </w:tblCellMar>
      </w:tblPr>
      <w:tblGrid>
        <w:gridCol w:w="533"/>
        <w:gridCol w:w="466"/>
        <w:gridCol w:w="471"/>
        <w:gridCol w:w="211"/>
        <w:gridCol w:w="766"/>
        <w:gridCol w:w="241"/>
        <w:gridCol w:w="211"/>
        <w:gridCol w:w="766"/>
        <w:gridCol w:w="241"/>
        <w:gridCol w:w="211"/>
        <w:gridCol w:w="766"/>
        <w:gridCol w:w="241"/>
        <w:gridCol w:w="109"/>
        <w:gridCol w:w="109"/>
        <w:gridCol w:w="109"/>
        <w:gridCol w:w="293"/>
        <w:gridCol w:w="293"/>
        <w:gridCol w:w="802"/>
        <w:gridCol w:w="225"/>
        <w:gridCol w:w="225"/>
        <w:gridCol w:w="860"/>
      </w:tblGrid>
      <w:tr>
        <w:trPr/>
        <w:tc>
          <w:tcPr>
            <w:tcW w:w="5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 vs 2021</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28.3 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28.8 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2.7 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(0.5)</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16"/>
              </w:rPr>
              <w:t>pts</w:t>
            </w:r>
          </w:p>
        </w:tc>
      </w:tr>
    </w:tbl>
    <w:p>
      <w:pPr>
        <w:pStyle w:val="TextBody"/>
        <w:bidi w:val="0"/>
        <w:spacing w:lineRule="auto" w:line="288" w:before="80" w:after="283"/>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change in Pool net sales were as follows:</w:t>
      </w:r>
    </w:p>
    <w:tbl>
      <w:tblPr>
        <w:tblW w:w="4635" w:type="dxa"/>
        <w:jc w:val="left"/>
        <w:tblInd w:w="0" w:type="dxa"/>
        <w:tblLayout w:type="fixed"/>
        <w:tblCellMar>
          <w:top w:w="28" w:type="dxa"/>
          <w:left w:w="28" w:type="dxa"/>
          <w:bottom w:w="28" w:type="dxa"/>
          <w:right w:w="28" w:type="dxa"/>
        </w:tblCellMar>
      </w:tblPr>
      <w:tblGrid>
        <w:gridCol w:w="738"/>
        <w:gridCol w:w="650"/>
        <w:gridCol w:w="652"/>
        <w:gridCol w:w="293"/>
        <w:gridCol w:w="293"/>
        <w:gridCol w:w="675"/>
        <w:gridCol w:w="293"/>
        <w:gridCol w:w="293"/>
        <w:gridCol w:w="748"/>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 vs 2021</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Core growth</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Acquisition/Divestiture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17.7 percent decrease in net sales for Pool in 2023 from 2022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sales volume decreases primarily due to higher channel inventory and lower demand compared to the prior year.</w:t>
      </w:r>
    </w:p>
    <w:p>
      <w:pPr>
        <w:pStyle w:val="TextBody"/>
        <w:bidi w:val="0"/>
        <w:spacing w:lineRule="auto" w:line="288" w:before="180" w:after="283"/>
        <w:jc w:val="both"/>
        <w:rPr/>
      </w:pPr>
      <w:r>
        <w:rPr>
          <w:rFonts w:ascii="Times New Roman;sans-serif" w:hAnsi="Times New Roman;sans-serif"/>
          <w:b w:val="false"/>
          <w:i/>
          <w:color w:val="000000"/>
          <w:sz w:val="20"/>
        </w:rPr>
        <w:t>This</w:t>
      </w:r>
      <w:r>
        <w:rPr>
          <w:color w:val="000000"/>
        </w:rPr>
        <w:t xml:space="preserve"> </w:t>
      </w:r>
      <w:r>
        <w:rPr>
          <w:rFonts w:ascii="Times New Roman;sans-serif" w:hAnsi="Times New Roman;sans-serif"/>
          <w:b w:val="false"/>
          <w:i/>
          <w:color w:val="000000"/>
          <w:sz w:val="20"/>
        </w:rPr>
        <w:t>decrease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a rise in inflationary costs as well as lower rebates and incentives.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3.9 percent increase in net sales for Pool in 2022 from 2021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impacts of inflation;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due to the acquisition of Pleatco Holdings, LLC completed in the fourth quarter of 2021.</w:t>
      </w:r>
    </w:p>
    <w:p>
      <w:pPr>
        <w:pStyle w:val="TextBody"/>
        <w:bidi w:val="0"/>
        <w:spacing w:lineRule="auto" w:line="288" w:before="180" w:after="283"/>
        <w:jc w:val="both"/>
        <w:rPr/>
      </w:pPr>
      <w:r>
        <w:rPr>
          <w:rFonts w:ascii="Times New Roman;sans-serif" w:hAnsi="Times New Roman;sans-serif"/>
          <w:b w:val="false"/>
          <w:i/>
          <w:color w:val="000000"/>
          <w:sz w:val="20"/>
        </w:rPr>
        <w:t>This</w:t>
      </w:r>
      <w:r>
        <w:rPr>
          <w:color w:val="000000"/>
        </w:rPr>
        <w:t xml:space="preserve"> </w:t>
      </w:r>
      <w:r>
        <w:rPr>
          <w:rFonts w:ascii="Times New Roman;sans-serif" w:hAnsi="Times New Roman;sans-serif"/>
          <w:b w:val="false"/>
          <w:i/>
          <w:color w:val="000000"/>
          <w:sz w:val="20"/>
        </w:rPr>
        <w:t>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sales volume in 2022 compared to the prior year;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unfavorable foreign currency effects.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Segment income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the change in Pool segment income as a percentage of net sales from the prior period were as follows:</w:t>
      </w:r>
    </w:p>
    <w:tbl>
      <w:tblPr>
        <w:tblW w:w="4053" w:type="dxa"/>
        <w:jc w:val="center"/>
        <w:tblInd w:w="0" w:type="dxa"/>
        <w:tblLayout w:type="fixed"/>
        <w:tblCellMar>
          <w:top w:w="28" w:type="dxa"/>
          <w:left w:w="28" w:type="dxa"/>
          <w:bottom w:w="28" w:type="dxa"/>
          <w:right w:w="28" w:type="dxa"/>
        </w:tblCellMar>
      </w:tblPr>
      <w:tblGrid>
        <w:gridCol w:w="797"/>
        <w:gridCol w:w="702"/>
        <w:gridCol w:w="706"/>
        <w:gridCol w:w="239"/>
        <w:gridCol w:w="241"/>
        <w:gridCol w:w="406"/>
        <w:gridCol w:w="255"/>
        <w:gridCol w:w="256"/>
        <w:gridCol w:w="45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Growth/Price/Acquisition</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Productivity</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bl>
    <w:p>
      <w:pPr>
        <w:pStyle w:val="TextBody"/>
        <w:bidi w:val="0"/>
        <w:spacing w:lineRule="auto" w:line="288" w:before="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2.7 percentage point increase in segment income for Pool as a percentage of net sales in 2023 from 2022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increased selling prices to mitigate impacts of inflation as well as lower rebates and incentives;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productivity associated with benefits realized from our transformation initiatives;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cost management initiatives associated with decreased sales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inflationary cost increases related to labor costs and certain raw materials.</w:t>
      </w:r>
    </w:p>
    <w:p>
      <w:pPr>
        <w:pStyle w:val="TextBody"/>
        <w:bidi w:val="0"/>
        <w:spacing w:lineRule="auto" w:line="288" w:before="18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The 0.5 percentage point decrease in segment income for Pool as a percentage of net sales in 2022 from 2021 was primarily the result 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inflationary cost increases due to high demand and limited supply of raw materials such as metals, resins and electronics along with increased logistics and labor costs;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productivity due to decreased sales volume.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decrease was partially offset by:</w:t>
      </w:r>
    </w:p>
    <w:p>
      <w:pPr>
        <w:pStyle w:val="TextBody"/>
        <w:bidi w:val="0"/>
        <w:spacing w:lineRule="auto" w:line="288" w:before="180" w:after="200"/>
        <w:ind w:left="0" w:right="0" w:hanging="360"/>
        <w:jc w:val="both"/>
        <w:rPr/>
      </w:pPr>
      <w:r>
        <w:rPr>
          <w:color w:val="000000"/>
        </w:rPr>
        <w:t>•</w:t>
      </w:r>
      <w:r>
        <w:rPr>
          <w:rFonts w:ascii="Times New Roman;sans-serif" w:hAnsi="Times New Roman;sans-serif"/>
          <w:b w:val="false"/>
          <w:color w:val="000000"/>
          <w:sz w:val="20"/>
        </w:rPr>
        <w:t>increases in selling prices to mitigate the impacts of inflation; and</w:t>
      </w:r>
    </w:p>
    <w:p>
      <w:pPr>
        <w:pStyle w:val="TextBody"/>
        <w:bidi w:val="0"/>
        <w:spacing w:lineRule="auto" w:line="288" w:before="180" w:after="200"/>
        <w:ind w:left="0" w:right="0" w:hanging="360"/>
        <w:jc w:val="both"/>
        <w:rPr/>
      </w:pPr>
      <w:r>
        <w:rPr>
          <w:color w:val="000000"/>
        </w:rPr>
        <w:t>•</w:t>
      </w:r>
      <w:r>
        <w:rPr>
          <w:rFonts w:ascii="Times New Roman;sans-serif" w:hAnsi="Times New Roman;sans-serif"/>
          <w:b w:val="false"/>
          <w:color w:val="000000"/>
          <w:sz w:val="20"/>
        </w:rPr>
        <w:t>increased sales as a result of the Pleatco Holdings, LLC acquisition in the fourth quarter of 2021.</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BACKLOG OF ORDERS BY SEGMENT</w:t>
      </w:r>
    </w:p>
    <w:tbl>
      <w:tblPr>
        <w:tblW w:w="5481" w:type="dxa"/>
        <w:jc w:val="left"/>
        <w:tblInd w:w="0" w:type="dxa"/>
        <w:tblLayout w:type="fixed"/>
        <w:tblCellMar>
          <w:top w:w="28" w:type="dxa"/>
          <w:left w:w="28" w:type="dxa"/>
          <w:bottom w:w="28" w:type="dxa"/>
          <w:right w:w="28" w:type="dxa"/>
        </w:tblCellMar>
      </w:tblPr>
      <w:tblGrid>
        <w:gridCol w:w="517"/>
        <w:gridCol w:w="452"/>
        <w:gridCol w:w="456"/>
        <w:gridCol w:w="211"/>
        <w:gridCol w:w="616"/>
        <w:gridCol w:w="109"/>
        <w:gridCol w:w="211"/>
        <w:gridCol w:w="616"/>
        <w:gridCol w:w="109"/>
        <w:gridCol w:w="211"/>
        <w:gridCol w:w="691"/>
        <w:gridCol w:w="109"/>
        <w:gridCol w:w="293"/>
        <w:gridCol w:w="293"/>
        <w:gridCol w:w="587"/>
      </w:tblGrid>
      <w:tr>
        <w:trPr/>
        <w:tc>
          <w:tcPr>
            <w:tcW w:w="5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from order to delivery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2024 net sales. The decrease in our overall backlog from the prior year was primarily driven by our backlog trending down to more historical levels as a result of increased manufacturing capacity and improved lead times.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 seasonal cash flows primarily due to seasonal demand in a number of markets. Consistent with historical trends, we experienced seasonal cash usage in the first quarter of 2023 and drew on our revolving credit facility to fund our operations. This cash usage reversed in the second quarter of 2023 as the seasonality of our businesses peaked and generated significant cash to fund our operations. In the second half of 2023, we funded our operations using our strong cash flow and revolving credit facility.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End-user demand for pool equipment in the Pool segment, water solution products in the Water Solutions segment, and residential water supply and agricultural products within the Flow segment follows warm weather trends, with seasonal highs from April to September. The magnitude of the sales spike has historically been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 </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Summary of Cash Flows</w:t>
      </w:r>
    </w:p>
    <w:tbl>
      <w:tblPr>
        <w:tblW w:w="6813" w:type="dxa"/>
        <w:jc w:val="left"/>
        <w:tblInd w:w="0" w:type="dxa"/>
        <w:tblLayout w:type="fixed"/>
        <w:tblCellMar>
          <w:top w:w="28" w:type="dxa"/>
          <w:left w:w="28" w:type="dxa"/>
          <w:bottom w:w="28" w:type="dxa"/>
          <w:right w:w="28" w:type="dxa"/>
        </w:tblCellMar>
      </w:tblPr>
      <w:tblGrid>
        <w:gridCol w:w="1436"/>
        <w:gridCol w:w="1256"/>
        <w:gridCol w:w="1268"/>
        <w:gridCol w:w="211"/>
        <w:gridCol w:w="616"/>
        <w:gridCol w:w="109"/>
        <w:gridCol w:w="211"/>
        <w:gridCol w:w="616"/>
        <w:gridCol w:w="109"/>
        <w:gridCol w:w="211"/>
        <w:gridCol w:w="616"/>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activities of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(1,582.8)</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1,232.7</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w:t>
            </w:r>
          </w:p>
        </w:tc>
      </w:tr>
    </w:tbl>
    <w:p>
      <w:pPr>
        <w:pStyle w:val="TextBody"/>
        <w:bidi w:val="0"/>
        <w:spacing w:lineRule="auto" w:line="288" w:before="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2023, net cash provided by operating activities of continuing operations primarily reflects net income from continuing operations, net of non-cash depreciation, definite-lived intangible amortization, asset impairment and deferred income taxes, of $653.1 million. Additionally, we had a cash outflow of $61.3 million as a result of changes in net working capital, primarily due to an increase in accounts receivable and decreases in accounts payable and other current liability balances, partially offset by lower inventory compared to December 31, 2022. Decreases in inventory and accounts payable were primarily related to supply chain efficiencies and improved lead times.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net cash provided by operating activities of continuing operations primarily reflects net income from continuing operations, net of non-cash depreciation, definite-lived intangible amortization and asset impairment, of $615.4 million. Additionally, we had a cash outflow of $218.7 million as a result of changes in net working capital, primarily due to increased inventory balances compared to December 31, 2021. Inventory was higher due to inflationary impacts, continued supply chain inefficiencies and a rebalancing of inventory levels in the residential channel.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in 2023 primarily reflects capital expenditures of $76.0 million and cash paid upon the settlement of net investment hedges of $18.5 million, partially offset by proceeds from the sale of property and equipment of $5.6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investing activities in 2022 primarily reflects the net cash paid of $1,579.5 million for the Manitowoc Ice acquisition and capital expenditures of $85.2 million, partially offset by cash received upon the settlement of net investment hedges of $78.9 million.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2023, net cash used for financing activities primarily relates to net repayments of revolving long-term debt of $320.0 million and dividend payments of $145.2 million.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2022, net cash provided by financing activities primarily relates to net borrowings of revolving long-term debt of $124.5 million, net proceeds received from the Term Loan Facility and issuance of the 2032 Senior Notes of $1,391.3 million used to finance the Manitowoc Ice acquisition and net cash receipts upon the settlement of cross currency swaps of $12.3 million, partially offset by dividend payments of $138.6 million, repayment of $88.3 million senior fixed notes, share repurchases of $50.0 million and payments of debt issuance costs of $15.8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measuring our cash flow generation or usage based upon operating, investing and financing classifications included in the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free cash flow:</w:t>
      </w:r>
    </w:p>
    <w:tbl>
      <w:tblPr>
        <w:tblW w:w="8732" w:type="dxa"/>
        <w:jc w:val="left"/>
        <w:tblInd w:w="0" w:type="dxa"/>
        <w:tblLayout w:type="fixed"/>
        <w:tblCellMar>
          <w:top w:w="28" w:type="dxa"/>
          <w:left w:w="28" w:type="dxa"/>
          <w:bottom w:w="28" w:type="dxa"/>
          <w:right w:w="28" w:type="dxa"/>
        </w:tblCellMar>
      </w:tblPr>
      <w:tblGrid>
        <w:gridCol w:w="2125"/>
        <w:gridCol w:w="1866"/>
        <w:gridCol w:w="1888"/>
        <w:gridCol w:w="211"/>
        <w:gridCol w:w="616"/>
        <w:gridCol w:w="109"/>
        <w:gridCol w:w="211"/>
        <w:gridCol w:w="616"/>
        <w:gridCol w:w="109"/>
        <w:gridCol w:w="211"/>
        <w:gridCol w:w="616"/>
        <w:gridCol w:w="154"/>
      </w:tblGrid>
      <w:tr>
        <w:trPr/>
        <w:tc>
          <w:tcPr>
            <w:tcW w:w="2125"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of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 of continuing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of discontinued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Debt and Capital</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Pentair, Pentair Finance S.à r.l (“PFSA“) and Pentair, Inc. are parties to a credit agreement (the “Senior Credit Facility”), with Pentair as guarantor and PFSA and Pentair, Inc. as borrowers,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total availability under the Senior Credit Facility was $900.0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pStyle w:val="TextBody"/>
        <w:bidi w:val="0"/>
        <w:spacing w:lineRule="auto" w:line="288" w:before="200" w:after="283"/>
        <w:jc w:val="both"/>
        <w:rPr/>
      </w:pPr>
      <w:r>
        <w:rPr>
          <w:rFonts w:ascii="Times New Roman;sans-serif" w:hAnsi="Times New Roman;sans-serif"/>
          <w:b w:val="false"/>
          <w:color w:val="000000"/>
          <w:sz w:val="20"/>
        </w:rPr>
        <w:t xml:space="preserve">In 2022, Pentair and PFSA entered into a senior unsecured term loan facility (the “Term Loan Facility”), with PFSA, as borrower, Pentair, as guarantor, and the lenders and agents party thereto, providing for an aggregate principal amount of $1.0 billion. The Term Loan Facility has a maturity date of July 28, 2027, with required quarterly installment payments of $6.3 million which began on the last day of the third quarter of 2023 and increases to $12.5 million beginning with the last day of the third quarter of 2024. The Term Loan Facility bears interest at a rate equal to an alternate base rate, adjusted term secured overnight financing rate, or adjusted daily simple secured overnight financing rate, plus, in </w:t>
      </w:r>
      <w:r>
        <w:rPr>
          <w:rFonts w:ascii="Times New Roman;sans-serif" w:hAnsi="Times New Roman;sans-serif"/>
          <w:b w:val="false"/>
          <w:color w:val="000000"/>
          <w:sz w:val="20"/>
          <w:shd w:fill="FFFFFF" w:val="clear"/>
        </w:rPr>
        <w:t xml:space="preserve">each case, an applicable margin. </w:t>
      </w:r>
      <w:r>
        <w:rPr>
          <w:rFonts w:ascii="Times New Roman;sans-serif" w:hAnsi="Times New Roman;sans-serif"/>
          <w:b w:val="false"/>
          <w:color w:val="000000"/>
          <w:sz w:val="20"/>
        </w:rPr>
        <w:t>The applicable margin is based on, at PFSA’s election, Pentair’s leverage level or PFSA’s public credit rating.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Term Loan Facility, Pentair, as guarantor, and PFSA, as issuer, completed a public offering in 2022 of $400.0 million aggregate principal amount of 5.900% Senior Notes due 2032 (“2032 Senior Notes”). We used the net proceeds from the Term Loan Facility and the issuance of the 2032 Senior Notes to finance a portion of the Manitowoc Ice acquisition purchase price and to pay related fees and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 Facility provide for the calculation of EBITDA giving pro forma effect to certain acquisitions, divestitures and liquidations during the period to which such calculation relates.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Senior Credit Facility and the Term Loan Facility, we have various other credit facilities with an aggregate availability of $20.9 million, of which there were no outstanding borrowings at December 31, 2023. Borrowings under these credit facilities bear interest at variable rates.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$37.5 million of Term Loan Facility payments and $200.0 million of payments under the senior unsecured term loan facility, associated with the Senior Credit Facility, due in the next twelve months. We classified this debt as long-term as of December 31, 2023 as we have the intent and ability to refinance such obligations on a long-term basis under the revolving credit facility under the Senior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$87.5 million of cash held in certain countries in which the ability to repatriate is limited due to local regulations or significant potential tax consequences.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Authorized shares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share capital consists of 426.0 million ordinary shares with a par value of $0.01 per share.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Board of Directors authorized the repurchase of our ordinary shares up to a maximum dollar limit of $750.0 million. This authorization expires on December 31, 2025.</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we repurchased 1.0 million of our ordinary shares for $50.0 million. During the year ended December 31, 2023, no ordinary shares were repurchased. As of December 31, 2023, we had $600.0 million available for share repurchases under this authorization.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0"/>
        <w:jc w:val="both"/>
        <w:rPr/>
      </w:pPr>
      <w:r>
        <w:rPr>
          <w:rFonts w:ascii="Times New Roman;sans-serif" w:hAnsi="Times New Roman;sans-serif"/>
          <w:b w:val="false"/>
          <w:color w:val="000000"/>
          <w:sz w:val="20"/>
        </w:rPr>
        <w:t xml:space="preserve">On December 11, 2023, the Board of Directors approved a regular quarterly cash dividend of $0.23 per share that was paid on February 2, 2024 to shareholders of record at the close of business on January 19, 2024. This dividend reflects a 5 percent increase in the Company’s regular cash dividend rate. The balance of dividends payable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Consolidated Balance Sheets was $38.0 million at December 31, 2023. Dividends paid per ordinary share were $0.88, $0.84 and $0.80 for the years ended December 31, 2023, 2022 and 2021, respectively.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GAAP reported amount (e.g., retained earnings). Our distributable reserve balance was $6.9 billion and $7.1 billion as of December 31, 2023 and 2022, respectively.</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Supplemental guarantor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Pentair plc (the “Parent Company Guarantor”), fully and unconditionally, guarantees the senior notes of PFSA (the “Subsidiary Issuer”). The Subsidiary Issuer is a Luxembourg private limited liability company and 100 percent-owned subsidiary of the Parent Company Guarantor.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summarized financial information as of December 31, 2023 for the Parent Company Guarantor and Subsidiary Issuer on a combined basis after elimination of (i) intercompany transactions and balances among the guarantors and issuer and (ii) equity in earnings from and investments in any subsidiary that is a non-Guarantor or issuer.</w:t>
      </w:r>
    </w:p>
    <w:tbl>
      <w:tblPr>
        <w:tblW w:w="5766" w:type="dxa"/>
        <w:jc w:val="left"/>
        <w:tblInd w:w="0" w:type="dxa"/>
        <w:tblLayout w:type="fixed"/>
        <w:tblCellMar>
          <w:top w:w="28" w:type="dxa"/>
          <w:left w:w="28" w:type="dxa"/>
          <w:bottom w:w="28" w:type="dxa"/>
          <w:right w:w="28" w:type="dxa"/>
        </w:tblCellMar>
      </w:tblPr>
      <w:tblGrid>
        <w:gridCol w:w="1242"/>
        <w:gridCol w:w="1084"/>
        <w:gridCol w:w="1096"/>
        <w:gridCol w:w="528"/>
        <w:gridCol w:w="1279"/>
        <w:gridCol w:w="274"/>
        <w:gridCol w:w="109"/>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2" w:type="dxa"/>
            <w:gridSpan w:val="3"/>
            <w:vMerge w:val="continue"/>
            <w:tcBorders/>
            <w:tcMar>
              <w:top w:w="0" w:type="dxa"/>
              <w:left w:w="0" w:type="dxa"/>
              <w:bottom w:w="0" w:type="dxa"/>
              <w:right w:w="0" w:type="dxa"/>
            </w:tcMar>
            <w:vAlign w:val="center"/>
          </w:tcPr>
          <w:p>
            <w:pPr>
              <w:pStyle w:val="Normal"/>
              <w:bidi w:val="0"/>
              <w:jc w:val="left"/>
              <w:rPr/>
            </w:pPr>
            <w:r>
              <w:rPr/>
            </w:r>
          </w:p>
        </w:tc>
        <w:tc>
          <w:tcPr>
            <w:tcW w:w="2081"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assets </w:t>
            </w:r>
            <w:r>
              <w:rPr>
                <w:rFonts w:ascii="Times New Roman;sans-serif" w:hAnsi="Times New Roman;sans-serif"/>
                <w:b w:val="false"/>
                <w:color w:val="000000"/>
                <w:sz w:val="13"/>
              </w:rPr>
              <w:t>(1)</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Noncurrent assets </w:t>
            </w:r>
            <w:r>
              <w:rPr>
                <w:rFonts w:ascii="Times New Roman;sans-serif" w:hAnsi="Times New Roman;sans-serif"/>
                <w:b w:val="false"/>
                <w:color w:val="000000"/>
                <w:sz w:val="13"/>
              </w:rPr>
              <w:t>(2)</w:t>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liabilities </w:t>
            </w:r>
            <w:r>
              <w:rPr>
                <w:rFonts w:ascii="Times New Roman;sans-serif" w:hAnsi="Times New Roman;sans-serif"/>
                <w:b w:val="false"/>
                <w:color w:val="000000"/>
                <w:sz w:val="13"/>
              </w:rPr>
              <w:t>(3)</w:t>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Noncurrent liabilities </w:t>
            </w:r>
            <w:r>
              <w:rPr>
                <w:rFonts w:ascii="Times New Roman;sans-serif" w:hAnsi="Times New Roman;sans-serif"/>
                <w:b w:val="false"/>
                <w:color w:val="000000"/>
                <w:sz w:val="13"/>
              </w:rPr>
              <w:t>(4)</w:t>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503" w:type="dxa"/>
            <w:gridSpan w:val="6"/>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No assets due from non-guarantor subsidiaries were included.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503" w:type="dxa"/>
            <w:gridSpan w:val="6"/>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 xml:space="preserve">Includes assets due from non-guarantor subsidiaries of $2,673.3 million. </w:t>
            </w:r>
          </w:p>
        </w:tc>
        <w:tc>
          <w:tcPr>
            <w:tcW w:w="263" w:type="dxa"/>
            <w:gridSpan w:val="2"/>
            <w:tcBorders/>
          </w:tcPr>
          <w:p>
            <w:pPr>
              <w:pStyle w:val="TableContents"/>
              <w:bidi w:val="0"/>
              <w:spacing w:before="0" w:after="283"/>
              <w:jc w:val="left"/>
              <w:rPr>
                <w:sz w:val="4"/>
                <w:szCs w:val="4"/>
              </w:rPr>
            </w:pPr>
            <w:r>
              <w:rPr>
                <w:sz w:val="4"/>
                <w:szCs w:val="4"/>
              </w:rPr>
            </w:r>
          </w:p>
        </w:tc>
      </w:tr>
      <w:tr>
        <w:trPr/>
        <w:tc>
          <w:tcPr>
            <w:tcW w:w="5503" w:type="dxa"/>
            <w:gridSpan w:val="6"/>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8"/>
              </w:rPr>
              <w:t>Includes liabilities due to non-guarantor subsidiaries of $1,583.6 million.</w:t>
            </w:r>
          </w:p>
        </w:tc>
        <w:tc>
          <w:tcPr>
            <w:tcW w:w="263" w:type="dxa"/>
            <w:gridSpan w:val="2"/>
            <w:tcBorders/>
          </w:tcPr>
          <w:p>
            <w:pPr>
              <w:pStyle w:val="TableContents"/>
              <w:bidi w:val="0"/>
              <w:spacing w:before="0" w:after="283"/>
              <w:jc w:val="left"/>
              <w:rPr>
                <w:sz w:val="4"/>
                <w:szCs w:val="4"/>
              </w:rPr>
            </w:pPr>
            <w:r>
              <w:rPr>
                <w:sz w:val="4"/>
                <w:szCs w:val="4"/>
              </w:rPr>
            </w:r>
          </w:p>
        </w:tc>
      </w:tr>
      <w:tr>
        <w:trPr/>
        <w:tc>
          <w:tcPr>
            <w:tcW w:w="5503" w:type="dxa"/>
            <w:gridSpan w:val="6"/>
            <w:tcBorders/>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18"/>
              </w:rPr>
              <w:t>Includes liabilities due to non-guarantor subsidiaries of $268.4 million.</w:t>
            </w:r>
          </w:p>
        </w:tc>
        <w:tc>
          <w:tcPr>
            <w:tcW w:w="263"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Parent Company Guarantor and Subsidiary Issuer do not have material results of operations on a combined basis.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Material Cash Requirements From Contractual Obligations and Commitments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have sufficient cash and borrowing capacity to support working capital needs and capital expenditures, to pay interest and service debt and to pay dividends to shareholders quarterly. We believe we have the ability to meet our short-term and long-term cash requirements by using available cash and internally generated funds and to borrow under our committed and uncommitted credit facilities. The following summarizes our material cash requirements from significant contractual obligations and purchase commitments that impact our liquidity as of December 31, 2023:</w:t>
      </w:r>
    </w:p>
    <w:tbl>
      <w:tblPr>
        <w:tblW w:w="10205" w:type="dxa"/>
        <w:jc w:val="left"/>
        <w:tblInd w:w="0" w:type="dxa"/>
        <w:tblLayout w:type="fixed"/>
        <w:tblCellMar>
          <w:top w:w="28" w:type="dxa"/>
          <w:left w:w="28" w:type="dxa"/>
          <w:bottom w:w="28" w:type="dxa"/>
          <w:right w:w="28" w:type="dxa"/>
        </w:tblCellMar>
      </w:tblPr>
      <w:tblGrid>
        <w:gridCol w:w="1765"/>
        <w:gridCol w:w="1520"/>
        <w:gridCol w:w="1542"/>
        <w:gridCol w:w="303"/>
        <w:gridCol w:w="888"/>
        <w:gridCol w:w="156"/>
        <w:gridCol w:w="109"/>
        <w:gridCol w:w="109"/>
        <w:gridCol w:w="109"/>
        <w:gridCol w:w="109"/>
        <w:gridCol w:w="478"/>
        <w:gridCol w:w="1735"/>
        <w:gridCol w:w="247"/>
        <w:gridCol w:w="211"/>
        <w:gridCol w:w="766"/>
        <w:gridCol w:w="158"/>
      </w:tblGrid>
      <w:tr>
        <w:trPr/>
        <w:tc>
          <w:tcPr>
            <w:tcW w:w="176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4031" w:type="dxa"/>
            <w:gridSpan w:val="10"/>
            <w:tcBorders/>
          </w:tcPr>
          <w:p>
            <w:pPr>
              <w:pStyle w:val="TableContents"/>
              <w:bidi w:val="0"/>
              <w:spacing w:before="0" w:after="283"/>
              <w:jc w:val="left"/>
              <w:rPr>
                <w:sz w:val="4"/>
                <w:szCs w:val="4"/>
              </w:rPr>
            </w:pPr>
            <w:r>
              <w:rPr>
                <w:sz w:val="4"/>
                <w:szCs w:val="4"/>
              </w:rPr>
            </w:r>
          </w:p>
        </w:tc>
      </w:tr>
      <w:tr>
        <w:trPr/>
        <w:tc>
          <w:tcPr>
            <w:tcW w:w="4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Next </w:t>
              <w:br/>
              <w:t>Twelve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Greater Than Twelve Months</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obligations (Note 8)</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obligations on fixed-rate debt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net of sublease rentals (Note 15)</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plan contributions (Note 11)</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purchase obligations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 net</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2,250.9 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purchase obligations primarily include service and marketing contracts as well as commitments for raw materials to be utilized in the normal course of business. For purposes of the above table, arrangements are considered purchase obligations if a contract specifies all significant terms, including fixed or minimum quantities to be purchased, a pricing structure and approximate timing of the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significant contractual obligations described above, we will incur annual interest expense on outstanding variable rate debt. As of December 31, 2023, variable interest rate debt was $1,187.5 million at a weighted average interest rate of 6.84%. Inclusive of our interest rate swaps and collars, our weighted average interest rate on our variable rate debt was 6.29% as of December 31, 2023. Refer to ITEM 8, Note 9 of the Notes to Consolidated Financial Statements for additional information regarding our interest rate swaps and collars. </w:t>
      </w:r>
    </w:p>
    <w:p>
      <w:pPr>
        <w:pStyle w:val="TextBody"/>
        <w:bidi w:val="0"/>
        <w:spacing w:lineRule="auto" w:line="288" w:before="180" w:after="283"/>
        <w:jc w:val="both"/>
        <w:rPr/>
      </w:pPr>
      <w:r>
        <w:rPr>
          <w:rFonts w:ascii="Times New Roman;sans-serif" w:hAnsi="Times New Roman;sans-serif"/>
          <w:b w:val="false"/>
          <w:color w:val="000000"/>
          <w:sz w:val="20"/>
        </w:rPr>
        <w:t xml:space="preserve">The total gross liability for uncertain tax positions at December 31, 2023 was estimated to be $38.6 million. We record penalties and interest related to unrecognized tax benefits in </w:t>
      </w:r>
      <w:r>
        <w:rPr>
          <w:rFonts w:ascii="Times New Roman;sans-serif" w:hAnsi="Times New Roman;sans-serif"/>
          <w:b w:val="false"/>
          <w:i/>
          <w:color w:val="000000"/>
          <w:sz w:val="20"/>
        </w:rPr>
        <w:t>(Benefit)</w:t>
      </w:r>
      <w:r>
        <w:rPr>
          <w:color w:val="000000"/>
        </w:rPr>
        <w:t xml:space="preserve"> </w:t>
      </w:r>
      <w:r>
        <w:rPr>
          <w:rFonts w:ascii="Times New Roman;sans-serif" w:hAnsi="Times New Roman;sans-serif"/>
          <w:b w:val="false"/>
          <w:color w:val="000000"/>
          <w:sz w:val="20"/>
        </w:rPr>
        <w:t>p</w:t>
      </w:r>
      <w:r>
        <w:rPr>
          <w:rFonts w:ascii="Times New Roman;sans-serif" w:hAnsi="Times New Roman;sans-serif"/>
          <w:b w:val="false"/>
          <w:i/>
          <w:color w:val="000000"/>
          <w:sz w:val="20"/>
        </w:rPr>
        <w:t>rovision for income taxes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 interest expense</w:t>
      </w:r>
      <w:r>
        <w:rPr>
          <w:rFonts w:ascii="Times New Roman;sans-serif" w:hAnsi="Times New Roman;sans-serif"/>
          <w:b w:val="false"/>
          <w:color w:val="000000"/>
          <w:sz w:val="20"/>
        </w:rPr>
        <w:t>, respectively, which is consistent with our past practices. As of December 31, 2023, we had recorded $0.3 million for the possible payment of penalties and $6.4 million related to the possible payment of interest.</w:t>
      </w:r>
    </w:p>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impact. We do and will continue to periodically reexamine our estimates of probable liabilities and any associated expenses and receivables and make appropriate adjustments to such estimates based on experience and developments in litigation and applicable accounting rules. As a result, the current estimates of the potential impact on our consolidated financial position, results of operations and cash flows for the proceedings and claims described in ITEM 8, Note 15 of the Notes to Consolidated Financial Statements could change in the future.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Product liability claims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Stand-by letters of credit, bank guarantees and bonds</w:t>
      </w:r>
    </w:p>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outstanding value of bonds, letters of credit and bank guarantees totaled $124.3 million and $99.7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ACCOUNTING STANDARDS</w:t>
      </w:r>
    </w:p>
    <w:p>
      <w:pPr>
        <w:pStyle w:val="TextBody"/>
        <w:bidi w:val="0"/>
        <w:spacing w:lineRule="auto" w:line="288" w:before="180" w:after="360"/>
        <w:jc w:val="left"/>
        <w:rPr>
          <w:rFonts w:ascii="Times New Roman;sans-serif" w:hAnsi="Times New Roman;sans-serif"/>
          <w:b w:val="false"/>
          <w:color w:val="000000"/>
          <w:sz w:val="20"/>
        </w:rPr>
      </w:pPr>
      <w:r>
        <w:rPr>
          <w:rFonts w:ascii="Times New Roman;sans-serif" w:hAnsi="Times New Roman;sans-serif"/>
          <w:b w:val="false"/>
          <w:color w:val="000000"/>
          <w:sz w:val="20"/>
        </w:rPr>
        <w:t>See ITEM 8, Note 1 of the Notes to Consolidated Financial Statements, included in this Form 10-K, for information pertaining to accounting standards to be adopted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various accounting policies to prepare the consolidated financial statements in accordance with U.S. GAAP. Our significant accounting policies are more fully described in ITEM 8, Note 1 of the Notes to Consolidated Financial Statements. Certain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observance of trends in the industry and information available from other outside sources, as appropriate. We consider an accounting estimate to be critical if: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requires us to make assumptions about matters that were uncertain at the time we were making the estimate;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changes in the estimate or different estimates that we could have selected which would have had a material impact on our financial condition or 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include the following:</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Impairment of goodwill and indefinite-lived intangibles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cost of acquired businesses over the net of the fair value of identifiable tangible net assets and identifiable intangible assets purchased and liabilities assumed.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a quantitative assessment was performed. The fair value of each reporting unit was determined using a discounted cash flow analysis and market approach. Projecting discounted future cash flows requires us to make significant estimates regarding future revenues and expenses, projected capital expenditures, changes in working capital and the appropriate discount rate. Use of the market approach consists of comparisons to comparable publicly-traded companies that are similar in size and industry. The non-recurring fair value measurement is a “Level 3” measurement under the fair value hierarchy. For the 2023 annual impairment test, the estimated fair value significantly exceeded the carrying value in each of our reporting units, therefore, no impairment charge was required.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a qualitative assessment was performed. As a result, it was determined that it was more likely than not that the fair value of the reporting units exceeded their respective carrying values. Factors considered in the analysis included the 2020 discounted cash flow fair value assessment of the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 The non-recurring fair value measurement is a “Level 3” measurement under the fair value hierarchy described in ITEM 8, Note 9 of the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Identifiable intangible assets</w:t>
      </w:r>
    </w:p>
    <w:p>
      <w:pPr>
        <w:pStyle w:val="TextBody"/>
        <w:bidi w:val="0"/>
        <w:spacing w:lineRule="auto" w:line="288" w:before="0" w:after="0"/>
        <w:jc w:val="both"/>
        <w:rPr/>
      </w:pPr>
      <w:r>
        <w:rPr>
          <w:rFonts w:ascii="Times New Roman;sans-serif" w:hAnsi="Times New Roman;sans-serif"/>
          <w:b w:val="false"/>
          <w:color w:val="000000"/>
          <w:sz w:val="20"/>
        </w:rPr>
        <w:t xml:space="preserve">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An impairment charge of $2.7 million was recorded in 2022 related to the write-off of a proprietary technology intangible asset as a result of restructuring initiatives implemented in the fourth quarter of 2022. The impairment charge was recorded in </w:t>
      </w:r>
      <w:r>
        <w:rPr>
          <w:rFonts w:ascii="Times New Roman;sans-serif" w:hAnsi="Times New Roman;sans-serif"/>
          <w:b w:val="false"/>
          <w:i/>
          <w:color w:val="000000"/>
          <w:sz w:val="20"/>
        </w:rPr>
        <w:t>Selling, general and administrative</w:t>
      </w:r>
      <w:r>
        <w:rPr>
          <w:color w:val="000000"/>
        </w:rPr>
        <w:t xml:space="preserve"> </w:t>
      </w:r>
      <w:r>
        <w:rPr>
          <w:rFonts w:ascii="Times New Roman;sans-serif" w:hAnsi="Times New Roman;sans-serif"/>
          <w:b w:val="false"/>
          <w:color w:val="000000"/>
          <w:sz w:val="20"/>
        </w:rPr>
        <w:t>in our Consolidated Statements of Operations and Comprehensive Income. No impairment charges associated with identifiable intangibles with finite lives were recognized in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Identifiable intangible assets not subject to amortization are tested for impairment annually or more frequently if events warrant. We complete our annual impairment test the first day of the fourth quarter each year for those identifiable assets not subject to amortization. 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No impairment charges were recognized in 2023 or 2022 as a result of our annual impairment assessment.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acquired in a business combination are recorded at their estimated fair values at the acquisition date. Goodwill is recorded when the purchase price exceeds the estimated fair value of the net identifiable tangible and intangible assets acquired. Estimates of intangible asset fair value represent management’s best estimate of assumptions and about future events and uncertainties, including significant judgments related to future cash flows, discount rates, margin and revenue growth assumptions, royalty rates, customer attrition rates, useful lives and others. Inputs used are generally obtained from historical data supplemented by current and anticipated market conditions and growth rates. If the actual results differ from the estimates and judgments used in these fair values, the amounts recorded in the consolidated financial statements could result in a possible impairment of the intangible assets and goodwill or require acceleration of the amortization expense of finite-lived intangible assets.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Allocations of the purchase price for acquisitions are based on estimates of the fair value of the net assets acquired and are subject to adjustment upon finalization of the purchase price allocation. During this measurement period, we will adjust assets or liabilities if new information is obtained about facts and circumstances that existed as of the acquisition date that, if known, would have resulted in the recognition of those assets and liabilities as of that date. All changes that do not qualify as measurement period adjustments are included in current period earnings.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Pension and other post-retirement plans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sponsor U.S. and non-U.S. defined-benefit pension and other post-retirement plans. The amounts recognized in our consolidated financial statements related to our defined-benefit pension and other post-retirement plans are determined from actuarial valuations. Inherent in these valuations are assumptions, including: expected return on plan assets, discount rates, rate of increase in future compensation levels and health care cost trend rates. These assumptions are updated annually and are disclosed in ITEM 8, Note 11 to the Notes to Consolidated Financial Statements. Differences in actual experience or changes in assumptions may affect our pension and other post-retirement obligations and future expense.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primary factors contributing to actuarial gains and losses each year are (1) changes in the discount rate used to value pension and other post-retirement benefit obligations as of the measurement date and (2) differences between the expected and the actual return on plan assets. This accounting method also results in the potential for volatile and difficult to forecast mark-to-market adjustments. Mark-to-market adjustments resulted in a pre-tax loss of $6.1 million in 2023 and pre-tax gains of $17.5 million and $2.4 million in 2022 and 2021, respectively. The remaining components of pension expense, including service and interest costs and the expected return on plan assets, are recorded on a quarterly basis as ongoing pension expense.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Discount rates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There are no known or anticipated changes in our discount rate assumptions that will impact our pension expense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Expected rate of return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Sensitivity to changes in key assumptions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100 basis point increase or decrease in the discount rates used to measure our U.S. defined-benefit pension and other post-retirement plans would result in an approximately $7 million increase or $6 million decrease in our total projected benefit obligation. A 100 basis point increase or decrease in the assumed rate of return on pension assets or discount rates for our U.S. pension and other post-retirement benefit plans would result in an immaterial change in our ongoing pension expense. These estimates exclude any potential mark-to-market adjustments.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Loss contingencies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Accruals are recorded for various contingencies including legal proceedings, self-insurance and other claims that arise in the normal course of business. The accruals are based on judgment, the probability of losses and, where applicable, the consideration of opinions of internal and/or external legal counsel and actuarial estimates. Additionally, we record receivables from third party insurers when recovery has been determined to be probable.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taxable income for financial statement purposes,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 and expense. 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recorded valuation allowances that we will maintain until when, in the opinion of management, it is more likely than not that some portion or all of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including but not limited to any future restructuring activities may require that we record an additional valuation allowance against our deferred tax assets. An increase in the valuation allowance could result in additional income tax expense in such period and could have a significant impact on our future earnings.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tax laws and rates could also affect recorded deferred tax assets and liabilities in the future. Management records the effect of a tax rate or law change on the Company’s deferred tax assets and liabilities in the period of enactment. Future tax rate or law changes could have a material effect on the Company’s financial condition, results of operations or cash flows.</w:t>
      </w:r>
    </w:p>
    <w:p>
      <w:pPr>
        <w:pStyle w:val="TextBody"/>
        <w:bidi w:val="0"/>
        <w:spacing w:lineRule="auto" w:line="288" w:before="180" w:after="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calculation of our tax liabilities involves dealing with uncertainties in the application of complex tax regulations in a multitude of jurisdictions across our global operations. We perform reviews of our income tax positions on a quarterly basis and accrue for uncertain tax positions. We recognize potential liabilities and record tax liabilities for anticipated tax audit issues in the tax jurisdictions in which we operate based on our estimate of whether, and the extent to which, additional taxes will be due. These tax liabilities are reflected net of related tax loss carryforwards. As events change or resolution occurs, these liabilities are adjusted, such as in the case of audit settlements with taxing authorities.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potential economic loss that may result from adverse changes in the fair value of financial instruments. We are exposed to various market risks, including changes in interest rates and foreign currency rates. Periodically, we use derivative financial instruments to manage or reduce the impact of changes in interest rates and foreign currency rates. Counterparties to all derivative contracts are major financial institutions. All instruments are entered into for other than trading purposes. The major accounting policies and utilization of these instruments is described more fully in ITEM 8, Note 1 of the Notes to Consolidated Financial Statements.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debt portfolio as of December 31, 2023, was comprised of debt denominated in U.S. dollars. This debt portfolio is comprised of 41% fixed-rate debt and 59% variable-rate debt. Changes in interest rates have different impacts on the fixed and variable-rate portions of our debt portfolio. A change in interest rates on the fixed portion of the debt portfolio impacts the fair value, but has no impact on interest incurred or cash flows. A change in interest rates on the variable portion of the debt portfolio impacts the interest incurred and cash flows but does not impact the net financial instrument position.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fixed-rate debt included in our debt portfolio, as of December 31, 2023, a 100 basis point increase or decrease in interest rates would result in approximately a $48 million decrease or a $52 million increase in fair value of total fixed rate debt outstanding, respectively.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exposure to certain interest rate risks related to our variable rate debt through the use of interest rate swaps and collars. We enter into these agreements to hedge the variability of interest expense and cash flows attributable to changes in interest rates of our variable rate debt. As of December 31, 2023, we had an aggregate notional amount of $300.0 million and $200.0 million in interest rate swaps and collars, respectively, that are designated as cash flow hedges. Refer to ITEM 8, Note 9 of the Notes to Consolidated Financial Statements for additional information regarding our interest rate swaps and collars.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100 basis point fluctuation in interest rates associated with our variable-rate debt as of December 31, 2023, inclusive of our interest rate swaps and collars, would result in an increase of approximately $7 million or decrease of approximately $8 million in interest incurred.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in various locations throughout the world and are subject to market risk due to changes in the value of foreign currencies in relation to our reporting currency, the U.S. dollar. Periodically, we use derivative financial instruments to manage these risks. The functional currencies of our foreign operating locations are generally the local currency in the country of domicile. We manage these operating activities at the local level and revenues, costs, assets and liabilities are generally denominated in local currencies, thereby mitigating the risk associated with changes in foreign exchange. However, our results of operations and assets and liabilities are reported in U.S. dollars and thus will fluctuate with changes in exchange rates between such local currencies and the U.S. dollar.</w:t>
      </w:r>
    </w:p>
    <w:p>
      <w:pPr>
        <w:pStyle w:val="TextBody"/>
        <w:bidi w:val="0"/>
        <w:spacing w:lineRule="auto" w:line="288" w:before="0" w:after="180"/>
        <w:jc w:val="both"/>
        <w:rPr/>
      </w:pPr>
      <w:r>
        <w:rPr>
          <w:rFonts w:ascii="Times New Roman;sans-serif" w:hAnsi="Times New Roman;sans-serif"/>
          <w:b w:val="false"/>
          <w:color w:val="000000"/>
          <w:sz w:val="20"/>
        </w:rPr>
        <w:t xml:space="preserve">From time to time, we may enter into short duration foreign currency contracts to hedge foreign currency risks. As the majority of our foreign currency contracts have an original maturity date of less than one year, there is no material foreign currency risk. At December 31, 2023, we had outstanding foreign currency derivative contracts with gross notional U.S. dollar equivalent amounts of $23.9 million. Changes in the fair value of all derivatives are recognized immediately in income unless the derivative qualifies as a hedge of future cash flows. Gains and losses related to a hedge are deferred and recorded in the Consolidated Balance Sheets as a component of </w:t>
      </w:r>
      <w:r>
        <w:rPr>
          <w:rFonts w:ascii="Times New Roman;sans-serif" w:hAnsi="Times New Roman;sans-serif"/>
          <w:b w:val="false"/>
          <w:i/>
          <w:color w:val="000000"/>
          <w:sz w:val="20"/>
        </w:rPr>
        <w:t>Accumulated other comprehensive loss</w:t>
      </w:r>
      <w:r>
        <w:rPr>
          <w:color w:val="000000"/>
        </w:rPr>
        <w:t xml:space="preserve"> </w:t>
      </w:r>
      <w:r>
        <w:rPr>
          <w:rFonts w:ascii="Times New Roman;sans-serif" w:hAnsi="Times New Roman;sans-serif"/>
          <w:b w:val="false"/>
          <w:color w:val="000000"/>
          <w:sz w:val="20"/>
        </w:rPr>
        <w:t>and subsequently recognized in the Consolidated Statements of Operations and Comprehensive Income when the hedged item affects earnings.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outstanding cross currency swap agreements with a combined notional amount of $940.2 million. The cross currency swap agreements are accounted for as either cash flow hedges to hedge foreign currency fluctuations on certain intercompany debt, or as net investment hedges to manage our exposure to fluctuations in the Euro-U.S. Dollar exchange rate. The currency risk related to the cross currency swap agreements is measured by estimating the potential impact of a 10% change in the value of the U.S. dollar relative to the Euro. A 10% appreciation or a 10% depreciation of the U.S. dollar relative to the Euro would result in a change in accumulated other comprehensive income of approximately $73 million. However, the change in other comprehensive income would be offset by decreases or increases in the hedged items on our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Pentair plc and its subsidiaries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pStyle w:val="TextBody"/>
        <w:bidi w:val="0"/>
        <w:spacing w:lineRule="auto" w:line="288" w:before="180" w:after="283"/>
        <w:jc w:val="both"/>
        <w:rPr/>
      </w:pPr>
      <w:r>
        <w:rPr>
          <w:rFonts w:ascii="Times New Roman;sans-serif" w:hAnsi="Times New Roman;sans-serif"/>
          <w:b w:val="false"/>
          <w:color w:val="000000"/>
          <w:sz w:val="20"/>
        </w:rPr>
        <w:t xml:space="preserve">Management assessed the effectiveness of the Company’s internal control over financial reporting as of December 31, 2023. In making this assessment, management used the criteria for effective internal control over financial reporting described in </w:t>
      </w:r>
      <w:r>
        <w:rPr>
          <w:rFonts w:ascii="Times New Roman;sans-serif" w:hAnsi="Times New Roman;sans-serif"/>
          <w:b w:val="false"/>
          <w:i/>
          <w:color w:val="000000"/>
          <w:sz w:val="20"/>
        </w:rPr>
        <w:t>Internal Control-Integrated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Based on this assessment, management believes that, as of December 31, 2023, the Company’s internal control over financial reporting was effective based on those criteria.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Deloitte &amp; Touche LLP, has issued an attestation report on the Company’s internal control over financial reporting as of December 31, 2023. That attestation report is set forth immediately following this management report.</w:t>
      </w:r>
    </w:p>
    <w:p>
      <w:pPr>
        <w:pStyle w:val="TextBody"/>
        <w:bidi w:val="0"/>
        <w:spacing w:lineRule="auto" w:line="288" w:before="0" w:after="0"/>
        <w:jc w:val="both"/>
        <w:rPr>
          <w:color w:val="000000"/>
        </w:rPr>
      </w:pPr>
      <w:r>
        <w:rPr>
          <w:color w:val="000000"/>
        </w:rPr>
        <w:t> </w:t>
      </w:r>
    </w:p>
    <w:tbl>
      <w:tblPr>
        <w:tblW w:w="10181" w:type="dxa"/>
        <w:jc w:val="left"/>
        <w:tblInd w:w="0" w:type="dxa"/>
        <w:tblLayout w:type="fixed"/>
        <w:tblCellMar>
          <w:top w:w="28" w:type="dxa"/>
          <w:left w:w="28" w:type="dxa"/>
          <w:bottom w:w="28" w:type="dxa"/>
          <w:right w:w="28" w:type="dxa"/>
        </w:tblCellMar>
      </w:tblPr>
      <w:tblGrid>
        <w:gridCol w:w="1162"/>
        <w:gridCol w:w="1021"/>
        <w:gridCol w:w="1026"/>
        <w:gridCol w:w="109"/>
        <w:gridCol w:w="109"/>
        <w:gridCol w:w="109"/>
        <w:gridCol w:w="1944"/>
        <w:gridCol w:w="1944"/>
        <w:gridCol w:w="2757"/>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Stauch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Chief Financial Officer and Chief Accounting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Pentair plc</w:t>
      </w:r>
    </w:p>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80" w:after="283"/>
        <w:jc w:val="both"/>
        <w:rPr/>
      </w:pPr>
      <w:r>
        <w:rPr>
          <w:rFonts w:ascii="Times New Roman;sans-serif" w:hAnsi="Times New Roman;sans-serif"/>
          <w:b w:val="false"/>
          <w:color w:val="000000"/>
          <w:sz w:val="20"/>
        </w:rPr>
        <w:t xml:space="preserve">We have audited the internal control over financial reporting of Pentair plc and subsidiaries (the “Company”)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20, 2024, expressed an unqualified opinion on those financial statements.</w:t>
      </w:r>
    </w:p>
    <w:p>
      <w:pPr>
        <w:pStyle w:val="TextBody"/>
        <w:bidi w:val="0"/>
        <w:spacing w:lineRule="auto" w:line="268" w:before="180" w:after="18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80" w:after="180"/>
        <w:jc w:val="both"/>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000000"/>
          <w:sz w:val="20"/>
        </w:rPr>
        <w:t>Management’s Report on Internal Control over Financial Reporting</w:t>
      </w:r>
      <w:r>
        <w:rPr>
          <w:rFonts w:ascii="Times New Roman;sans-serif" w:hAnsi="Times New Roman;sans-serif"/>
          <w:b w:val="false"/>
          <w:color w:val="000000"/>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Minneapolis, Minnesota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Pentair plc</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Pentair plc and subsidiaries (the “Company”) as of December 31, 2023 and 2022, the related consolidated statements of operations and comprehensive income, cash flows and changes in equity,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88" w:before="180" w:after="18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i/>
          <w:color w:val="000000"/>
          <w:sz w:val="20"/>
        </w:rPr>
        <w:t>(2013)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20, 2024, expressed an unqualified opinion on the Company’s internal control over financial reporting.</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283"/>
        <w:jc w:val="both"/>
        <w:rPr/>
      </w:pPr>
      <w:r>
        <w:rPr>
          <w:rFonts w:ascii="Times New Roman;sans-serif" w:hAnsi="Times New Roman;sans-serif"/>
          <w:b/>
          <w:i/>
          <w:color w:val="000000"/>
          <w:sz w:val="20"/>
        </w:rPr>
        <w:t xml:space="preserve">Income Taxes </w:t>
      </w:r>
      <w:r>
        <w:rPr>
          <w:color w:val="000000"/>
        </w:rPr>
        <w:t xml:space="preserve">— </w:t>
      </w:r>
      <w:r>
        <w:rPr>
          <w:rFonts w:ascii="Times New Roman;sans-serif" w:hAnsi="Times New Roman;sans-serif"/>
          <w:b/>
          <w:i/>
          <w:color w:val="000000"/>
          <w:sz w:val="20"/>
        </w:rPr>
        <w:t xml:space="preserve">Completeness of Uncertain Tax Positions </w:t>
      </w:r>
      <w:r>
        <w:rPr>
          <w:color w:val="000000"/>
        </w:rPr>
        <w:t xml:space="preserve">— </w:t>
      </w:r>
      <w:r>
        <w:rPr>
          <w:rFonts w:ascii="Times New Roman;sans-serif" w:hAnsi="Times New Roman;sans-serif"/>
          <w:b/>
          <w:i/>
          <w:color w:val="000000"/>
          <w:sz w:val="20"/>
        </w:rPr>
        <w:t>Refer to Notes 1 and 10 to the financial statements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uncertain tax positions (“UTPs”) based upon an evaluation of available information and records a liability when a position taken or expected to be taken in a tax return does not meet certain measurement or recognition criteria. A tax benefit is recognized only if management believes it is more likely than not that the tax position will be sustained upon examination by the relevant tax authority. Determining the completeness of UTPs is complex and significant judgment is involved in identifying which positions may not meet the required measurement or recognition criteria. As of December 31, 2023, the Company’s recorded UTP balance was $38.6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UTP analysis is complex as it includes numerous tax jurisdictions and varying applications of tax laws. Given the multiple jurisdictions in which the Company operates and the complexity of tax regulations, auditing the completeness of UTPs involved a high degree of auditor judgment, and an increased extent of audit effort, including the need to involve our tax specialists.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to evaluate the completeness of UTPs in material jurisdictions included the following, among others: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tested the effectiveness of controls over management’s determination of the existence of UTPs.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With the assistance of our income tax specialists, we assessed the Company’s determination of the existence of UTPs. In particular, our procedures included: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Evaluating the Company’s significant judgments related to completeness of UTPs in material jurisdictions: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performed inquiries of management to assess whether they are aware of any new items or significant changes to the business that would impact the UTP assessment or give rise to new UTPs.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evaluated the following: technical merits of existing UTPs, technical merits of potential UTPs, and significant transactions and their tax implications, including the completeness and accuracy of the underlying data supporting the transactions.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assessed the appropriateness and consistency of management’s methods and assumptions used in identifying UTPs.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evaluated former and ongoing tax audits by tax authorities.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considered changes in and assessed the Company’s interpretation of applicable tax laws.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inspected the Company’s summary of differences between the filed tax returns and the tax provision to obtain an understanding of significant differences. We assessed whether the appropriate UTPs were recorded as well as whether any additional UTPs needed to be considered.</w:t>
      </w:r>
    </w:p>
    <w:p>
      <w:pPr>
        <w:pStyle w:val="TextBody"/>
        <w:bidi w:val="0"/>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Minneapolis, Minnesota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1977.</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p>
      <w:pPr>
        <w:pStyle w:val="TextBody"/>
        <w:bidi w:val="0"/>
        <w:spacing w:lineRule="auto" w:line="288" w:before="0" w:after="0"/>
        <w:jc w:val="left"/>
        <w:rPr>
          <w:color w:val="000000"/>
        </w:rPr>
      </w:pPr>
      <w:r>
        <w:rPr>
          <w:color w:val="000000"/>
        </w:rPr>
        <w:t> </w:t>
      </w:r>
    </w:p>
    <w:tbl>
      <w:tblPr>
        <w:tblW w:w="9122" w:type="dxa"/>
        <w:jc w:val="left"/>
        <w:tblInd w:w="0" w:type="dxa"/>
        <w:tblLayout w:type="fixed"/>
        <w:tblCellMar>
          <w:top w:w="28" w:type="dxa"/>
          <w:left w:w="28" w:type="dxa"/>
          <w:bottom w:w="28" w:type="dxa"/>
          <w:right w:w="28" w:type="dxa"/>
        </w:tblCellMar>
      </w:tblPr>
      <w:tblGrid>
        <w:gridCol w:w="2106"/>
        <w:gridCol w:w="1853"/>
        <w:gridCol w:w="1860"/>
        <w:gridCol w:w="211"/>
        <w:gridCol w:w="766"/>
        <w:gridCol w:w="109"/>
        <w:gridCol w:w="211"/>
        <w:gridCol w:w="766"/>
        <w:gridCol w:w="109"/>
        <w:gridCol w:w="211"/>
        <w:gridCol w:w="766"/>
        <w:gridCol w:w="154"/>
      </w:tblGrid>
      <w:tr>
        <w:trPr/>
        <w:tc>
          <w:tcPr>
            <w:tcW w:w="2106"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per-share data</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Other expense (income)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Gain on sale of businesses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from continuing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Comprehensive income, net of tax</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cumulative translation adjustment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market value of derivative financial instruments, net of tax</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Earnings (loss) per ordinary share</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Basic</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ordinary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Diluted</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 earnings per ordinary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Weighted average ordinary shares outstanding</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50"/>
        <w:gridCol w:w="2514"/>
        <w:gridCol w:w="2522"/>
        <w:gridCol w:w="211"/>
        <w:gridCol w:w="766"/>
        <w:gridCol w:w="109"/>
        <w:gridCol w:w="211"/>
        <w:gridCol w:w="766"/>
        <w:gridCol w:w="156"/>
      </w:tblGrid>
      <w:tr>
        <w:trPr/>
        <w:tc>
          <w:tcPr>
            <w:tcW w:w="2950"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per-share data</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020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$11.2 and $10.8,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Ordinary shares $0.01 par value, 426.0 authorized, 165.3 and 164.5 issued at December 31, 2023 and 2022,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Pentair plc and Subsidiaries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Consolidated Statements of Cash Flows </w:t>
      </w:r>
    </w:p>
    <w:tbl>
      <w:tblPr>
        <w:tblW w:w="10205" w:type="dxa"/>
        <w:jc w:val="center"/>
        <w:tblInd w:w="0" w:type="dxa"/>
        <w:tblLayout w:type="fixed"/>
        <w:tblCellMar>
          <w:top w:w="28" w:type="dxa"/>
          <w:left w:w="28" w:type="dxa"/>
          <w:bottom w:w="28" w:type="dxa"/>
          <w:right w:w="28" w:type="dxa"/>
        </w:tblCellMar>
      </w:tblPr>
      <w:tblGrid>
        <w:gridCol w:w="2777"/>
        <w:gridCol w:w="2373"/>
        <w:gridCol w:w="2416"/>
        <w:gridCol w:w="196"/>
        <w:gridCol w:w="556"/>
        <w:gridCol w:w="109"/>
        <w:gridCol w:w="198"/>
        <w:gridCol w:w="563"/>
        <w:gridCol w:w="109"/>
        <w:gridCol w:w="196"/>
        <w:gridCol w:w="556"/>
        <w:gridCol w:w="156"/>
      </w:tblGrid>
      <w:tr>
        <w:trPr/>
        <w:tc>
          <w:tcPr>
            <w:tcW w:w="2777"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Years ended December 31</w:t>
            </w:r>
          </w:p>
        </w:tc>
      </w:tr>
      <w:tr>
        <w:trPr/>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7"/>
              </w:rPr>
            </w:pPr>
            <w:r>
              <w:rPr>
                <w:rFonts w:ascii="Times New Roman;sans-serif" w:hAnsi="Times New Roman;sans-serif"/>
                <w:b w:val="false"/>
                <w:i/>
                <w:color w:val="000000"/>
                <w:sz w:val="17"/>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2021</w:t>
            </w:r>
          </w:p>
        </w:tc>
      </w:tr>
      <w:tr>
        <w:trPr/>
        <w:tc>
          <w:tcPr>
            <w:tcW w:w="75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7"/>
              </w:rPr>
            </w:pPr>
            <w:r>
              <w:rPr>
                <w:rFonts w:ascii="Times New Roman;sans-serif" w:hAnsi="Times New Roman;sans-serif"/>
                <w:b/>
                <w:color w:val="000000"/>
                <w:sz w:val="17"/>
              </w:rPr>
              <w:t>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Adjustments to reconcile net income from continuing operations to net cash provided by operating activities of continuing operations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Equity income of unconsolidated subsidiaries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Gain on sale of businesses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Share-based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Asset impairment and write-offs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 xml:space="preserve">Amortization of bridge financing debt issuance costs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Pension and other post-retirement expense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Pension and other post-retirement contributions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(Gain) loss on sale of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7"/>
              </w:rPr>
            </w:pPr>
            <w:r>
              <w:rPr>
                <w:rFonts w:ascii="Times New Roman;sans-serif" w:hAnsi="Times New Roman;sans-serif"/>
                <w:b/>
                <w:color w:val="000000"/>
                <w:sz w:val="17"/>
              </w:rPr>
              <w:t>Changes in assets and liabilities, net of effects of business acquisitions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Employee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non-current assets and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 of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operating activities of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7"/>
              </w:rPr>
            </w:pPr>
            <w:r>
              <w:rPr>
                <w:rFonts w:ascii="Times New Roman;sans-serif" w:hAnsi="Times New Roman;sans-serif"/>
                <w:b/>
                <w:color w:val="000000"/>
                <w:sz w:val="17"/>
              </w:rPr>
              <w:t>Investing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Proceeds from sale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Proceeds from sale of businesses,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(Payments) receipts upon the settlement of net investment hedges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7"/>
              </w:rPr>
            </w:pPr>
            <w:r>
              <w:rPr>
                <w:rFonts w:ascii="Times New Roman;sans-serif" w:hAnsi="Times New Roman;sans-serif"/>
                <w:b/>
                <w:color w:val="000000"/>
                <w:sz w:val="17"/>
              </w:rPr>
              <w:t>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Net (repayments) borrowings of revolving long-term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Proceeds from long-term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Repayment of long-term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Shares issued to employees, net of shares withheld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Repurchases of ordinary shares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Dividends 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Receipts (payments) upon the settlement of cross currency swaps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provided by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7"/>
              </w:rPr>
            </w:pPr>
            <w:r>
              <w:rPr>
                <w:rFonts w:ascii="Times New Roman;sans-serif" w:hAnsi="Times New Roman;sans-serif"/>
                <w:b/>
                <w:color w:val="000000"/>
                <w:sz w:val="17"/>
              </w:rPr>
              <w:t>Effect of exchange rate changes on cash and cash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7"/>
              </w:rPr>
            </w:pPr>
            <w:r>
              <w:rPr>
                <w:rFonts w:ascii="Times New Roman;sans-serif" w:hAnsi="Times New Roman;sans-serif"/>
                <w:b/>
                <w:color w:val="000000"/>
                <w:sz w:val="17"/>
              </w:rPr>
              <w:t>Change in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beginning of year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7"/>
              </w:rPr>
            </w:pPr>
            <w:r>
              <w:rPr>
                <w:rFonts w:ascii="Times New Roman;sans-serif" w:hAnsi="Times New Roman;sans-serif"/>
                <w:b/>
                <w:color w:val="000000"/>
                <w:sz w:val="17"/>
              </w:rPr>
              <w:t>Cash and cash equivalents,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color w:val="000000"/>
                <w:sz w:val="17"/>
              </w:rPr>
            </w:pPr>
            <w:r>
              <w:rPr>
                <w:rFonts w:ascii="Times New Roman;sans-serif" w:hAnsi="Times New Roman;sans-serif"/>
                <w:b/>
                <w:color w:val="000000"/>
                <w:sz w:val="17"/>
              </w:rPr>
              <w:t>Supplemental disclosure of cash flow information: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Cash paid for interest,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Cash paid for income taxes,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17"/>
        </w:rPr>
      </w:pPr>
      <w:r>
        <w:rPr>
          <w:rFonts w:ascii="Times New Roman;sans-serif" w:hAnsi="Times New Roman;sans-serif"/>
          <w:b w:val="false"/>
          <w:i/>
          <w:color w:val="000000"/>
          <w:sz w:val="17"/>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Equity</w:t>
      </w:r>
    </w:p>
    <w:tbl>
      <w:tblPr>
        <w:tblW w:w="10205" w:type="dxa"/>
        <w:jc w:val="left"/>
        <w:tblInd w:w="0" w:type="dxa"/>
        <w:tblLayout w:type="fixed"/>
        <w:tblCellMar>
          <w:top w:w="28" w:type="dxa"/>
          <w:left w:w="28" w:type="dxa"/>
          <w:bottom w:w="28" w:type="dxa"/>
          <w:right w:w="28" w:type="dxa"/>
        </w:tblCellMar>
      </w:tblPr>
      <w:tblGrid>
        <w:gridCol w:w="1000"/>
        <w:gridCol w:w="790"/>
        <w:gridCol w:w="795"/>
        <w:gridCol w:w="278"/>
        <w:gridCol w:w="278"/>
        <w:gridCol w:w="251"/>
        <w:gridCol w:w="265"/>
        <w:gridCol w:w="442"/>
        <w:gridCol w:w="127"/>
        <w:gridCol w:w="301"/>
        <w:gridCol w:w="1064"/>
        <w:gridCol w:w="167"/>
        <w:gridCol w:w="244"/>
        <w:gridCol w:w="863"/>
        <w:gridCol w:w="136"/>
        <w:gridCol w:w="481"/>
        <w:gridCol w:w="1405"/>
        <w:gridCol w:w="269"/>
        <w:gridCol w:w="196"/>
        <w:gridCol w:w="691"/>
        <w:gridCol w:w="162"/>
      </w:tblGrid>
      <w:tr>
        <w:trPr/>
        <w:tc>
          <w:tcPr>
            <w:tcW w:w="100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6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Ordinary shares</w:t>
            </w:r>
          </w:p>
        </w:tc>
        <w:tc>
          <w:tcPr>
            <w:tcW w:w="15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12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215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10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Total</w:t>
            </w:r>
          </w:p>
        </w:tc>
      </w:tr>
      <w:tr>
        <w:trPr/>
        <w:tc>
          <w:tcPr>
            <w:tcW w:w="2585" w:type="dxa"/>
            <w:gridSpan w:val="3"/>
            <w:vMerge w:val="continue"/>
            <w:tcBorders/>
            <w:tcMar>
              <w:top w:w="0" w:type="dxa"/>
              <w:left w:w="0" w:type="dxa"/>
              <w:bottom w:w="0" w:type="dxa"/>
              <w:right w:w="0" w:type="dxa"/>
            </w:tcMar>
            <w:vAlign w:val="center"/>
          </w:tcPr>
          <w:p>
            <w:pPr>
              <w:pStyle w:val="Normal"/>
              <w:bidi w:val="0"/>
              <w:jc w:val="left"/>
              <w:rPr/>
            </w:pPr>
            <w:r>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532" w:type="dxa"/>
            <w:gridSpan w:val="3"/>
            <w:vMerge w:val="continue"/>
            <w:tcBorders/>
            <w:tcMar>
              <w:top w:w="0" w:type="dxa"/>
              <w:left w:w="0" w:type="dxa"/>
              <w:bottom w:w="0" w:type="dxa"/>
              <w:right w:w="0" w:type="dxa"/>
            </w:tcMar>
            <w:vAlign w:val="center"/>
          </w:tcPr>
          <w:p>
            <w:pPr>
              <w:pStyle w:val="Normal"/>
              <w:bidi w:val="0"/>
              <w:jc w:val="left"/>
              <w:rPr/>
            </w:pPr>
            <w:r>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c>
          <w:tcPr>
            <w:tcW w:w="2155" w:type="dxa"/>
            <w:gridSpan w:val="3"/>
            <w:vMerge w:val="continue"/>
            <w:tcBorders/>
            <w:tcMar>
              <w:top w:w="0" w:type="dxa"/>
              <w:left w:w="0" w:type="dxa"/>
              <w:bottom w:w="0" w:type="dxa"/>
              <w:right w:w="0" w:type="dxa"/>
            </w:tcMar>
            <w:vAlign w:val="center"/>
          </w:tcPr>
          <w:p>
            <w:pPr>
              <w:pStyle w:val="Normal"/>
              <w:bidi w:val="0"/>
              <w:jc w:val="left"/>
              <w:rPr/>
            </w:pPr>
            <w:r>
              <w:rPr/>
            </w:r>
          </w:p>
        </w:tc>
        <w:tc>
          <w:tcPr>
            <w:tcW w:w="10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 December 31, 2020</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options, net of shares tendered for payment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shares, net of cancellations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surrendered by employees to pay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 December 31, 2021</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options, net of shares tendered for payment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shares, net of cancellations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surrendered by employees to pay taxes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 December 31, 2022</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options, net of shares tendered for payment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shares, net of cancellations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surrendered by employees to pay taxes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 December 31, 2023</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3,217.1 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1.Basis of Presentation and Summary of Significant Accounting Policies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Pentair plc and its consolidated subsidiaries (“we,” “us,” “our,” “Pentair” or the “Company”) is a water industrial manufacturing company comprised of three reporting segments: Flow (formerly named Industrial &amp; Flow Technologies), Water Solutions and Pool.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Pentair plc, its wholly-owned subsidiaries and entities for which the Company has a controlling financial interest. Intercompany accounts and transactions have been eliminated. Investments in companies of which we own 20% to 50% of the voting stock or have the ability to exercise significant influence over operating and financial policies of the investee are accounted for using the equity method of accounting and as a result, our share of the earnings or losses of such equity affiliates is included in the Consolidated Statements of Operations and Comprehensive Income.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have been prepared in U.S. dollars (“USD”) and in accordance with accounting principles generally accepted in the United States (“U.S.”) (“U.S. GAAP”).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ends on December 31. We report our interim quarterly periods on a calendar quarter basis.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U.S. GAAP requires us to make estimates and assumptions that affect the amounts reported in these consolidated financial statements and accompanying notes, disclosures of contingent assets and liabilities at the date of the financial statements and the reported amounts of revenues and expenses during the reporting period. These estimates include our accounting for valuation of goodwill and indefinite lived intangible assets, estimated losses on accounts receivable, estimated realizable value on excess and obsolete inventory, over time revenue recognition, assets acquired and liabilities assumed in acquisitions, estimated selling proceeds from assets held for sale, contingent liabilities, income taxes and pension and other post-retirement benefits. Actual results could differ from our estimates.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goods or services is transferred to our customers,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determining whether the customer has obtained control of the goods or services, we consider any future performance obligations. Generally, there is no post-shipment obligation on product sold other than warranty obligations in the normal and ordinary course of business. In the event significant post-shipment obligations were to exist, revenue recognition would be deferred until Pentair has substantially accomplished what it must do to be entitled to the benefits represented by the revenue.</w:t>
      </w:r>
    </w:p>
    <w:p>
      <w:pPr>
        <w:pStyle w:val="TextBody"/>
        <w:bidi w:val="0"/>
        <w:spacing w:lineRule="auto" w:line="288" w:before="180" w:after="283"/>
        <w:jc w:val="both"/>
        <w:rPr/>
      </w:pPr>
      <w:r>
        <w:rPr>
          <w:rFonts w:ascii="Times New Roman;sans-serif" w:hAnsi="Times New Roman;sans-serif"/>
          <w:b w:val="false"/>
          <w:i/>
          <w:color w:val="000000"/>
          <w:sz w:val="20"/>
        </w:rPr>
        <w:t>Performance obligations</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to the customer, and is the unit of account for purposes of revenue recognition.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therefore, not distinct. For contracts with multiple performance obligations, standalone selling price is generally readily observable.</w:t>
      </w:r>
    </w:p>
    <w:p>
      <w:pPr>
        <w:pStyle w:val="TextBody"/>
        <w:bidi w:val="0"/>
        <w:spacing w:lineRule="auto" w:line="288" w:before="18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obligations are satisfied at a point in time or over time as work progresses. Revenue from goods and services transferred to customers at a point in time accounted for 90.6%, 91.7% and 91.9% of our revenue for the years ended December 31, 2023, 2022 and 2021, respectively. Revenue on these contracts is recognized when obligations under the terms of the contract with our customer are satisfied; generally, this occurs with the transfer of control upon shipment. </w:t>
      </w:r>
    </w:p>
    <w:p>
      <w:pPr>
        <w:pStyle w:val="TextBody"/>
        <w:bidi w:val="0"/>
        <w:spacing w:lineRule="auto" w:line="288" w:before="18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products and services transferred to customers over time accounted for 9.4%, 8.3% and 8.1% of our revenue for the years ended December 31, 2023, 2022 and 2021, respectively. For the majority of our revenue recognized over time, we use an input measure to determine progress towards completion. Under this method, sales and gross profit are recognized as work is performed generally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Contract costs include labor, material, overhead and, when appropriate, general and administrative expenses. Changes to the original estimates may be required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life of the contract, and such estimates are reviewed on a regular basis. Sales and gross profit are adjusted using the cumulative catch-up method for revisions in estimated total contract costs. These reviews have not resulted in adjustments that were significant to our results of operations. For performance obligations related to long term contracts, when estimates of total costs to be incurred on a performance obligation exceed total estimates of revenue to be earned, a provision for the entire loss on the performance obligation is recognized in the period the loss is determined. </w:t>
      </w:r>
    </w:p>
    <w:p>
      <w:pPr>
        <w:pStyle w:val="TextBody"/>
        <w:bidi w:val="0"/>
        <w:spacing w:lineRule="auto" w:line="288" w:before="180" w:after="10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2023, we had $113.9 million of remaining performance obligations on contracts with an original expected duration of one year or more. We expect to recognize the majority of our remaining performance obligations on these contracts within the next 12 to 18 months.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returns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right of return may exist explicitly or implicitly with our customers. Our return policy allows for customer returns only upon our authorization. Goods returned must be products we continue to market and must be in salable condition. When the right of return exists, we adjust the transaction price for the estimated effect of returns. We estimate the expected returns based on historical sales levels, the timing and magnitude of historical sales return levels as a percent of sales, type of product, type of customer and a projection of this experience into the future.</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Pricing and sales incentives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contracts may give customers the option to purchase additional goods or services priced at a discount. Options to acquire additional goods or services at a discount can come in many forms, such as customer programs and incentive offerings including pricing arrangements, promotions and other volume-based incentives.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reduce the transaction price for certain customer programs and incentive offerings including pricing arrangements, promotions and other volume-based incentives that represent variable consideration. Sales incentives given to our customers are recorded using either the expected value method or most likely amount approach for estimating the amount of consideration to which Pentair shall be entitled. The expected value is the sum of probability-weighted amounts in a range of possible consideration amounts. An expected value is an appropriate estimate of the amount of variable consideration when there are a large number of contracts with similar characteristics. The most likely amount is the single most likely amount in a range of possible consideration amounts (that is, the single most likely outcome of the contract). The most likely amount is an appropriate estimate of the amount of variable consideration if the contract has limited possible outcomes (for example, an entity either achieves a performance bonus or does not).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Pricing is established at or prior to the time of sale with our customers, and we record sales at the agreed-upon net selling price. However, one of our businesses allows customers to apply for a refund of a percentage of the original purchase price if they can demonstrate sales to a qualifying end customer. We use the expected value method to estimate the anticipated refund to be paid based on historical experience and reduce sales for the probable cost of the discount. The cost of these refunds is recorded as a reduction of the transaction price.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Volume-based incentives involve rebates that are negotiated at or prior to the time of sale with the customer and are redeemable only if the customer achieves a specified cumulative level of sales or sales increase. Under these incentive programs, at the time of sale, we determine the most likely amount of the rebate to be paid based on forecasted sales levels. These forecasts are updated at least quarterly for each customer, and the transaction price is reduced for the anticipated cost of the rebate. If the forecasted sales for a customer change, the accrual for rebates is adjusted to reflect the new amount of rebates expected to be earned by the customer.</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Shipping and handling costs</w:t>
      </w:r>
    </w:p>
    <w:p>
      <w:pPr>
        <w:pStyle w:val="TextBody"/>
        <w:bidi w:val="0"/>
        <w:spacing w:lineRule="auto" w:line="288" w:before="0" w:after="180"/>
        <w:jc w:val="both"/>
        <w:rPr/>
      </w:pPr>
      <w:r>
        <w:rPr>
          <w:rFonts w:ascii="Times New Roman;sans-serif" w:hAnsi="Times New Roman;sans-serif"/>
          <w:b w:val="false"/>
          <w:color w:val="000000"/>
          <w:sz w:val="20"/>
        </w:rPr>
        <w:t xml:space="preserve">Amounts billed to customers for shipping and handling activities after the customer obtains control are treated as a promised service performance obligation and recorded in </w:t>
      </w:r>
      <w:r>
        <w:rPr>
          <w:rFonts w:ascii="Times New Roman;sans-serif" w:hAnsi="Times New Roman;sans-serif"/>
          <w:b w:val="false"/>
          <w:i/>
          <w:color w:val="000000"/>
          <w:sz w:val="20"/>
        </w:rPr>
        <w:t>Net sales</w:t>
      </w:r>
      <w:r>
        <w:rPr>
          <w:color w:val="000000"/>
        </w:rPr>
        <w:t xml:space="preserve"> </w:t>
      </w:r>
      <w:r>
        <w:rPr>
          <w:rFonts w:ascii="Times New Roman;sans-serif" w:hAnsi="Times New Roman;sans-serif"/>
          <w:b w:val="false"/>
          <w:color w:val="000000"/>
          <w:sz w:val="20"/>
        </w:rPr>
        <w:t xml:space="preserve">in the accompanying Consolidated Statements of Operations and Comprehensive Income. Shipping and handling costs incurred by Pentair for the delivery of goods to customers are considered a cost to fulfill the contract and are included in </w:t>
      </w:r>
      <w:r>
        <w:rPr>
          <w:rFonts w:ascii="Times New Roman;sans-serif" w:hAnsi="Times New Roman;sans-serif"/>
          <w:b w:val="false"/>
          <w:i/>
          <w:color w:val="000000"/>
          <w:sz w:val="20"/>
        </w:rPr>
        <w:t>Cost of goods sold</w:t>
      </w:r>
      <w:r>
        <w:rPr>
          <w:color w:val="000000"/>
        </w:rPr>
        <w:t xml:space="preserve"> </w:t>
      </w:r>
      <w:r>
        <w:rPr>
          <w:rFonts w:ascii="Times New Roman;sans-serif" w:hAnsi="Times New Roman;sans-serif"/>
          <w:b w:val="false"/>
          <w:color w:val="000000"/>
          <w:sz w:val="20"/>
        </w:rPr>
        <w:t>in the accompanying Consolidated Statements of Operations and Comprehensive Income.</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consist of unbilled amounts resulting from sales under long-term contracts when the cost-to-cost method of revenue recognition is utilized and revenue recognized exceeds the amount billed to the customer, such as when the customer retains a small portion of the contract price until completion of the contract. We typically receive interim payments on sales under long-term contracts as work progresses, although for some contracts, we may be entitled to receive an advance payment. Contract liabilities consist of advanced payments, billings in excess of costs incurred and deferred revenue. </w:t>
      </w:r>
    </w:p>
    <w:p>
      <w:pPr>
        <w:pStyle w:val="TextBody"/>
        <w:bidi w:val="0"/>
        <w:spacing w:lineRule="auto" w:line="288" w:before="0" w:after="180"/>
        <w:jc w:val="both"/>
        <w:rPr/>
      </w:pPr>
      <w:r>
        <w:rPr>
          <w:rFonts w:ascii="Times New Roman;sans-serif" w:hAnsi="Times New Roman;sans-serif"/>
          <w:b w:val="false"/>
          <w:color w:val="000000"/>
          <w:sz w:val="20"/>
        </w:rPr>
        <w:t xml:space="preserve">Contract assets are recorded within </w:t>
      </w:r>
      <w:r>
        <w:rPr>
          <w:rFonts w:ascii="Times New Roman;sans-serif" w:hAnsi="Times New Roman;sans-serif"/>
          <w:b w:val="false"/>
          <w:i/>
          <w:color w:val="000000"/>
          <w:sz w:val="20"/>
        </w:rPr>
        <w:t>Other current assets</w:t>
      </w:r>
      <w:r>
        <w:rPr>
          <w:rFonts w:ascii="Times New Roman;sans-serif" w:hAnsi="Times New Roman;sans-serif"/>
          <w:b w:val="false"/>
          <w:color w:val="000000"/>
          <w:sz w:val="20"/>
        </w:rPr>
        <w:t xml:space="preserve">, and contract liabilities are recorded within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 xml:space="preserve">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and liabilities consisted of the following:</w:t>
      </w:r>
    </w:p>
    <w:tbl>
      <w:tblPr>
        <w:tblW w:w="6759" w:type="dxa"/>
        <w:jc w:val="left"/>
        <w:tblInd w:w="0" w:type="dxa"/>
        <w:tblLayout w:type="fixed"/>
        <w:tblCellMar>
          <w:top w:w="28" w:type="dxa"/>
          <w:left w:w="28" w:type="dxa"/>
          <w:bottom w:w="28" w:type="dxa"/>
          <w:right w:w="28" w:type="dxa"/>
        </w:tblCellMar>
      </w:tblPr>
      <w:tblGrid>
        <w:gridCol w:w="931"/>
        <w:gridCol w:w="813"/>
        <w:gridCol w:w="821"/>
        <w:gridCol w:w="211"/>
        <w:gridCol w:w="511"/>
        <w:gridCol w:w="109"/>
        <w:gridCol w:w="211"/>
        <w:gridCol w:w="511"/>
        <w:gridCol w:w="109"/>
        <w:gridCol w:w="109"/>
        <w:gridCol w:w="109"/>
        <w:gridCol w:w="109"/>
        <w:gridCol w:w="228"/>
        <w:gridCol w:w="554"/>
        <w:gridCol w:w="119"/>
        <w:gridCol w:w="343"/>
        <w:gridCol w:w="347"/>
        <w:gridCol w:w="614"/>
      </w:tblGrid>
      <w:tr>
        <w:trPr/>
        <w:tc>
          <w:tcPr>
            <w:tcW w:w="93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contract assets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$26.8 million increase in net contract assets from December 31, 2022 to December 31, 2023 was primarily the result of timing of milestone payments. Approximately 90% of our contract liabilities at December 31, 2022 were recognized in revenue during the twelve months ended December 31, 2023. There were no impairment losses recognized on our net contract assets for the twelve months ended December 31, 2023. For the twelve months ended December 31, 2022, there were $1.1 million of impairment losses recognized on our net contract liabilities as a result of our exit of business activity and sales in Russia.</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Practical expedients and exemptions</w:t>
      </w:r>
    </w:p>
    <w:p>
      <w:pPr>
        <w:pStyle w:val="TextBody"/>
        <w:bidi w:val="0"/>
        <w:spacing w:lineRule="auto" w:line="288" w:before="0" w:after="180"/>
        <w:jc w:val="both"/>
        <w:rPr/>
      </w:pPr>
      <w:r>
        <w:rPr>
          <w:rFonts w:ascii="Times New Roman;sans-serif" w:hAnsi="Times New Roman;sans-serif"/>
          <w:b w:val="false"/>
          <w:color w:val="000000"/>
          <w:sz w:val="20"/>
        </w:rPr>
        <w:t xml:space="preserve">We generally expense incremental costs of obtaining a contract when incurred because the amortization period would be less than one year. These costs primarily relate to sales commissions and are recorded in </w:t>
      </w:r>
      <w:r>
        <w:rPr>
          <w:rFonts w:ascii="Times New Roman;sans-serif" w:hAnsi="Times New Roman;sans-serif"/>
          <w:b w:val="false"/>
          <w:i/>
          <w:color w:val="000000"/>
          <w:sz w:val="20"/>
        </w:rPr>
        <w:t xml:space="preserve">Selling, general and administrative expense </w:t>
      </w:r>
      <w:r>
        <w:rPr>
          <w:rFonts w:ascii="Times New Roman;sans-serif" w:hAnsi="Times New Roman;sans-serif"/>
          <w:b w:val="false"/>
          <w:color w:val="000000"/>
          <w:sz w:val="20"/>
        </w:rPr>
        <w:t xml:space="preserve">in the Consolidated Statements of Operations and Comprehensive Income.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do not disclose the value of unsatisfied performance obligations for contracts with an original expected length of one year or less. Further, we do not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by category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 from contracts with customers by segment, geographic location and vertical market, as we believe these best depict how the nature, amount, timing and uncertainty of our revenue and cash flows are affected by economic factors. Refer to Note 14 for revenue disaggregated by segment.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Geographic net sales information, based on geographic destination of the sale, was as follows:</w:t>
      </w:r>
    </w:p>
    <w:tbl>
      <w:tblPr>
        <w:tblW w:w="7226" w:type="dxa"/>
        <w:jc w:val="left"/>
        <w:tblInd w:w="0" w:type="dxa"/>
        <w:tblLayout w:type="fixed"/>
        <w:tblCellMar>
          <w:top w:w="28" w:type="dxa"/>
          <w:left w:w="28" w:type="dxa"/>
          <w:bottom w:w="28" w:type="dxa"/>
          <w:right w:w="28" w:type="dxa"/>
        </w:tblCellMar>
      </w:tblPr>
      <w:tblGrid>
        <w:gridCol w:w="1036"/>
        <w:gridCol w:w="906"/>
        <w:gridCol w:w="914"/>
        <w:gridCol w:w="279"/>
        <w:gridCol w:w="1014"/>
        <w:gridCol w:w="144"/>
        <w:gridCol w:w="279"/>
        <w:gridCol w:w="1014"/>
        <w:gridCol w:w="144"/>
        <w:gridCol w:w="279"/>
        <w:gridCol w:w="1014"/>
        <w:gridCol w:w="203"/>
      </w:tblGrid>
      <w:tr>
        <w:trPr/>
        <w:tc>
          <w:tcPr>
            <w:tcW w:w="103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8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Western Europe</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Developing </w:t>
            </w:r>
            <w:r>
              <w:rPr>
                <w:rFonts w:ascii="Times New Roman;sans-serif" w:hAnsi="Times New Roman;sans-serif"/>
                <w:b w:val="false"/>
                <w:color w:val="000000"/>
                <w:sz w:val="13"/>
              </w:rPr>
              <w:t>(1)</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Other Developed </w:t>
            </w:r>
            <w:r>
              <w:rPr>
                <w:rFonts w:ascii="Times New Roman;sans-serif" w:hAnsi="Times New Roman;sans-serif"/>
                <w:b w:val="false"/>
                <w:color w:val="000000"/>
                <w:sz w:val="13"/>
              </w:rPr>
              <w:t>(2)</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Consolidated net sales </w:t>
            </w:r>
            <w:r>
              <w:rPr>
                <w:rFonts w:ascii="Times New Roman;sans-serif" w:hAnsi="Times New Roman;sans-serif"/>
                <w:b w:val="false"/>
                <w:color w:val="000000"/>
                <w:sz w:val="13"/>
              </w:rPr>
              <w:t>(3)</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4,121.8 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3,764.8 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12"/>
            <w:tcBorders>
              <w:top w:val="double" w:sz="8" w:space="0" w:color="000000"/>
            </w:tcBorders>
            <w:tcMar>
              <w:top w:w="30" w:type="dxa"/>
              <w:left w:w="0" w:type="dxa"/>
              <w:bottom w:w="0" w:type="dxa"/>
              <w:right w:w="0" w:type="dxa"/>
            </w:tcMar>
            <w:vAlign w:val="center"/>
          </w:tcPr>
          <w:p>
            <w:pPr>
              <w:pStyle w:val="TableContents"/>
              <w:bidi w:val="0"/>
              <w:spacing w:lineRule="auto" w:line="240" w:before="0" w:after="4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Developing includes China, Eastern Europe, Latin America, the Middle East and Southeast Asia.</w:t>
            </w:r>
          </w:p>
        </w:tc>
      </w:tr>
      <w:tr>
        <w:trPr/>
        <w:tc>
          <w:tcPr>
            <w:tcW w:w="7226" w:type="dxa"/>
            <w:gridSpan w:val="12"/>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Other Developed includes Australia, Canada and Japan.</w:t>
            </w:r>
          </w:p>
        </w:tc>
      </w:tr>
      <w:tr>
        <w:trPr/>
        <w:tc>
          <w:tcPr>
            <w:tcW w:w="7226" w:type="dxa"/>
            <w:gridSpan w:val="12"/>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8"/>
              </w:rPr>
              <w:t>Net sales in Ireland, for each of the years presented, were not material.</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Vertical market net sales information was as follows:</w:t>
      </w:r>
    </w:p>
    <w:tbl>
      <w:tblPr>
        <w:tblW w:w="5252" w:type="dxa"/>
        <w:jc w:val="left"/>
        <w:tblInd w:w="0" w:type="dxa"/>
        <w:tblLayout w:type="fixed"/>
        <w:tblCellMar>
          <w:top w:w="28" w:type="dxa"/>
          <w:left w:w="28" w:type="dxa"/>
          <w:bottom w:w="28" w:type="dxa"/>
          <w:right w:w="28" w:type="dxa"/>
        </w:tblCellMar>
      </w:tblPr>
      <w:tblGrid>
        <w:gridCol w:w="702"/>
        <w:gridCol w:w="617"/>
        <w:gridCol w:w="630"/>
        <w:gridCol w:w="211"/>
        <w:gridCol w:w="766"/>
        <w:gridCol w:w="109"/>
        <w:gridCol w:w="211"/>
        <w:gridCol w:w="766"/>
        <w:gridCol w:w="109"/>
        <w:gridCol w:w="211"/>
        <w:gridCol w:w="766"/>
        <w:gridCol w:w="154"/>
      </w:tblGrid>
      <w:tr>
        <w:trPr/>
        <w:tc>
          <w:tcPr>
            <w:tcW w:w="7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research and development (“R&amp;D”) activities primarily in our own facilities, which mostly consist of development of new products, product applications and manufacturing processes. We expense R&amp;D costs as incurred. R&amp;D expenditures during 2023, 2022 and 2021 were $99.8 million, $92.2 million and $85.9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equivalents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highly liquid investments with original maturities of three months or less at the date of acquisition to be cash equivalents.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Trade receivables and concentration of credit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We generally do not require collateral.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the allowance for credit losses:</w:t>
      </w:r>
    </w:p>
    <w:tbl>
      <w:tblPr>
        <w:tblW w:w="8469" w:type="dxa"/>
        <w:jc w:val="left"/>
        <w:tblInd w:w="0" w:type="dxa"/>
        <w:tblLayout w:type="fixed"/>
        <w:tblCellMar>
          <w:top w:w="28" w:type="dxa"/>
          <w:left w:w="28" w:type="dxa"/>
          <w:bottom w:w="28" w:type="dxa"/>
          <w:right w:w="28" w:type="dxa"/>
        </w:tblCellMar>
      </w:tblPr>
      <w:tblGrid>
        <w:gridCol w:w="1510"/>
        <w:gridCol w:w="1320"/>
        <w:gridCol w:w="1338"/>
        <w:gridCol w:w="373"/>
        <w:gridCol w:w="904"/>
        <w:gridCol w:w="192"/>
        <w:gridCol w:w="373"/>
        <w:gridCol w:w="904"/>
        <w:gridCol w:w="192"/>
        <w:gridCol w:w="373"/>
        <w:gridCol w:w="718"/>
        <w:gridCol w:w="272"/>
      </w:tblGrid>
      <w:tr>
        <w:trPr/>
        <w:tc>
          <w:tcPr>
            <w:tcW w:w="151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1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vAlign w:val="center"/>
          </w:tcPr>
          <w:p>
            <w:pPr>
              <w:pStyle w:val="TableContents"/>
              <w:bidi w:val="0"/>
              <w:spacing w:before="0" w:after="283"/>
              <w:jc w:val="left"/>
              <w:rPr>
                <w:sz w:val="4"/>
                <w:szCs w:val="4"/>
              </w:rPr>
            </w:pPr>
            <w:r>
              <w:rPr>
                <w:sz w:val="4"/>
                <w:szCs w:val="4"/>
              </w:rPr>
            </w:r>
          </w:p>
        </w:tc>
        <w:tc>
          <w:tcPr>
            <w:tcW w:w="4301" w:type="dxa"/>
            <w:gridSpan w:val="9"/>
            <w:tcBorders/>
          </w:tcPr>
          <w:p>
            <w:pPr>
              <w:pStyle w:val="TableContents"/>
              <w:bidi w:val="0"/>
              <w:spacing w:before="0" w:after="283"/>
              <w:jc w:val="left"/>
              <w:rPr>
                <w:sz w:val="4"/>
                <w:szCs w:val="4"/>
              </w:rPr>
            </w:pPr>
            <w:r>
              <w:rPr>
                <w:sz w:val="4"/>
                <w:szCs w:val="4"/>
              </w:rPr>
            </w:r>
          </w:p>
        </w:tc>
      </w:tr>
      <w:tr>
        <w:trPr/>
        <w:tc>
          <w:tcPr>
            <w:tcW w:w="8469" w:type="dxa"/>
            <w:gridSpan w:val="12"/>
            <w:tcBorders>
              <w:top w:val="double" w:sz="8" w:space="0" w:color="000000"/>
            </w:tcBorders>
            <w:tcMar>
              <w:top w:w="30" w:type="dxa"/>
              <w:left w:w="0" w:type="dxa"/>
              <w:bottom w:w="0" w:type="dxa"/>
              <w:right w:w="0" w:type="dxa"/>
            </w:tcMar>
            <w:vAlign w:val="center"/>
          </w:tcPr>
          <w:p>
            <w:pPr>
              <w:pStyle w:val="TableContents"/>
              <w:bidi w:val="0"/>
              <w:spacing w:lineRule="auto" w:line="240" w:before="0" w:after="4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Other amounts are primarily the effects of changes in currency translations and the impact of allowance for credits.</w:t>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with substantially all inventories recorded using the first-in, first-out (“FIFO”) cost method.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is stated at historical cost. We compute depreciation by the straight-line method based on the following estimated useful lives:</w:t>
      </w:r>
    </w:p>
    <w:tbl>
      <w:tblPr>
        <w:tblW w:w="4018" w:type="dxa"/>
        <w:jc w:val="left"/>
        <w:tblInd w:w="0" w:type="dxa"/>
        <w:tblLayout w:type="fixed"/>
        <w:tblCellMar>
          <w:top w:w="28" w:type="dxa"/>
          <w:left w:w="28" w:type="dxa"/>
          <w:bottom w:w="28" w:type="dxa"/>
          <w:right w:w="28" w:type="dxa"/>
        </w:tblCellMar>
      </w:tblPr>
      <w:tblGrid>
        <w:gridCol w:w="1195"/>
        <w:gridCol w:w="1049"/>
        <w:gridCol w:w="1055"/>
        <w:gridCol w:w="210"/>
        <w:gridCol w:w="210"/>
        <w:gridCol w:w="299"/>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20</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50</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15</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10</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improvements that add to productive capacity or extend the lives of properties are capitalized. Costs for repairs and maintenance are charged to expense as incurred. We capitalize costs associated with software developed or obtained for internal use when both the preliminary project stage is completed, and it is probable the software being developed will be completed and placed in service. The costs of computer software developed or obtained for internal use are amortized on a straight-line basis unless another systematic and rational basis is more representative of the software’s use. When property or capitalized software is retired or otherwise disposed of, the recorded cost of the assets and their related accumulated depreciation are removed from the Consolidated Balance Sheets and any related gains or losses are included in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pPr>
      <w:r>
        <w:rPr>
          <w:rFonts w:ascii="Times New Roman;sans-serif" w:hAnsi="Times New Roman;sans-serif"/>
          <w:b w:val="false"/>
          <w:color w:val="000000"/>
          <w:sz w:val="20"/>
        </w:rPr>
        <w:t xml:space="preserve">The following table presents geographic </w:t>
      </w:r>
      <w:r>
        <w:rPr>
          <w:rFonts w:ascii="Times New Roman;sans-serif" w:hAnsi="Times New Roman;sans-serif"/>
          <w:b w:val="false"/>
          <w:i/>
          <w:color w:val="000000"/>
          <w:sz w:val="20"/>
        </w:rPr>
        <w:t>Property, plant and equipment, net</w:t>
      </w:r>
      <w:r>
        <w:rPr>
          <w:color w:val="000000"/>
        </w:rPr>
        <w:t xml:space="preserve"> </w:t>
      </w:r>
      <w:r>
        <w:rPr>
          <w:rFonts w:ascii="Times New Roman;sans-serif" w:hAnsi="Times New Roman;sans-serif"/>
          <w:b w:val="false"/>
          <w:color w:val="000000"/>
          <w:sz w:val="20"/>
        </w:rPr>
        <w:t>by region as of December 31:</w:t>
      </w:r>
    </w:p>
    <w:tbl>
      <w:tblPr>
        <w:tblW w:w="7336" w:type="dxa"/>
        <w:jc w:val="center"/>
        <w:tblInd w:w="0" w:type="dxa"/>
        <w:tblLayout w:type="fixed"/>
        <w:tblCellMar>
          <w:top w:w="28" w:type="dxa"/>
          <w:left w:w="28" w:type="dxa"/>
          <w:bottom w:w="28" w:type="dxa"/>
          <w:right w:w="28" w:type="dxa"/>
        </w:tblCellMar>
      </w:tblPr>
      <w:tblGrid>
        <w:gridCol w:w="1244"/>
        <w:gridCol w:w="1087"/>
        <w:gridCol w:w="1097"/>
        <w:gridCol w:w="423"/>
        <w:gridCol w:w="1236"/>
        <w:gridCol w:w="218"/>
        <w:gridCol w:w="423"/>
        <w:gridCol w:w="1236"/>
        <w:gridCol w:w="218"/>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Europe</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Developing </w:t>
            </w:r>
            <w:r>
              <w:rPr>
                <w:rFonts w:ascii="Times New Roman;sans-serif" w:hAnsi="Times New Roman;sans-serif"/>
                <w:b w:val="false"/>
                <w:color w:val="000000"/>
                <w:sz w:val="13"/>
              </w:rPr>
              <w:t>(1)</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Developed </w:t>
            </w:r>
            <w:r>
              <w:rPr>
                <w:rFonts w:ascii="Times New Roman;sans-serif" w:hAnsi="Times New Roman;sans-serif"/>
                <w:b w:val="false"/>
                <w:color w:val="000000"/>
                <w:sz w:val="13"/>
              </w:rPr>
              <w:t>(2)</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Consolidated </w:t>
            </w:r>
            <w:r>
              <w:rPr>
                <w:rFonts w:ascii="Times New Roman;sans-serif" w:hAnsi="Times New Roman;sans-serif"/>
                <w:b w:val="false"/>
                <w:color w:val="000000"/>
                <w:sz w:val="13"/>
              </w:rPr>
              <w:t>(3)</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2"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4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Developing includes China, Eastern Europe, Latin America, the Middle East and Southeast Asia.</w:t>
            </w:r>
          </w:p>
        </w:tc>
        <w:tc>
          <w:tcPr>
            <w:tcW w:w="154" w:type="dxa"/>
            <w:tcBorders/>
          </w:tcPr>
          <w:p>
            <w:pPr>
              <w:pStyle w:val="TableContents"/>
              <w:bidi w:val="0"/>
              <w:spacing w:before="0" w:after="283"/>
              <w:jc w:val="left"/>
              <w:rPr>
                <w:sz w:val="4"/>
                <w:szCs w:val="4"/>
              </w:rPr>
            </w:pPr>
            <w:r>
              <w:rPr>
                <w:sz w:val="4"/>
                <w:szCs w:val="4"/>
              </w:rPr>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Other Developed includes Australia, Canada and Japan.</w:t>
            </w:r>
          </w:p>
        </w:tc>
        <w:tc>
          <w:tcPr>
            <w:tcW w:w="154" w:type="dxa"/>
            <w:tcBorders/>
          </w:tcPr>
          <w:p>
            <w:pPr>
              <w:pStyle w:val="TableContents"/>
              <w:bidi w:val="0"/>
              <w:spacing w:before="0" w:after="283"/>
              <w:jc w:val="left"/>
              <w:rPr>
                <w:sz w:val="4"/>
                <w:szCs w:val="4"/>
              </w:rPr>
            </w:pPr>
            <w:r>
              <w:rPr>
                <w:sz w:val="4"/>
                <w:szCs w:val="4"/>
              </w:rPr>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i/>
                <w:color w:val="000000"/>
                <w:sz w:val="18"/>
              </w:rPr>
              <w:t>Property, plant and equipment, net</w:t>
            </w:r>
            <w:r>
              <w:rPr>
                <w:color w:val="000000"/>
              </w:rPr>
              <w:t xml:space="preserve"> </w:t>
            </w:r>
            <w:r>
              <w:rPr>
                <w:rFonts w:ascii="Times New Roman;sans-serif" w:hAnsi="Times New Roman;sans-serif"/>
                <w:b w:val="false"/>
                <w:color w:val="000000"/>
                <w:sz w:val="18"/>
              </w:rPr>
              <w:t>in Ireland, for each of the years presented, were not material.</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the recoverability of long-lived assets to be held and used, such as property, plant and equipment, when events or changes in circumstances occur that indicate the carrying value of the asset or asset group may not be recoverable. The assessment of possible impairment is based on our ability to recover the carrying value of the asset or asset group from the expected future pre-tax cash flows (undiscounted and without interest charges) of the related operations. If these cash flows are less than the carrying value of such asset or asset group, an impairment loss is recognized for the difference between estimated fair value and carrying value. Impairment losses on long-lived assets held for sale are determined in a similar manner, except that fair values are reduced for the cost to dispose of the assets. The measurement of impairment requires us to estimate future cash flows and the fair value of long-lived assets. We recorded $9.2 million of long-lived asset impairment charges in 2022 comprised of long-lived assets which were primarily written off as a result of restructuring actions and certain business exits announced in the fourth quarter of 2022. No material long-lived asset impairment charges were recorded in 2023 or 2021.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Goodwill and identifiable intangible assets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cost of acquired businesses over the net of the fair value of identifiable tangible net assets and identifiable intangible assets purchased and liabilities assumed.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a quantitative assessment was performed. The fair value of each reporting unit was determined using a discounted cash flow analysis and market approach. Projecting discounted future cash flows requires us to make significant estimates regarding future revenues and expenses, projected capital expenditures, changes in working capital and the appropriate discount rate. Use of the market approach consists of comparisons to comparable publicly-traded companies that are similar in size and industry. The non-recurring fair value measurement is a “Level 3” measurement under the fair value hierarchy. For the 2023 annual impairment test, the estimated fair value significantly exceeded the carrying value in each of our reporting units, therefore, no impairment charge was required.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a qualitative assessment was performed. As a result, it was determined that it was more likely than not that the fair value of the reporting units exceeded their respective carrying values. Factors considered in the analysis included the 2020 discounted cash flow fair value assessment of the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Identifiable intangible assets</w:t>
      </w:r>
    </w:p>
    <w:p>
      <w:pPr>
        <w:pStyle w:val="TextBody"/>
        <w:bidi w:val="0"/>
        <w:spacing w:lineRule="auto" w:line="288" w:before="0" w:after="180"/>
        <w:jc w:val="both"/>
        <w:rPr/>
      </w:pPr>
      <w:r>
        <w:rPr>
          <w:rFonts w:ascii="Times New Roman;sans-serif" w:hAnsi="Times New Roman;sans-serif"/>
          <w:b w:val="false"/>
          <w:color w:val="000000"/>
          <w:sz w:val="20"/>
        </w:rPr>
        <w:t xml:space="preserve">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An impairment charge of $2.7 million was recorded in 2022 related to the write-off of a proprietary technology intangible asset as a result of restructuring initiatives implemented in the fourth quarter of 2022. The impairment charge was recorded in </w:t>
      </w:r>
      <w:r>
        <w:rPr>
          <w:rFonts w:ascii="Times New Roman;sans-serif" w:hAnsi="Times New Roman;sans-serif"/>
          <w:b w:val="false"/>
          <w:i/>
          <w:color w:val="000000"/>
          <w:sz w:val="20"/>
        </w:rPr>
        <w:t>Selling, general and administrative</w:t>
      </w:r>
      <w:r>
        <w:rPr>
          <w:color w:val="000000"/>
        </w:rPr>
        <w:t xml:space="preserve"> </w:t>
      </w:r>
      <w:r>
        <w:rPr>
          <w:rFonts w:ascii="Times New Roman;sans-serif" w:hAnsi="Times New Roman;sans-serif"/>
          <w:b w:val="false"/>
          <w:color w:val="000000"/>
          <w:sz w:val="20"/>
        </w:rPr>
        <w:t>in our Consolidated Statements of Operations and Comprehensive Income. No impairment charges associated with identifiable intangibles with finite lives were recognized in 2023 or 2021.</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Identifiable intangible assets not subject to amortization are tested for impairment annually or more frequently if events warrant. We complete our annual impairment test the first day of the fourth quarter each year for those identifiable assets not subject to amortization. 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described in Note 9. No impairment charges were recognized in 2023, 2022, or 2021 as a result of our annual impairment assessment.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asset and liability approach to account for income taxes. Under this method, deferred tax assets and liabilities are recognized for the expected future tax consequences of differences between the carrying amounts of assets and liabilities and their respective tax bases using enacted tax rates in effect for the year in which the differences are expected to reverse. The effect on deferred tax assets and liabilities of a change in tax rates is recognized in income in the period when the change is enacted.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Pension and other post-retirement plans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sponsor U.S. and non-U.S. defined-benefit pension and other post-retirement plans. The pension and other post-retirement benefit costs for company-sponsored benefit plans are determined from actuarial assumptions and methodologies, including discount rates and expected returns on plan assets. These assumptions are updated annually and are disclosed in Note 11. </w:t>
      </w:r>
    </w:p>
    <w:p>
      <w:pPr>
        <w:pStyle w:val="TextBody"/>
        <w:bidi w:val="0"/>
        <w:spacing w:lineRule="auto" w:line="288" w:before="180" w:after="283"/>
        <w:jc w:val="both"/>
        <w:rPr/>
      </w:pPr>
      <w:r>
        <w:rPr>
          <w:rFonts w:ascii="Times New Roman;sans-serif" w:hAnsi="Times New Roman;sans-serif"/>
          <w:b w:val="false"/>
          <w:color w:val="000000"/>
          <w:sz w:val="20"/>
        </w:rPr>
        <w:t xml:space="preserve">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remaining components of pension expense, including service and interest costs and estimated return on plan assets, are recorded on a quarterly basis. The service costs are recorded within </w:t>
      </w:r>
      <w:r>
        <w:rPr>
          <w:rFonts w:ascii="Times New Roman;sans-serif" w:hAnsi="Times New Roman;sans-serif"/>
          <w:b w:val="false"/>
          <w:i/>
          <w:color w:val="000000"/>
          <w:sz w:val="20"/>
        </w:rPr>
        <w:t xml:space="preserve">Operating income </w:t>
      </w:r>
      <w:r>
        <w:rPr>
          <w:rFonts w:ascii="Times New Roman;sans-serif" w:hAnsi="Times New Roman;sans-serif"/>
          <w:b w:val="false"/>
          <w:color w:val="000000"/>
          <w:sz w:val="20"/>
        </w:rPr>
        <w:t xml:space="preserve">and the interest costs, expected return on plan assets and net actuarial gain/loss components of net periodic pension and other post-retirement benefit costs are recorded within </w:t>
      </w:r>
      <w:r>
        <w:rPr>
          <w:rFonts w:ascii="Times New Roman;sans-serif" w:hAnsi="Times New Roman;sans-serif"/>
          <w:b w:val="false"/>
          <w:i/>
          <w:color w:val="000000"/>
          <w:sz w:val="20"/>
        </w:rPr>
        <w:t>Other expense (income).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Insurance subsidiary</w:t>
      </w:r>
    </w:p>
    <w:p>
      <w:pPr>
        <w:pStyle w:val="TextBody"/>
        <w:bidi w:val="0"/>
        <w:spacing w:lineRule="auto" w:line="288" w:before="0" w:after="0"/>
        <w:jc w:val="both"/>
        <w:rPr/>
      </w:pPr>
      <w:r>
        <w:rPr>
          <w:rFonts w:ascii="Times New Roman;sans-serif" w:hAnsi="Times New Roman;sans-serif"/>
          <w:b w:val="false"/>
          <w:color w:val="000000"/>
          <w:sz w:val="20"/>
        </w:rPr>
        <w:t xml:space="preserve">A portion of our property and casualty insurance program is insured through our regulated wholly-owned captive insurance subsidiary, Penwald Insurance Company (“Penwald”). Reserves for policy claims are established based on actuarial projections of ultimate losses. As of December 31, 2023 and 2022, reserves for policy claims were $64.9 million, of which $13.0 million was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 xml:space="preserve">and $51.9 million was included in </w:t>
      </w:r>
      <w:r>
        <w:rPr>
          <w:rFonts w:ascii="Times New Roman;sans-serif" w:hAnsi="Times New Roman;sans-serif"/>
          <w:b w:val="false"/>
          <w:i/>
          <w:color w:val="000000"/>
          <w:sz w:val="20"/>
        </w:rPr>
        <w:t>Other non-current liabilities</w:t>
      </w:r>
      <w:r>
        <w:rPr>
          <w:rFonts w:ascii="Times New Roman;sans-serif" w:hAnsi="Times New Roman;sans-serif"/>
          <w:b w:val="false"/>
          <w:color w:val="000000"/>
          <w:sz w:val="20"/>
        </w:rPr>
        <w:t xml:space="preserve">, and $65.1 million, of which $13.0 million was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 xml:space="preserve">and $52.1 million was included in </w:t>
      </w:r>
      <w:r>
        <w:rPr>
          <w:rFonts w:ascii="Times New Roman;sans-serif" w:hAnsi="Times New Roman;sans-serif"/>
          <w:b w:val="false"/>
          <w:i/>
          <w:color w:val="000000"/>
          <w:sz w:val="20"/>
        </w:rPr>
        <w:t>Other non-current liabilities</w:t>
      </w:r>
      <w:r>
        <w:rPr>
          <w:rFonts w:ascii="Times New Roman;sans-serif" w:hAnsi="Times New Roman;sans-serif"/>
          <w:b w:val="false"/>
          <w:color w:val="000000"/>
          <w:sz w:val="20"/>
        </w:rPr>
        <w:t>, respectively.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share-based compensation awards on a fair value basis. The estimated grant date fair value of each option award is recognized in income on an accelerated basis over the requisite service period (generally the vesting period). The estimated fair value of each option award is calculated using the Black-Scholes option-pricing model. From time to time, we have elected to modify the terms of the original grant. These modified grants are accounted for as a new award and measured using the fair value method, resulting in the inclusion of additional compensation expense in our Consolidated Statements of Operations and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share awards and units (“RSUs”) are recorded as compensation cost over the requisite service periods based on the market value on the date of grant.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share units (“PSUs”) are stock awards where the ultimate number of shares issued will be contingent on the Company’s performance against certain performance goals. The Compensation Committee has the ability to adjust performance goals or modify the manner of measuring or evaluating a performance goal using its discretion. The fair value of each PSU is based on the market value on the date of grant. We recognize expense related to the estimated vesting of our PSUs granted. The estimated vesting of the PSUs is based on the probability of achieving certain performance metrics over the specified performance period.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Earnings per ordinary share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two calculations of earnings per ordinary share (“EPS”). Basic EPS equals net income divided by the weighted-average number of ordinary shares outstanding during the period. Diluted EPS is computed by dividing net income by the sum of weighted-average number of ordinary shares outstanding plus dilutive effects of ordinary share equivalents, calculated using the two-class method.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88" w:before="0" w:after="180"/>
        <w:jc w:val="both"/>
        <w:rPr/>
      </w:pPr>
      <w:r>
        <w:rPr>
          <w:rFonts w:ascii="Times New Roman;sans-serif" w:hAnsi="Times New Roman;sans-serif"/>
          <w:b w:val="false"/>
          <w:color w:val="000000"/>
          <w:sz w:val="20"/>
        </w:rPr>
        <w:t xml:space="preserve">We recognize all derivatives, including those embedded in other contracts, as either assets or liabilities at fair value in our Consolidated Balance Sheets. If the derivative is designated and effective, the effective portion of changes in the fair value of the derivative is recorded in </w:t>
      </w:r>
      <w:r>
        <w:rPr>
          <w:rFonts w:ascii="Times New Roman;sans-serif" w:hAnsi="Times New Roman;sans-serif"/>
          <w:b w:val="false"/>
          <w:i/>
          <w:color w:val="000000"/>
          <w:sz w:val="20"/>
        </w:rPr>
        <w:t>Accumulated other comprehensive income (loss)</w:t>
      </w:r>
      <w:r>
        <w:rPr>
          <w:color w:val="000000"/>
        </w:rPr>
        <w:t xml:space="preserve"> </w:t>
      </w:r>
      <w:r>
        <w:rPr>
          <w:rFonts w:ascii="Times New Roman;sans-serif" w:hAnsi="Times New Roman;sans-serif"/>
          <w:b w:val="false"/>
          <w:color w:val="000000"/>
          <w:sz w:val="20"/>
        </w:rPr>
        <w:t xml:space="preserve">(“AOCI”) as a separate component of equity in the Consolidated Balance Sheets and is recognized in the Consolidated Statements of Operations and Comprehensive Income when the hedged item affects earnings. If the underlying hedged transaction ceases to exist or if the hedge becomes ineffective, all changes in fair value of the related derivatives that have not been settled are recognized in current earnings. For a derivative that is not designated as or does not qualify as a hedge, changes in fair value are reported in earnings immediately.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for the purpose of hedging interest rate and currency exposures, which exist as part of ongoing business operations. We do not hold or issue derivative financial instruments for trading or speculative purposes. Our policy is not to enter into contracts with terms that cannot be designated as normal purchases or sales. From time to time, we may enter into short duration foreign currency contracts to hedge foreign currency risks.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of the Company’s non-U.S. dollar functional currency international subsidiaries are measured using the local currency as the functional currency. Assets and liabilities of these subsidiaries are translated at the rates of exchange at the balance sheet date. Income (loss) and expense items are translated at average monthly rates of exchange. The resultant translation adjustments are included in AOCI, a component of equity.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No. 2023-07, “Segment Reporting”, which expands annual and interim disclosure requirements for reportable segments, primarily through enhanced disclosures regarding significant expenses. We plan to adopt the standard retrospectively beginning with our annual reporting for the year ending December 31, 2024 and interim reporting beginning January 1, 2025. We are currently evaluating the potential effect that the updated standard will have on our financial statement disclosures.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“Improvements to Income Tax Disclosures”, which requires new and enhanced disclosures primarily related to income taxes paid and the effective tax rate reconciliation. We will adopt the standard beginning with our annual reporting for the year ending December 31, 2025. We are currently evaluating the potential effect that the updated standard will have on our financial statement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2.    Acquisitions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as part of our Water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Manitowoc Ice is a designer, manufacturer and distributor of commercial ice machines. The acquisition of Manitowoc Ice allows us to enhance and deliver our total water management offerings to an expanded network of channel partners and customers.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has been allocated based on the fair value of assets acquired and liabilities assumed at the date of the Manitowoc Ice acquisition. The purchase price allocation was completed in the third quarter of 2023.</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allocation of the purchase price to the fair value of assets acquired and liabilities assumed in the Manitowoc Ice acquisition:</w:t>
      </w:r>
    </w:p>
    <w:tbl>
      <w:tblPr>
        <w:tblW w:w="3929" w:type="dxa"/>
        <w:jc w:val="left"/>
        <w:tblInd w:w="0" w:type="dxa"/>
        <w:tblLayout w:type="fixed"/>
        <w:tblCellMar>
          <w:top w:w="28" w:type="dxa"/>
          <w:left w:w="28" w:type="dxa"/>
          <w:bottom w:w="28" w:type="dxa"/>
          <w:right w:w="28" w:type="dxa"/>
        </w:tblCellMar>
      </w:tblPr>
      <w:tblGrid>
        <w:gridCol w:w="936"/>
        <w:gridCol w:w="818"/>
        <w:gridCol w:w="826"/>
        <w:gridCol w:w="109"/>
        <w:gridCol w:w="109"/>
        <w:gridCol w:w="211"/>
        <w:gridCol w:w="766"/>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purchase price over tangible net assets and identified intangible assets acquired has been allocated to goodwill in the amount of $789.7 million, all of which is deductible for income tax purposes. Goodwill recognized from the Manitowoc Ice acquisition primarily reflects the future economic benefit resulting from synergies of our combined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acquired as part of the Manitowoc Ice acquisition include $78.4 million of indefinite-lived trade name intangible assets, $588.4 million of definite-lived customer relationships with a weighted-average estimated useful life of 20 years, $47.1 million of definite-lived proprietary technology intangible assets with a weighted-average estimated useful life of 10 years and $14.4 million of other definite-lived intangible assets with a weighted-average estimated useful life of four months. The fair values of trade names and proprietary technology acquired in the acquisition were determined using a relief-from-royalty method, and customer relationships and other definite-lived intangible assets acquired were determined using a multi-period excess earnings method. These methods utilize unobservable inputs that are significant to these fair value measurements and thus classified as Level 3 of the fair value hierarchy described in Note 9.</w:t>
      </w:r>
    </w:p>
    <w:p>
      <w:pPr>
        <w:pStyle w:val="TextBody"/>
        <w:bidi w:val="0"/>
        <w:spacing w:lineRule="auto" w:line="288" w:before="0" w:after="180"/>
        <w:jc w:val="both"/>
        <w:rPr/>
      </w:pPr>
      <w:r>
        <w:rPr>
          <w:rFonts w:ascii="Times New Roman;sans-serif" w:hAnsi="Times New Roman;sans-serif"/>
          <w:b w:val="false"/>
          <w:color w:val="000000"/>
          <w:sz w:val="20"/>
        </w:rPr>
        <w:t xml:space="preserve">For the year ended December 31, 2022, non-recurring expense related to the fair value adjustment to acquisition-date inventory of $5.8 million, transaction-related charges of $19.9 million, and acquisition-related bridge financing costs of $9.0 million are reflected in </w:t>
      </w:r>
      <w:r>
        <w:rPr>
          <w:rFonts w:ascii="Times New Roman;sans-serif" w:hAnsi="Times New Roman;sans-serif"/>
          <w:b w:val="false"/>
          <w:i/>
          <w:color w:val="000000"/>
          <w:sz w:val="20"/>
        </w:rPr>
        <w:t>Cost of goods sold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Selling, general and administrative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 interest expense</w:t>
      </w:r>
      <w:r>
        <w:rPr>
          <w:rFonts w:ascii="Times New Roman;sans-serif" w:hAnsi="Times New Roman;sans-serif"/>
          <w:b w:val="false"/>
          <w:color w:val="000000"/>
          <w:sz w:val="20"/>
        </w:rPr>
        <w:t>, respectively,</w:t>
      </w:r>
      <w:r>
        <w:rPr>
          <w:color w:val="000000"/>
        </w:rPr>
        <w:t xml:space="preserve"> </w:t>
      </w:r>
      <w:r>
        <w:rPr>
          <w:rFonts w:ascii="Times New Roman;sans-serif" w:hAnsi="Times New Roman;sans-serif"/>
          <w:b w:val="false"/>
          <w:color w:val="000000"/>
          <w:sz w:val="20"/>
        </w:rPr>
        <w:t xml:space="preserve">in the Consolidated Statements of Operations and Comprehensive Income. Manitowoc Ice’s net sales and operating income for the period from the acquisition date to December 31, 2022 were $156.3 million and $12.2 million, respectively. For the year ended December 31, 2022, Manitowoc’s operating income includes $28.6 million of identifiable intangible asset amortization expense and $5.8 million of amortization of inventory fair market value step-up. </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unaudited pro forma financial information as if the Manitowoc Ice acquisition had occurred on January 1, 2021:</w:t>
      </w:r>
    </w:p>
    <w:tbl>
      <w:tblPr>
        <w:tblW w:w="7814" w:type="dxa"/>
        <w:jc w:val="left"/>
        <w:tblInd w:w="0" w:type="dxa"/>
        <w:tblLayout w:type="fixed"/>
        <w:tblCellMar>
          <w:top w:w="28" w:type="dxa"/>
          <w:left w:w="28" w:type="dxa"/>
          <w:bottom w:w="28" w:type="dxa"/>
          <w:right w:w="28" w:type="dxa"/>
        </w:tblCellMar>
      </w:tblPr>
      <w:tblGrid>
        <w:gridCol w:w="1966"/>
        <w:gridCol w:w="1728"/>
        <w:gridCol w:w="1736"/>
        <w:gridCol w:w="227"/>
        <w:gridCol w:w="824"/>
        <w:gridCol w:w="117"/>
        <w:gridCol w:w="227"/>
        <w:gridCol w:w="824"/>
        <w:gridCol w:w="165"/>
      </w:tblGrid>
      <w:tr>
        <w:trPr/>
        <w:tc>
          <w:tcPr>
            <w:tcW w:w="1966"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sales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 from continuing operations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 forma earnings per ordinary share - continuing operations</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net income from continuing operations includes Manitowoc Ice’s identifiable intangible asset amortization expense of $34.1 million and $48.5 million for the years ended December 31, 2022 and 2021, respectively. The unaudited pro forma net income from continuing operations for the year ended December 31, 2022 excludes the impact of $34.7 million of transaction-related charges, acquisition-related bridge financing costs and non-recurring expense related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adjustment to acquisition-date inventory. The year ended December 31, 2021 was adjusted to include transaction-related charges and non-recurring expense related to the fair value adjustment to acquisition-date inventory.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 forma condensed consolidated financial information has been prepared for comparative purposes only and includes certain adjustments, as noted above. The adjustments are estimates based on currently available information and actual amounts may differ materially from these estimates. They do not reflect the effect of costs or synergies that would have been expected to result from the integration of the Manitowoc Ice acquisition. The pro forma information does not purport to be indicative of the results of operations that actually would have resulted had the Manitowoc Ice acquisition occurred on January 1, 2021.</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as part of both of our Flow and Pool reporting segments, we completed the acquisition of Pleatco Holdings, LLC and related entities for $256.9 million in cash, net of cash acquired and working capital true-ups. The excess of purchase price over tangible net assets acquired has been allocated to goodwill in the amount of $140.6 million, $136.4 million of which is deductible for income tax purposes. Identifiable intangible assets acquired consisted of $97.9 million of definite-lived customer relationships with an estimated useful life of 17 years. The pro forma impact of this acquisition is not material.</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as part of our Water Solutions reporting segment, we completed the acquisition of Ken’s Beverage, Inc. for $82.2 million in cash, net of cash acquired and working capital true-ups. The excess of purchase price over tangible net assets acquired has been allocated to goodwill in the amount of $28.3 million, all of which is deductible for income tax purposes. Identifiable intangible assets acquired consisted of $38.0 million of definite-lived customer relationships with an estimated useful life of 22 years. The pro forma impact of this acquisition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3.    Earnings Per Share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 were calculated as follows:</w:t>
      </w:r>
    </w:p>
    <w:tbl>
      <w:tblPr>
        <w:tblW w:w="10187" w:type="dxa"/>
        <w:jc w:val="left"/>
        <w:tblInd w:w="0" w:type="dxa"/>
        <w:tblLayout w:type="fixed"/>
        <w:tblCellMar>
          <w:top w:w="28" w:type="dxa"/>
          <w:left w:w="28" w:type="dxa"/>
          <w:bottom w:w="28" w:type="dxa"/>
          <w:right w:w="28" w:type="dxa"/>
        </w:tblCellMar>
      </w:tblPr>
      <w:tblGrid>
        <w:gridCol w:w="2656"/>
        <w:gridCol w:w="2334"/>
        <w:gridCol w:w="2344"/>
        <w:gridCol w:w="211"/>
        <w:gridCol w:w="616"/>
        <w:gridCol w:w="109"/>
        <w:gridCol w:w="211"/>
        <w:gridCol w:w="616"/>
        <w:gridCol w:w="109"/>
        <w:gridCol w:w="211"/>
        <w:gridCol w:w="616"/>
        <w:gridCol w:w="154"/>
      </w:tblGrid>
      <w:tr>
        <w:trPr/>
        <w:tc>
          <w:tcPr>
            <w:tcW w:w="2656"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7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from continuing operations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ordinary shares outstanding</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impact of stock options and restricted stock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Earnings (loss) per ordinary share </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Basic</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ordinary share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Diluted</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ordinary share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Anti-dilutive stock options excluded from the calculation of diluted earnings per share</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Restructuring and Transformation Program</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2022 and 2021, we initiated and continued execution of our Transformation Program as well as certain business restructuring initiatives aimed at reducing our fixed cost structure and realigning our business. Restructuring and Transformation Program initiatives during the years ended December 31, 2023, 2022 and 2021 included a reduction in hourly and salaried headcount of approximately 475 employees, 625 employees and 75 employees, respectively.</w:t>
      </w:r>
    </w:p>
    <w:p>
      <w:pPr>
        <w:pStyle w:val="TextBody"/>
        <w:bidi w:val="0"/>
        <w:spacing w:lineRule="auto" w:line="288" w:before="180" w:after="283"/>
        <w:jc w:val="both"/>
        <w:rPr/>
      </w:pPr>
      <w:r>
        <w:rPr>
          <w:rFonts w:ascii="Times New Roman;sans-serif" w:hAnsi="Times New Roman;sans-serif"/>
          <w:b w:val="false"/>
          <w:color w:val="000000"/>
          <w:sz w:val="20"/>
        </w:rPr>
        <w:t xml:space="preserve">Restructuring and transformation-related costs included within </w:t>
      </w:r>
      <w:r>
        <w:rPr>
          <w:rFonts w:ascii="Times New Roman;sans-serif" w:hAnsi="Times New Roman;sans-serif"/>
          <w:b w:val="false"/>
          <w:i/>
          <w:color w:val="000000"/>
          <w:sz w:val="20"/>
        </w:rPr>
        <w:t>Cost of goods sold</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Selling, general and administrative</w:t>
      </w:r>
      <w:r>
        <w:rPr>
          <w:color w:val="000000"/>
        </w:rPr>
        <w:t xml:space="preserve"> </w:t>
      </w:r>
      <w:r>
        <w:rPr>
          <w:rFonts w:ascii="Times New Roman;sans-serif" w:hAnsi="Times New Roman;sans-serif"/>
          <w:b w:val="false"/>
          <w:color w:val="000000"/>
          <w:sz w:val="20"/>
        </w:rPr>
        <w:t>expenses in the Consolidated Statements of Operations and Comprehensive Income included the following:</w:t>
      </w:r>
    </w:p>
    <w:tbl>
      <w:tblPr>
        <w:tblW w:w="6812" w:type="dxa"/>
        <w:jc w:val="left"/>
        <w:tblInd w:w="0" w:type="dxa"/>
        <w:tblLayout w:type="fixed"/>
        <w:tblCellMar>
          <w:top w:w="28" w:type="dxa"/>
          <w:left w:w="28" w:type="dxa"/>
          <w:bottom w:w="28" w:type="dxa"/>
          <w:right w:w="28" w:type="dxa"/>
        </w:tblCellMar>
      </w:tblPr>
      <w:tblGrid>
        <w:gridCol w:w="1544"/>
        <w:gridCol w:w="1360"/>
        <w:gridCol w:w="1370"/>
        <w:gridCol w:w="211"/>
        <w:gridCol w:w="511"/>
        <w:gridCol w:w="109"/>
        <w:gridCol w:w="211"/>
        <w:gridCol w:w="511"/>
        <w:gridCol w:w="109"/>
        <w:gridCol w:w="211"/>
        <w:gridCol w:w="51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Restructuring Initiatives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related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Asset impairment and write-offs </w:t>
            </w:r>
            <w:r>
              <w:rPr>
                <w:rFonts w:ascii="Times New Roman;sans-serif" w:hAnsi="Times New Roman;sans-serif"/>
                <w:b w:val="false"/>
                <w:color w:val="000000"/>
                <w:sz w:val="13"/>
              </w:rPr>
              <w:t>(1)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restructuring costs and related adjustments </w:t>
            </w:r>
            <w:r>
              <w:rPr>
                <w:rFonts w:ascii="Times New Roman;sans-serif" w:hAnsi="Times New Roman;sans-serif"/>
                <w:b w:val="false"/>
                <w:color w:val="000000"/>
                <w:sz w:val="13"/>
              </w:rPr>
              <w:t>(2)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Transformation Program</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related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transformation costs </w:t>
            </w:r>
            <w:r>
              <w:rPr>
                <w:rFonts w:ascii="Times New Roman;sans-serif" w:hAnsi="Times New Roman;sans-serif"/>
                <w:b w:val="false"/>
                <w:color w:val="000000"/>
                <w:sz w:val="13"/>
              </w:rPr>
              <w:t>(3)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transformation costs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and transformation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7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Asset impairment and write-offs consist of inventory, long-lived assets and an identifiable intangible asset, which were impaired as a result of product line exits as well as certain business exits announced in the fourth quarter of 2022.</w:t>
      </w:r>
      <w:r>
        <w:rPr>
          <w:color w:val="000000"/>
        </w:rPr>
        <w:t xml:space="preserve"> </w:t>
      </w:r>
    </w:p>
    <w:p>
      <w:pPr>
        <w:pStyle w:val="TextBody"/>
        <w:bidi w:val="0"/>
        <w:spacing w:lineRule="auto" w:line="288" w:before="80" w:after="283"/>
        <w:ind w:left="0" w:right="0" w:hanging="27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 xml:space="preserve">Other restructuring costs and related adjustments primarily consist of certain accruals and related refinements as well as various contract termination costs associated with product line and business exits. </w:t>
      </w:r>
    </w:p>
    <w:p>
      <w:pPr>
        <w:pStyle w:val="TextBody"/>
        <w:bidi w:val="0"/>
        <w:spacing w:lineRule="auto" w:line="288" w:before="80" w:after="283"/>
        <w:ind w:left="0" w:right="0" w:hanging="270"/>
        <w:jc w:val="both"/>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Other transformation costs primarily consist of professional services, project management related costs and asset impairments, partially offset by gain on sale of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transformation costs by reportable segment were as follows:</w:t>
      </w:r>
    </w:p>
    <w:tbl>
      <w:tblPr>
        <w:tblW w:w="3963" w:type="dxa"/>
        <w:jc w:val="center"/>
        <w:tblInd w:w="0" w:type="dxa"/>
        <w:tblLayout w:type="fixed"/>
        <w:tblCellMar>
          <w:top w:w="28" w:type="dxa"/>
          <w:left w:w="28" w:type="dxa"/>
          <w:bottom w:w="28" w:type="dxa"/>
          <w:right w:w="28" w:type="dxa"/>
        </w:tblCellMar>
      </w:tblPr>
      <w:tblGrid>
        <w:gridCol w:w="517"/>
        <w:gridCol w:w="452"/>
        <w:gridCol w:w="456"/>
        <w:gridCol w:w="211"/>
        <w:gridCol w:w="511"/>
        <w:gridCol w:w="109"/>
        <w:gridCol w:w="211"/>
        <w:gridCol w:w="511"/>
        <w:gridCol w:w="109"/>
        <w:gridCol w:w="211"/>
        <w:gridCol w:w="511"/>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Activity related to accrued severance and related costs recorded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in the Consolidated Balance Sheets is summarized as follows:</w:t>
      </w:r>
    </w:p>
    <w:tbl>
      <w:tblPr>
        <w:tblW w:w="4498" w:type="dxa"/>
        <w:jc w:val="left"/>
        <w:tblInd w:w="0" w:type="dxa"/>
        <w:tblLayout w:type="fixed"/>
        <w:tblCellMar>
          <w:top w:w="28" w:type="dxa"/>
          <w:left w:w="28" w:type="dxa"/>
          <w:bottom w:w="28" w:type="dxa"/>
          <w:right w:w="28" w:type="dxa"/>
        </w:tblCellMar>
      </w:tblPr>
      <w:tblGrid>
        <w:gridCol w:w="783"/>
        <w:gridCol w:w="684"/>
        <w:gridCol w:w="693"/>
        <w:gridCol w:w="289"/>
        <w:gridCol w:w="700"/>
        <w:gridCol w:w="149"/>
        <w:gridCol w:w="289"/>
        <w:gridCol w:w="700"/>
        <w:gridCol w:w="211"/>
      </w:tblGrid>
      <w:tr>
        <w:trPr/>
        <w:tc>
          <w:tcPr>
            <w:tcW w:w="7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w:t>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and other</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5.    Goodwill and Other Identifiable Intangible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years ended December 31, 2023 and 2022 by reportable segment were as follows:</w:t>
      </w:r>
    </w:p>
    <w:tbl>
      <w:tblPr>
        <w:tblW w:w="7285" w:type="dxa"/>
        <w:jc w:val="left"/>
        <w:tblInd w:w="0" w:type="dxa"/>
        <w:tblLayout w:type="fixed"/>
        <w:tblCellMar>
          <w:top w:w="28" w:type="dxa"/>
          <w:left w:w="28" w:type="dxa"/>
          <w:bottom w:w="28" w:type="dxa"/>
          <w:right w:w="28" w:type="dxa"/>
        </w:tblCellMar>
      </w:tblPr>
      <w:tblGrid>
        <w:gridCol w:w="517"/>
        <w:gridCol w:w="452"/>
        <w:gridCol w:w="456"/>
        <w:gridCol w:w="335"/>
        <w:gridCol w:w="1217"/>
        <w:gridCol w:w="173"/>
        <w:gridCol w:w="109"/>
        <w:gridCol w:w="316"/>
        <w:gridCol w:w="631"/>
        <w:gridCol w:w="164"/>
        <w:gridCol w:w="109"/>
        <w:gridCol w:w="263"/>
        <w:gridCol w:w="637"/>
        <w:gridCol w:w="136"/>
        <w:gridCol w:w="330"/>
        <w:gridCol w:w="1199"/>
        <w:gridCol w:w="241"/>
      </w:tblGrid>
      <w:tr>
        <w:trPr/>
        <w:tc>
          <w:tcPr>
            <w:tcW w:w="5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Purchase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accounting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w:t>
              <w:br/>
              <w:t>currency</w:t>
              <w:br/>
              <w:t>translation</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Flow</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17" w:type="dxa"/>
        <w:jc w:val="left"/>
        <w:tblInd w:w="0" w:type="dxa"/>
        <w:tblLayout w:type="fixed"/>
        <w:tblCellMar>
          <w:top w:w="28" w:type="dxa"/>
          <w:left w:w="28" w:type="dxa"/>
          <w:bottom w:w="28" w:type="dxa"/>
          <w:right w:w="28" w:type="dxa"/>
        </w:tblCellMar>
      </w:tblPr>
      <w:tblGrid>
        <w:gridCol w:w="517"/>
        <w:gridCol w:w="452"/>
        <w:gridCol w:w="456"/>
        <w:gridCol w:w="335"/>
        <w:gridCol w:w="1217"/>
        <w:gridCol w:w="173"/>
        <w:gridCol w:w="257"/>
        <w:gridCol w:w="750"/>
        <w:gridCol w:w="134"/>
        <w:gridCol w:w="322"/>
        <w:gridCol w:w="621"/>
        <w:gridCol w:w="168"/>
        <w:gridCol w:w="258"/>
        <w:gridCol w:w="644"/>
        <w:gridCol w:w="134"/>
        <w:gridCol w:w="335"/>
        <w:gridCol w:w="1217"/>
        <w:gridCol w:w="173"/>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Acquisitions</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Purchase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accounting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br/>
              <w:t>currency</w:t>
              <w:br/>
              <w:t>translation</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Flow</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impairment of goodwill for any of the years presented.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consisted of the following at December 31:</w:t>
      </w:r>
    </w:p>
    <w:tbl>
      <w:tblPr>
        <w:tblW w:w="10117" w:type="dxa"/>
        <w:jc w:val="left"/>
        <w:tblInd w:w="0" w:type="dxa"/>
        <w:tblLayout w:type="fixed"/>
        <w:tblCellMar>
          <w:top w:w="28" w:type="dxa"/>
          <w:left w:w="28" w:type="dxa"/>
          <w:bottom w:w="28" w:type="dxa"/>
          <w:right w:w="28" w:type="dxa"/>
        </w:tblCellMar>
      </w:tblPr>
      <w:tblGrid>
        <w:gridCol w:w="1074"/>
        <w:gridCol w:w="940"/>
        <w:gridCol w:w="955"/>
        <w:gridCol w:w="211"/>
        <w:gridCol w:w="766"/>
        <w:gridCol w:w="109"/>
        <w:gridCol w:w="269"/>
        <w:gridCol w:w="806"/>
        <w:gridCol w:w="141"/>
        <w:gridCol w:w="211"/>
        <w:gridCol w:w="766"/>
        <w:gridCol w:w="109"/>
        <w:gridCol w:w="109"/>
        <w:gridCol w:w="109"/>
        <w:gridCol w:w="109"/>
        <w:gridCol w:w="211"/>
        <w:gridCol w:w="766"/>
        <w:gridCol w:w="109"/>
        <w:gridCol w:w="269"/>
        <w:gridCol w:w="806"/>
        <w:gridCol w:w="141"/>
        <w:gridCol w:w="211"/>
        <w:gridCol w:w="76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Definite-life intangibles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 and patents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finite-life intangibles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Indefinite-life intangibles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 amortization expense in 2023, 2022 and 2021 was $55.3 million, $52.5 million and $26.3 million, respectively.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impairment charge of $2.7 million was recorded in 2022 related to the write-off of a proprietary technology intangible asset as a result of a business exit announced in the fourth quarter of 2022. No impairment charge was recorded for identifiable intangible assets in 2023 or 2021.</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for identifiable intangible assets during the next five years is as follows:</w:t>
      </w:r>
    </w:p>
    <w:tbl>
      <w:tblPr>
        <w:tblW w:w="7133" w:type="dxa"/>
        <w:jc w:val="left"/>
        <w:tblInd w:w="0" w:type="dxa"/>
        <w:tblLayout w:type="fixed"/>
        <w:tblCellMar>
          <w:top w:w="28" w:type="dxa"/>
          <w:left w:w="28" w:type="dxa"/>
          <w:bottom w:w="28" w:type="dxa"/>
          <w:right w:w="28" w:type="dxa"/>
        </w:tblCellMar>
      </w:tblPr>
      <w:tblGrid>
        <w:gridCol w:w="982"/>
        <w:gridCol w:w="862"/>
        <w:gridCol w:w="871"/>
        <w:gridCol w:w="211"/>
        <w:gridCol w:w="511"/>
        <w:gridCol w:w="109"/>
        <w:gridCol w:w="211"/>
        <w:gridCol w:w="511"/>
        <w:gridCol w:w="109"/>
        <w:gridCol w:w="211"/>
        <w:gridCol w:w="511"/>
        <w:gridCol w:w="109"/>
        <w:gridCol w:w="211"/>
        <w:gridCol w:w="511"/>
        <w:gridCol w:w="109"/>
        <w:gridCol w:w="211"/>
        <w:gridCol w:w="511"/>
        <w:gridCol w:w="109"/>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Supplemental Balance Sheet Information</w:t>
      </w:r>
    </w:p>
    <w:tbl>
      <w:tblPr>
        <w:tblW w:w="5606" w:type="dxa"/>
        <w:jc w:val="left"/>
        <w:tblInd w:w="0" w:type="dxa"/>
        <w:tblLayout w:type="fixed"/>
        <w:tblCellMar>
          <w:top w:w="28" w:type="dxa"/>
          <w:left w:w="28" w:type="dxa"/>
          <w:bottom w:w="28" w:type="dxa"/>
          <w:right w:w="28" w:type="dxa"/>
        </w:tblCellMar>
      </w:tblPr>
      <w:tblGrid>
        <w:gridCol w:w="1334"/>
        <w:gridCol w:w="1171"/>
        <w:gridCol w:w="1184"/>
        <w:gridCol w:w="211"/>
        <w:gridCol w:w="616"/>
        <w:gridCol w:w="109"/>
        <w:gridCol w:w="211"/>
        <w:gridCol w:w="616"/>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assets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in excess of billings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assets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rebates and incentives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Accumulated Other Comprehensive Loss</w:t>
      </w:r>
    </w:p>
    <w:p>
      <w:pPr>
        <w:pStyle w:val="TextBody"/>
        <w:bidi w:val="0"/>
        <w:spacing w:lineRule="auto" w:line="288" w:before="0" w:after="0"/>
        <w:jc w:val="both"/>
        <w:rPr/>
      </w:pPr>
      <w:r>
        <w:rPr>
          <w:rFonts w:ascii="Times New Roman;sans-serif" w:hAnsi="Times New Roman;sans-serif"/>
          <w:b w:val="false"/>
          <w:color w:val="000000"/>
          <w:sz w:val="20"/>
        </w:rPr>
        <w:t xml:space="preserve">Components of </w:t>
      </w:r>
      <w:r>
        <w:rPr>
          <w:rFonts w:ascii="Times New Roman;sans-serif" w:hAnsi="Times New Roman;sans-serif"/>
          <w:b w:val="false"/>
          <w:i/>
          <w:color w:val="000000"/>
          <w:sz w:val="20"/>
        </w:rPr>
        <w:t>Accumulated Other Comprehensive Loss</w:t>
      </w:r>
      <w:r>
        <w:rPr>
          <w:color w:val="000000"/>
        </w:rPr>
        <w:t xml:space="preserve"> </w:t>
      </w:r>
      <w:r>
        <w:rPr>
          <w:rFonts w:ascii="Times New Roman;sans-serif" w:hAnsi="Times New Roman;sans-serif"/>
          <w:b w:val="false"/>
          <w:color w:val="000000"/>
          <w:sz w:val="20"/>
        </w:rPr>
        <w:t>consist of the following:</w:t>
      </w:r>
    </w:p>
    <w:tbl>
      <w:tblPr>
        <w:tblW w:w="6956" w:type="dxa"/>
        <w:jc w:val="left"/>
        <w:tblInd w:w="0" w:type="dxa"/>
        <w:tblLayout w:type="fixed"/>
        <w:tblCellMar>
          <w:top w:w="28" w:type="dxa"/>
          <w:left w:w="28" w:type="dxa"/>
          <w:bottom w:w="28" w:type="dxa"/>
          <w:right w:w="28" w:type="dxa"/>
        </w:tblCellMar>
      </w:tblPr>
      <w:tblGrid>
        <w:gridCol w:w="1772"/>
        <w:gridCol w:w="1552"/>
        <w:gridCol w:w="1565"/>
        <w:gridCol w:w="211"/>
        <w:gridCol w:w="691"/>
        <w:gridCol w:w="109"/>
        <w:gridCol w:w="211"/>
        <w:gridCol w:w="691"/>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of derivative financial instruments, net of tax</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and the average interest rates on debt outstanding were as follows:</w:t>
      </w:r>
    </w:p>
    <w:tbl>
      <w:tblPr>
        <w:tblW w:w="9084" w:type="dxa"/>
        <w:jc w:val="left"/>
        <w:tblInd w:w="0" w:type="dxa"/>
        <w:tblLayout w:type="fixed"/>
        <w:tblCellMar>
          <w:top w:w="28" w:type="dxa"/>
          <w:left w:w="28" w:type="dxa"/>
          <w:bottom w:w="28" w:type="dxa"/>
          <w:right w:w="28" w:type="dxa"/>
        </w:tblCellMar>
      </w:tblPr>
      <w:tblGrid>
        <w:gridCol w:w="1467"/>
        <w:gridCol w:w="1283"/>
        <w:gridCol w:w="1299"/>
        <w:gridCol w:w="574"/>
        <w:gridCol w:w="574"/>
        <w:gridCol w:w="576"/>
        <w:gridCol w:w="364"/>
        <w:gridCol w:w="364"/>
        <w:gridCol w:w="366"/>
        <w:gridCol w:w="211"/>
        <w:gridCol w:w="766"/>
        <w:gridCol w:w="109"/>
        <w:gridCol w:w="211"/>
        <w:gridCol w:w="76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interest rate at</w:t>
            </w:r>
          </w:p>
        </w:tc>
        <w:tc>
          <w:tcPr>
            <w:tcW w:w="10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Maturity</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22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49" w:type="dxa"/>
            <w:gridSpan w:val="3"/>
            <w:vMerge w:val="continue"/>
            <w:tcBorders/>
            <w:tcMar>
              <w:top w:w="0" w:type="dxa"/>
              <w:left w:w="0" w:type="dxa"/>
              <w:bottom w:w="0" w:type="dxa"/>
              <w:right w:w="0" w:type="dxa"/>
            </w:tcMar>
            <w:vAlign w:val="center"/>
          </w:tcPr>
          <w:p>
            <w:pPr>
              <w:pStyle w:val="Normal"/>
              <w:bidi w:val="0"/>
              <w:jc w:val="left"/>
              <w:rPr/>
            </w:pPr>
            <w:r>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4"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(Senior Credit Facility)</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6.655%</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6.891%</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2023 - 2027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(Senior Credit Facility)</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6.610%</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notes - fixed rate </w:t>
            </w:r>
            <w:r>
              <w:rPr>
                <w:rFonts w:ascii="Times New Roman;sans-serif" w:hAnsi="Times New Roman;sans-serif"/>
                <w:b w:val="false"/>
                <w:color w:val="000000"/>
                <w:sz w:val="13"/>
              </w:rPr>
              <w:t xml:space="preserve">(1) </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4.650%</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notes - fixed rate </w:t>
            </w:r>
            <w:r>
              <w:rPr>
                <w:rFonts w:ascii="Times New Roman;sans-serif" w:hAnsi="Times New Roman;sans-serif"/>
                <w:b w:val="false"/>
                <w:color w:val="000000"/>
                <w:sz w:val="13"/>
              </w:rPr>
              <w:t>(1)</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notes - fixed rate </w:t>
            </w:r>
            <w:r>
              <w:rPr>
                <w:rFonts w:ascii="Times New Roman;sans-serif" w:hAnsi="Times New Roman;sans-serif"/>
                <w:b w:val="false"/>
                <w:color w:val="000000"/>
                <w:sz w:val="13"/>
              </w:rPr>
              <w:t>(1)</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5.900%</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and discounts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15"/>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 xml:space="preserve">Senior notes are guaranteed as to payment by Pentair plc. </w:t>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Pentair, Pentair Finance S.à r.l (“PFSA“) and Pentair, Inc. are parties to a credit agreement (the “Senior Credit Facility”), with Pentair as guarantor and PFSA and Pentair, Inc. as borrowers,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total availability under the Senior Credit Facility was $900.0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pStyle w:val="TextBody"/>
        <w:bidi w:val="0"/>
        <w:spacing w:lineRule="auto" w:line="288" w:before="180" w:after="283"/>
        <w:jc w:val="both"/>
        <w:rPr/>
      </w:pPr>
      <w:r>
        <w:rPr>
          <w:rFonts w:ascii="Times New Roman;sans-serif" w:hAnsi="Times New Roman;sans-serif"/>
          <w:b w:val="false"/>
          <w:color w:val="000000"/>
          <w:sz w:val="20"/>
        </w:rPr>
        <w:t xml:space="preserve">In 2022, Pentair and PFSA entered into a senior unsecured term loan facility (the “Term Loan Facility”), with PFSA, as borrower, Pentair, as guarantor, and the lenders and agents party thereto, providing for an aggregate principal amount of $1.0 billion. The Term Loan Facility has a maturity date of July 28, 2027, with required quarterly installment payments of $6.3 million which began on the last day of the third quarter of 2023 and increases to $12.5 million beginning with the last day of the third quarter of 2024. The Term Loan Facility bears interest at a rate equal to an alternate base rate, adjusted term secured overnight financing rate, or adjusted daily simple secured overnight financing rate, plus, in </w:t>
      </w:r>
      <w:r>
        <w:rPr>
          <w:rFonts w:ascii="Times New Roman;sans-serif" w:hAnsi="Times New Roman;sans-serif"/>
          <w:b w:val="false"/>
          <w:color w:val="000000"/>
          <w:sz w:val="20"/>
          <w:shd w:fill="FFFFFF" w:val="clear"/>
        </w:rPr>
        <w:t xml:space="preserve">each case, an applicable margin. </w:t>
      </w:r>
      <w:r>
        <w:rPr>
          <w:rFonts w:ascii="Times New Roman;sans-serif" w:hAnsi="Times New Roman;sans-serif"/>
          <w:b w:val="false"/>
          <w:color w:val="000000"/>
          <w:sz w:val="20"/>
        </w:rPr>
        <w:t>The applicable margin is based on, at PFSA’s election, Pentair’s leverage level or PFSA’s public credit rating.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Term Loan Facility, Pentair, as guarantor, and PFSA, as issuer, completed a public offering in 2022 of $400.0 million aggregate principal amount of 5.900% Senior Notes due 2032 (“2032 Senior Notes”). We used the net proceeds from the Term Loan Facility and the issuance of the 2032 Senior Notes to finance a portion of the Manitowoc Ice acquisition purchase price and to pay related fees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Senior Credit Facility and the Term Loan Facility, we have various other credit facilities with an aggregate availability of $20.9 million, of which there were no outstanding borrowings at December 31, 2023. Borrowings under these credit facilities bear interest at variable rates.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$37.5 million of Term Loan Facility payments and $200.0 million of payments under the senior unsecured term loan facility, associated with the Senior Credit Facility, due in the next twelve months. We classified this debt as long-term as of December 31, 2023 as we have the intent and ability to refinance such obligations on a long-term basis under the revolving credit facility under the Senior Credit Facility.</w:t>
      </w:r>
    </w:p>
    <w:p>
      <w:pPr>
        <w:pStyle w:val="TextBody"/>
        <w:bidi w:val="0"/>
        <w:spacing w:lineRule="auto" w:line="288" w:before="180" w:after="283"/>
        <w:jc w:val="both"/>
        <w:rPr/>
      </w:pPr>
      <w:r>
        <w:rPr>
          <w:rFonts w:ascii="Times New Roman;sans-serif" w:hAnsi="Times New Roman;sans-serif"/>
          <w:b w:val="false"/>
          <w:color w:val="000000"/>
          <w:sz w:val="20"/>
        </w:rPr>
        <w:t>Debt outstanding, excluding unamortized issuance costs and discounts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at December 31, 2023 matures on a calendar year basis as follows:</w:t>
      </w:r>
    </w:p>
    <w:tbl>
      <w:tblPr>
        <w:tblW w:w="9652" w:type="dxa"/>
        <w:jc w:val="left"/>
        <w:tblInd w:w="0" w:type="dxa"/>
        <w:tblLayout w:type="fixed"/>
        <w:tblCellMar>
          <w:top w:w="28" w:type="dxa"/>
          <w:left w:w="28" w:type="dxa"/>
          <w:bottom w:w="28" w:type="dxa"/>
          <w:right w:w="28" w:type="dxa"/>
        </w:tblCellMar>
      </w:tblPr>
      <w:tblGrid>
        <w:gridCol w:w="1172"/>
        <w:gridCol w:w="1028"/>
        <w:gridCol w:w="1040"/>
        <w:gridCol w:w="211"/>
        <w:gridCol w:w="616"/>
        <w:gridCol w:w="109"/>
        <w:gridCol w:w="211"/>
        <w:gridCol w:w="511"/>
        <w:gridCol w:w="109"/>
        <w:gridCol w:w="211"/>
        <w:gridCol w:w="511"/>
        <w:gridCol w:w="109"/>
        <w:gridCol w:w="211"/>
        <w:gridCol w:w="616"/>
        <w:gridCol w:w="109"/>
        <w:gridCol w:w="211"/>
        <w:gridCol w:w="406"/>
        <w:gridCol w:w="109"/>
        <w:gridCol w:w="230"/>
        <w:gridCol w:w="671"/>
        <w:gridCol w:w="120"/>
        <w:gridCol w:w="211"/>
        <w:gridCol w:w="766"/>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debt obligation maturities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Derivatives and Financial Instruments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contracts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we had outstanding foreign currency derivative contracts with gross notional U.S. dollar equivalent amounts of $23.9 million and $9.4 million, respectively. The impact of these contracts on the Consolidated Statements of Operations and Comprehensive Income was not material for any period presented.</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Cross currency swaps</w:t>
      </w:r>
    </w:p>
    <w:p>
      <w:pPr>
        <w:pStyle w:val="TextBody"/>
        <w:bidi w:val="0"/>
        <w:spacing w:lineRule="auto" w:line="288" w:before="0" w:after="0"/>
        <w:jc w:val="both"/>
        <w:rPr/>
      </w:pPr>
      <w:r>
        <w:rPr>
          <w:rFonts w:ascii="Times New Roman;sans-serif" w:hAnsi="Times New Roman;sans-serif"/>
          <w:b w:val="false"/>
          <w:color w:val="000000"/>
          <w:sz w:val="20"/>
        </w:rPr>
        <w:t xml:space="preserve">At December 31, 2023 and 2022, we had outstanding cross currency swap agreements with a combined notional amount of $940.2 million and $746.3 million, respectively. The agreements are accounted for as either cash flow hedges, to hedge foreign currency fluctuations on certain intercompany debt, or as net investment hedges to manage our exposure to fluctuations in the Euro-U.S. Dollar exchange rate. As of December 31, 2023 and 2022, we had deferred foreign currency losses of $51.6 million and $40.3 million, respectively, recorded in </w:t>
      </w:r>
      <w:r>
        <w:rPr>
          <w:rFonts w:ascii="Times New Roman;sans-serif" w:hAnsi="Times New Roman;sans-serif"/>
          <w:b w:val="false"/>
          <w:i/>
          <w:color w:val="000000"/>
          <w:sz w:val="20"/>
        </w:rPr>
        <w:t>Accumulated other comprehensive loss</w:t>
      </w:r>
      <w:r>
        <w:rPr>
          <w:color w:val="000000"/>
        </w:rPr>
        <w:t xml:space="preserve"> </w:t>
      </w:r>
      <w:r>
        <w:rPr>
          <w:rFonts w:ascii="Times New Roman;sans-serif" w:hAnsi="Times New Roman;sans-serif"/>
          <w:b w:val="false"/>
          <w:color w:val="000000"/>
          <w:sz w:val="20"/>
        </w:rPr>
        <w:t>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we terminated a €150.0 million cross currency swap agreement, resulting in a net cash payment of $17.6 million, of which $18.5 million is included within investing activities and $0.9 million of interest income is included within operating activities on the Consolidated Statements of Cash Flows. Subsequent to the termination, we entered into new cross currency swaps with a combined notional amount of €300.0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entered into transactions to early terminate and cash settle €700.0 million of our cross currency swap agreements due to favorable market conditions. The termination of the cross currency swap agreements resulted in net cash receipts of $84.3 million, of which $2.1 million, $70.1 million and $12.1 million are included within operating activities, investing activities and financing activities, respectively, on the Consolidated Statements of Cash Flows. Subsequent to the termination, we entered into new cross currency swap agreements with euro notional amounts matching the original swap agreements.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terminated €300.0 million of our cross currency swap agreements, resulting in total net cash received of $9.0 million, of which $8.8 million is included within investing activities and $0.2 million is included within financing activities on the Consolidated Statements of Cash Flows. Subsequent to the termination, we entered into new cross currency swaps with a combined notional amount of $320.0 million to replace the terminated cross currency swap agreements.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Hedging of variable interest rates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we entered into floating-to-fixed interest rate swap agreements to hedge the interest rate movements related to a portion of our variable rate debt. The swaps have a combined notional amount of $300.0 million and an average fixed one-month U.S. Dollar secured overnight financing rate (“SOFR”) of 3.795%. They have an effective date of April 4, 2023 and settle monthly through April 2026.</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3, 2023, we entered into five-year interest rate collar agreements with a combined notional value of $200.0 million to hedge the cash flows related to the interest rate movements on our variable rate debt. In these collar agreements, the Company and counterparty financial institutions agreed to a one-month U.S. Dollar SOFR floor of 1.875% and a cap of 5.000%. The collars have an effective date of April 4, 2023 and settle monthly through April 2028.</w:t>
      </w:r>
    </w:p>
    <w:p>
      <w:pPr>
        <w:pStyle w:val="TextBody"/>
        <w:bidi w:val="0"/>
        <w:spacing w:lineRule="auto" w:line="288" w:before="180" w:after="283"/>
        <w:jc w:val="both"/>
        <w:rPr/>
      </w:pPr>
      <w:r>
        <w:rPr>
          <w:rFonts w:ascii="Times New Roman;sans-serif" w:hAnsi="Times New Roman;sans-serif"/>
          <w:b w:val="false"/>
          <w:color w:val="000000"/>
          <w:sz w:val="20"/>
        </w:rPr>
        <w:t xml:space="preserve">The interest rate swaps and the collars were designated as cash flow hedges. Unrealized gains and losses related to the fair value of the interest rate swaps are recorded in </w:t>
      </w:r>
      <w:r>
        <w:rPr>
          <w:rFonts w:ascii="Times New Roman;sans-serif" w:hAnsi="Times New Roman;sans-serif"/>
          <w:b w:val="false"/>
          <w:i/>
          <w:color w:val="000000"/>
          <w:sz w:val="20"/>
        </w:rPr>
        <w:t xml:space="preserve">Accumulated other comprehensive loss </w:t>
      </w:r>
      <w:r>
        <w:rPr>
          <w:rFonts w:ascii="Times New Roman;sans-serif" w:hAnsi="Times New Roman;sans-serif"/>
          <w:b w:val="false"/>
          <w:color w:val="000000"/>
          <w:sz w:val="20"/>
        </w:rPr>
        <w:t xml:space="preserve">on our Consolidated Balance Sheets. We had an unrealized gain of $0.3 million at December 31, 2023 recorded in </w:t>
      </w:r>
      <w:r>
        <w:rPr>
          <w:rFonts w:ascii="Times New Roman;sans-serif" w:hAnsi="Times New Roman;sans-serif"/>
          <w:b w:val="false"/>
          <w:i/>
          <w:color w:val="000000"/>
          <w:sz w:val="20"/>
        </w:rPr>
        <w:t>Accumulated other comprehensive loss</w:t>
      </w:r>
      <w:r>
        <w:rPr>
          <w:color w:val="000000"/>
        </w:rPr>
        <w:t xml:space="preserve"> </w:t>
      </w:r>
      <w:r>
        <w:rPr>
          <w:rFonts w:ascii="Times New Roman;sans-serif" w:hAnsi="Times New Roman;sans-serif"/>
          <w:b w:val="false"/>
          <w:color w:val="000000"/>
          <w:sz w:val="20"/>
        </w:rPr>
        <w:t>associated with our interest rate swap and collar activity. The periodic interest settlements related to our interest rate swaps and collars are classified as operating activities.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tbl>
      <w:tblPr>
        <w:tblW w:w="10205" w:type="dxa"/>
        <w:jc w:val="center"/>
        <w:tblInd w:w="0" w:type="dxa"/>
        <w:tblLayout w:type="fixed"/>
        <w:tblCellMar>
          <w:top w:w="28" w:type="dxa"/>
          <w:left w:w="28" w:type="dxa"/>
          <w:bottom w:w="28" w:type="dxa"/>
          <w:right w:w="28" w:type="dxa"/>
        </w:tblCellMar>
      </w:tblPr>
      <w:tblGrid>
        <w:gridCol w:w="232"/>
        <w:gridCol w:w="204"/>
        <w:gridCol w:w="205"/>
        <w:gridCol w:w="109"/>
        <w:gridCol w:w="109"/>
        <w:gridCol w:w="109"/>
        <w:gridCol w:w="2742"/>
        <w:gridCol w:w="2689"/>
        <w:gridCol w:w="3806"/>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 is based on observable inputs such as quoted market prices (unadjusted) for identical assets or liabilities in active markets.</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 is based upon other unobservable inputs that are significant to the fair value measurement.</w:t>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were used to estimate the fair values of each class of financial instrument: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short-term financial instruments (cash and cash equivalents, accounts and notes receivable, accounts payable and variable-rate debt)</w:t>
      </w:r>
      <w:r>
        <w:rPr>
          <w:color w:val="000000"/>
        </w:rPr>
        <w:t xml:space="preserve"> — </w:t>
      </w:r>
      <w:r>
        <w:rPr>
          <w:rFonts w:ascii="Times New Roman;sans-serif" w:hAnsi="Times New Roman;sans-serif"/>
          <w:b w:val="false"/>
          <w:color w:val="000000"/>
          <w:sz w:val="20"/>
        </w:rPr>
        <w:t>recorded amount approximates fair value because of the short maturity period;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long-term fixed-rate debt, including current maturities</w:t>
      </w:r>
      <w:r>
        <w:rPr>
          <w:color w:val="000000"/>
        </w:rPr>
        <w:t xml:space="preserve"> — </w:t>
      </w:r>
      <w:r>
        <w:rPr>
          <w:rFonts w:ascii="Times New Roman;sans-serif" w:hAnsi="Times New Roman;sans-serif"/>
          <w:b w:val="false"/>
          <w:color w:val="000000"/>
          <w:sz w:val="20"/>
        </w:rPr>
        <w:t>fair value is based on market quotes available for issuance of debt with similar terms, which are inputs that are classified as Level 2 in the valuation hierarchy defined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foreign currency contracts, interest rate swap and collar agreements</w:t>
      </w:r>
      <w:r>
        <w:rPr>
          <w:color w:val="000000"/>
        </w:rPr>
        <w:t xml:space="preserve"> — </w:t>
      </w:r>
      <w:r>
        <w:rPr>
          <w:rFonts w:ascii="Times New Roman;sans-serif" w:hAnsi="Times New Roman;sans-serif"/>
          <w:b w:val="false"/>
          <w:color w:val="000000"/>
          <w:sz w:val="20"/>
        </w:rPr>
        <w:t>fair values are determined through the use of models that consider various assumptions, including time value, yield curves, as well as other relevant economic measures, which are inputs that are classified as Level 2 in the valuation hierarchy defined above;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deferred compensation plan assets (mutual funds, common/collective trusts and cash equivalents for payment of certain non-qualified benefits for retired, terminated and active employees)</w:t>
      </w:r>
      <w:r>
        <w:rPr>
          <w:color w:val="000000"/>
        </w:rPr>
        <w:t xml:space="preserve"> — </w:t>
      </w:r>
      <w:r>
        <w:rPr>
          <w:rFonts w:ascii="Times New Roman;sans-serif" w:hAnsi="Times New Roman;sans-serif"/>
          <w:b w:val="false"/>
          <w:color w:val="000000"/>
          <w:sz w:val="20"/>
        </w:rPr>
        <w:t>fair value of mutual funds and cash equivalents are based on quoted market prices in active markets that are classified as Level 1 in the valuation hierarchy defined above; fair value of common/collective trusts are valued at net asset value (“NAV”), which is based on the fair value of the underlying securities owned by the fund and divided by the number of shares outstanding.</w:t>
      </w:r>
    </w:p>
    <w:p>
      <w:pPr>
        <w:pStyle w:val="TextBody"/>
        <w:bidi w:val="0"/>
        <w:spacing w:lineRule="auto" w:line="288" w:before="180" w:after="283"/>
        <w:jc w:val="both"/>
        <w:rPr/>
      </w:pPr>
      <w:r>
        <w:rPr>
          <w:rFonts w:ascii="Times New Roman;sans-serif" w:hAnsi="Times New Roman;sans-serif"/>
          <w:b w:val="false"/>
          <w:color w:val="000000"/>
          <w:sz w:val="20"/>
        </w:rPr>
        <w:t>The recorded amounts and estimated fair values of total debt, excluding unamortized issuance costs and discounts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at December 31 were as follows:</w:t>
      </w:r>
    </w:p>
    <w:tbl>
      <w:tblPr>
        <w:tblW w:w="6276" w:type="dxa"/>
        <w:jc w:val="left"/>
        <w:tblInd w:w="0" w:type="dxa"/>
        <w:tblLayout w:type="fixed"/>
        <w:tblCellMar>
          <w:top w:w="28" w:type="dxa"/>
          <w:left w:w="28" w:type="dxa"/>
          <w:bottom w:w="28" w:type="dxa"/>
          <w:right w:w="28" w:type="dxa"/>
        </w:tblCellMar>
      </w:tblPr>
      <w:tblGrid>
        <w:gridCol w:w="566"/>
        <w:gridCol w:w="495"/>
        <w:gridCol w:w="499"/>
        <w:gridCol w:w="211"/>
        <w:gridCol w:w="766"/>
        <w:gridCol w:w="109"/>
        <w:gridCol w:w="211"/>
        <w:gridCol w:w="766"/>
        <w:gridCol w:w="109"/>
        <w:gridCol w:w="109"/>
        <w:gridCol w:w="109"/>
        <w:gridCol w:w="109"/>
        <w:gridCol w:w="211"/>
        <w:gridCol w:w="766"/>
        <w:gridCol w:w="109"/>
        <w:gridCol w:w="211"/>
        <w:gridCol w:w="766"/>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Recorded</w:t>
              <w:br/>
              <w:t>Amount</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Recorded</w:t>
              <w:br/>
              <w:t>Amount</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rate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measured at fair value on a recurring and nonrecurring basis were as follows:</w:t>
      </w:r>
    </w:p>
    <w:tbl>
      <w:tblPr>
        <w:tblW w:w="7582" w:type="dxa"/>
        <w:jc w:val="left"/>
        <w:tblInd w:w="0" w:type="dxa"/>
        <w:tblLayout w:type="fixed"/>
        <w:tblCellMar>
          <w:top w:w="28" w:type="dxa"/>
          <w:left w:w="28" w:type="dxa"/>
          <w:bottom w:w="28" w:type="dxa"/>
          <w:right w:w="28" w:type="dxa"/>
        </w:tblCellMar>
      </w:tblPr>
      <w:tblGrid>
        <w:gridCol w:w="1206"/>
        <w:gridCol w:w="1057"/>
        <w:gridCol w:w="1066"/>
        <w:gridCol w:w="211"/>
        <w:gridCol w:w="511"/>
        <w:gridCol w:w="109"/>
        <w:gridCol w:w="211"/>
        <w:gridCol w:w="586"/>
        <w:gridCol w:w="109"/>
        <w:gridCol w:w="213"/>
        <w:gridCol w:w="411"/>
        <w:gridCol w:w="110"/>
        <w:gridCol w:w="211"/>
        <w:gridCol w:w="511"/>
        <w:gridCol w:w="109"/>
        <w:gridCol w:w="211"/>
        <w:gridCol w:w="58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NAV</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recurring fair value measurements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tbl>
      <w:tblPr>
        <w:tblW w:w="7582" w:type="dxa"/>
        <w:jc w:val="center"/>
        <w:tblInd w:w="0" w:type="dxa"/>
        <w:tblLayout w:type="fixed"/>
        <w:tblCellMar>
          <w:top w:w="28" w:type="dxa"/>
          <w:left w:w="28" w:type="dxa"/>
          <w:bottom w:w="28" w:type="dxa"/>
          <w:right w:w="28" w:type="dxa"/>
        </w:tblCellMar>
      </w:tblPr>
      <w:tblGrid>
        <w:gridCol w:w="1206"/>
        <w:gridCol w:w="1057"/>
        <w:gridCol w:w="1066"/>
        <w:gridCol w:w="211"/>
        <w:gridCol w:w="511"/>
        <w:gridCol w:w="109"/>
        <w:gridCol w:w="211"/>
        <w:gridCol w:w="586"/>
        <w:gridCol w:w="109"/>
        <w:gridCol w:w="213"/>
        <w:gridCol w:w="411"/>
        <w:gridCol w:w="110"/>
        <w:gridCol w:w="211"/>
        <w:gridCol w:w="511"/>
        <w:gridCol w:w="109"/>
        <w:gridCol w:w="211"/>
        <w:gridCol w:w="58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NAV</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recurring fair value measurements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 consisted of the following:</w:t>
      </w:r>
    </w:p>
    <w:tbl>
      <w:tblPr>
        <w:tblW w:w="7503" w:type="dxa"/>
        <w:jc w:val="left"/>
        <w:tblInd w:w="0" w:type="dxa"/>
        <w:tblLayout w:type="fixed"/>
        <w:tblCellMar>
          <w:top w:w="28" w:type="dxa"/>
          <w:left w:w="28" w:type="dxa"/>
          <w:bottom w:w="28" w:type="dxa"/>
          <w:right w:w="28" w:type="dxa"/>
        </w:tblCellMar>
      </w:tblPr>
      <w:tblGrid>
        <w:gridCol w:w="1685"/>
        <w:gridCol w:w="1472"/>
        <w:gridCol w:w="1493"/>
        <w:gridCol w:w="211"/>
        <w:gridCol w:w="616"/>
        <w:gridCol w:w="109"/>
        <w:gridCol w:w="211"/>
        <w:gridCol w:w="616"/>
        <w:gridCol w:w="109"/>
        <w:gridCol w:w="211"/>
        <w:gridCol w:w="61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Federal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Federal” reflects United Kingdom (“U.K.”) loss from continuing operations before income taxes, given U.K. tax residency.</w:t>
      </w:r>
    </w:p>
    <w:p>
      <w:pPr>
        <w:pStyle w:val="TextBody"/>
        <w:bidi w:val="0"/>
        <w:spacing w:lineRule="auto" w:line="288" w:before="80" w:after="283"/>
        <w:ind w:left="0" w:right="0" w:hanging="18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International” reflects non-U.K. income from continuing operations before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(benefit) provision for income taxes consisted of the following: </w:t>
      </w:r>
    </w:p>
    <w:tbl>
      <w:tblPr>
        <w:tblW w:w="6138" w:type="dxa"/>
        <w:jc w:val="left"/>
        <w:tblInd w:w="0" w:type="dxa"/>
        <w:tblLayout w:type="fixed"/>
        <w:tblCellMar>
          <w:top w:w="28" w:type="dxa"/>
          <w:left w:w="28" w:type="dxa"/>
          <w:bottom w:w="28" w:type="dxa"/>
          <w:right w:w="28" w:type="dxa"/>
        </w:tblCellMar>
      </w:tblPr>
      <w:tblGrid>
        <w:gridCol w:w="1265"/>
        <w:gridCol w:w="1108"/>
        <w:gridCol w:w="1122"/>
        <w:gridCol w:w="211"/>
        <w:gridCol w:w="511"/>
        <w:gridCol w:w="109"/>
        <w:gridCol w:w="211"/>
        <w:gridCol w:w="616"/>
        <w:gridCol w:w="109"/>
        <w:gridCol w:w="211"/>
        <w:gridCol w:w="511"/>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Currently payable (receivable)</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(benefit)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International” represents non-U.K. taxes.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Reconciliations of the federal statutory income tax rate to our effective tax rate were as follows:</w:t>
      </w:r>
    </w:p>
    <w:tbl>
      <w:tblPr>
        <w:tblW w:w="7050" w:type="dxa"/>
        <w:jc w:val="left"/>
        <w:tblInd w:w="0" w:type="dxa"/>
        <w:tblLayout w:type="fixed"/>
        <w:tblCellMar>
          <w:top w:w="28" w:type="dxa"/>
          <w:left w:w="28" w:type="dxa"/>
          <w:bottom w:w="28" w:type="dxa"/>
          <w:right w:w="28" w:type="dxa"/>
        </w:tblCellMar>
      </w:tblPr>
      <w:tblGrid>
        <w:gridCol w:w="1490"/>
        <w:gridCol w:w="1306"/>
        <w:gridCol w:w="1314"/>
        <w:gridCol w:w="291"/>
        <w:gridCol w:w="294"/>
        <w:gridCol w:w="419"/>
        <w:gridCol w:w="255"/>
        <w:gridCol w:w="256"/>
        <w:gridCol w:w="419"/>
        <w:gridCol w:w="255"/>
        <w:gridCol w:w="256"/>
        <w:gridCol w:w="495"/>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Percentages</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U.K. federal statutory income tax rate </w:t>
            </w:r>
            <w:r>
              <w:rPr>
                <w:rFonts w:ascii="Times New Roman;sans-serif" w:hAnsi="Times New Roman;sans-serif"/>
                <w:b w:val="false"/>
                <w:color w:val="000000"/>
                <w:sz w:val="13"/>
              </w:rPr>
              <w:t>(1)</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effect of international operations</w:t>
            </w:r>
            <w:r>
              <w:rPr>
                <w:color w:val="000000"/>
              </w:rPr>
              <w:t xml:space="preserve"> </w:t>
            </w:r>
            <w:r>
              <w:rPr>
                <w:rFonts w:ascii="Times New Roman;sans-serif" w:hAnsi="Times New Roman;sans-serif"/>
                <w:b w:val="false"/>
                <w:color w:val="000000"/>
                <w:sz w:val="13"/>
              </w:rPr>
              <w:t>(2)</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benefits on stock-based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Worthless stock deduction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Change in tax basis in foreign assets </w:t>
            </w:r>
            <w:r>
              <w:rPr>
                <w:rFonts w:ascii="Times New Roman;sans-serif" w:hAnsi="Times New Roman;sans-serif"/>
                <w:b w:val="false"/>
                <w:color w:val="000000"/>
                <w:sz w:val="13"/>
              </w:rPr>
              <w:t>(3)</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ind w:left="0" w:right="0" w:hanging="18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The </w:t>
      </w:r>
      <w:r>
        <w:rPr>
          <w:rFonts w:ascii="Times New Roman;sans-serif" w:hAnsi="Times New Roman;sans-serif"/>
          <w:b w:val="false"/>
          <w:color w:val="000000"/>
          <w:sz w:val="18"/>
        </w:rPr>
        <w:t xml:space="preserve">U.K. Finance Act of 2021 increased the statutory tax rate from 19.0% to 25.0%, effective April 1, 2023. Given this change, a prorated U.K. federal statutory income tax rate was utilized for 2023. </w:t>
      </w:r>
    </w:p>
    <w:p>
      <w:pPr>
        <w:pStyle w:val="TextBody"/>
        <w:bidi w:val="0"/>
        <w:spacing w:lineRule="auto" w:line="288" w:before="80" w:after="283"/>
        <w:ind w:left="0" w:right="0" w:hanging="18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The tax effect of international operations consists of non-U.K. jurisdictions.</w:t>
      </w:r>
      <w:r>
        <w:rPr>
          <w:color w:val="000000"/>
        </w:rPr>
        <w:t xml:space="preserve"> </w:t>
      </w:r>
    </w:p>
    <w:p>
      <w:pPr>
        <w:pStyle w:val="TextBody"/>
        <w:bidi w:val="0"/>
        <w:spacing w:lineRule="auto" w:line="288" w:before="80" w:after="283"/>
        <w:ind w:left="0" w:right="0" w:hanging="18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8"/>
        </w:rPr>
        <w:t>The 2023 impact primarily represents the initial recognition of tax basis in intangible assets in foreign jurisdictions and the related valuation allowance.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Reconciliations of the beginning and ending gross unrecognized tax benefits were as follows:</w:t>
      </w:r>
    </w:p>
    <w:tbl>
      <w:tblPr>
        <w:tblW w:w="7862" w:type="dxa"/>
        <w:jc w:val="left"/>
        <w:tblInd w:w="0" w:type="dxa"/>
        <w:tblLayout w:type="fixed"/>
        <w:tblCellMar>
          <w:top w:w="28" w:type="dxa"/>
          <w:left w:w="28" w:type="dxa"/>
          <w:bottom w:w="28" w:type="dxa"/>
          <w:right w:w="28" w:type="dxa"/>
        </w:tblCellMar>
      </w:tblPr>
      <w:tblGrid>
        <w:gridCol w:w="1929"/>
        <w:gridCol w:w="1686"/>
        <w:gridCol w:w="1709"/>
        <w:gridCol w:w="211"/>
        <w:gridCol w:w="511"/>
        <w:gridCol w:w="109"/>
        <w:gridCol w:w="211"/>
        <w:gridCol w:w="511"/>
        <w:gridCol w:w="109"/>
        <w:gridCol w:w="211"/>
        <w:gridCol w:w="511"/>
        <w:gridCol w:w="154"/>
      </w:tblGrid>
      <w:tr>
        <w:trPr/>
        <w:tc>
          <w:tcPr>
            <w:tcW w:w="192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for tax positions in prior periods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 for tax positions in prior periods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based on tax positions related to the current year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 related to settlements with taxing authorities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statute expiration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We record gross unrecognized tax benefits in</w:t>
      </w:r>
      <w:r>
        <w:rPr>
          <w:color w:val="000000"/>
        </w:rPr>
        <w:t xml:space="preserve">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Other non-current liabilities</w:t>
      </w:r>
      <w:r>
        <w:rPr>
          <w:color w:val="000000"/>
        </w:rPr>
        <w:t xml:space="preserve"> </w:t>
      </w:r>
      <w:r>
        <w:rPr>
          <w:rFonts w:ascii="Times New Roman;sans-serif" w:hAnsi="Times New Roman;sans-serif"/>
          <w:b w:val="false"/>
          <w:color w:val="000000"/>
          <w:sz w:val="20"/>
        </w:rPr>
        <w:t>in the Consolidated Balance Sheets. Included in the $38.6 million of total gross unrecognized tax benefits as of December 31, 2023 was $38.3 million of tax benefits that, if recognized, would impact the effective tax rate. It is reasonably possible that the gross unrecognized tax benefits as of December 31, 2023 may decrease by a range of zero to $33.6 million during 2024, primarily as a result of the expiration of U.S. statute of limitations, and resolution of Germany and U.S. state examinations.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outcome of these examinations, or as a result of the expiration of statutes of limitations for specific jurisdictions, it is reasonably possible that certain unrecognized tax benefits for tax positions taken on previously filed tax returns will materially change from those recorded as liabilities in our financial statements. A number of tax periods from 2009 to present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are under audit by tax authorities in various jurisdictions, including Belgium, Germany and India. We anticipate that several of these audits may be concluded in the foreseeable future.</w:t>
      </w:r>
    </w:p>
    <w:p>
      <w:pPr>
        <w:pStyle w:val="TextBody"/>
        <w:bidi w:val="0"/>
        <w:spacing w:lineRule="auto" w:line="288" w:before="180" w:after="283"/>
        <w:jc w:val="both"/>
        <w:rPr/>
      </w:pPr>
      <w:r>
        <w:rPr>
          <w:rFonts w:ascii="Times New Roman;sans-serif" w:hAnsi="Times New Roman;sans-serif"/>
          <w:b w:val="false"/>
          <w:color w:val="000000"/>
          <w:sz w:val="20"/>
        </w:rPr>
        <w:t xml:space="preserve">We record penalties and interest related to unrecognized tax benefits in </w:t>
      </w:r>
      <w:r>
        <w:rPr>
          <w:rFonts w:ascii="Times New Roman;sans-serif" w:hAnsi="Times New Roman;sans-serif"/>
          <w:b w:val="false"/>
          <w:i/>
          <w:color w:val="000000"/>
          <w:sz w:val="20"/>
        </w:rPr>
        <w:t>(Benefit)</w:t>
      </w:r>
      <w:r>
        <w:rPr>
          <w:color w:val="000000"/>
        </w:rPr>
        <w:t xml:space="preserve"> </w:t>
      </w:r>
      <w:r>
        <w:rPr>
          <w:rFonts w:ascii="Times New Roman;sans-serif" w:hAnsi="Times New Roman;sans-serif"/>
          <w:b w:val="false"/>
          <w:color w:val="000000"/>
          <w:sz w:val="20"/>
        </w:rPr>
        <w:t>p</w:t>
      </w:r>
      <w:r>
        <w:rPr>
          <w:rFonts w:ascii="Times New Roman;sans-serif" w:hAnsi="Times New Roman;sans-serif"/>
          <w:b w:val="false"/>
          <w:i/>
          <w:color w:val="000000"/>
          <w:sz w:val="20"/>
        </w:rPr>
        <w:t>rovision for income taxes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 interest expense</w:t>
      </w:r>
      <w:r>
        <w:rPr>
          <w:rFonts w:ascii="Times New Roman;sans-serif" w:hAnsi="Times New Roman;sans-serif"/>
          <w:b w:val="false"/>
          <w:color w:val="000000"/>
          <w:sz w:val="20"/>
        </w:rPr>
        <w:t xml:space="preserve">, respectively, in the Consolidated Statements of Operations and Comprehensive Income. At December 31, 2023 and 2022, we have liabilities of $0.3 million and $0.6 million, respectively, for the possible payment of penalties and $6.4 million and $4.9 million, respectively, for the possible payment of interest expense, which are recorded in </w:t>
      </w:r>
      <w:r>
        <w:rPr>
          <w:rFonts w:ascii="Times New Roman;sans-serif" w:hAnsi="Times New Roman;sans-serif"/>
          <w:b w:val="false"/>
          <w:i/>
          <w:color w:val="000000"/>
          <w:sz w:val="20"/>
        </w:rPr>
        <w:t xml:space="preserve">Other current liabilities </w:t>
      </w:r>
      <w:r>
        <w:rPr>
          <w:rFonts w:ascii="Times New Roman;sans-serif" w:hAnsi="Times New Roman;sans-serif"/>
          <w:b w:val="false"/>
          <w:color w:val="000000"/>
          <w:sz w:val="20"/>
        </w:rPr>
        <w:t>in the Consolidated Balance Sheets.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taxes arise because of different treatment between financial statement accounting and tax accounting, known as “temporary differences.” We record the tax effect of these temporary differences as “deferred tax assets” (generally items that can be used as a tax deduction or credit in future periods) and “deferred tax liabilities” (generally items for which we received a tax deduction but the tax impact has not yet been recorded in the Consolidated Statements of Operations and Comprehensive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taxes were recorded in the Consolidated Balance Sheets as follows:</w:t>
      </w:r>
    </w:p>
    <w:tbl>
      <w:tblPr>
        <w:tblW w:w="4751" w:type="dxa"/>
        <w:jc w:val="left"/>
        <w:tblInd w:w="0" w:type="dxa"/>
        <w:tblLayout w:type="fixed"/>
        <w:tblCellMar>
          <w:top w:w="28" w:type="dxa"/>
          <w:left w:w="28" w:type="dxa"/>
          <w:bottom w:w="28" w:type="dxa"/>
          <w:right w:w="28" w:type="dxa"/>
        </w:tblCellMar>
      </w:tblPr>
      <w:tblGrid>
        <w:gridCol w:w="1037"/>
        <w:gridCol w:w="908"/>
        <w:gridCol w:w="919"/>
        <w:gridCol w:w="211"/>
        <w:gridCol w:w="616"/>
        <w:gridCol w:w="109"/>
        <w:gridCol w:w="211"/>
        <w:gridCol w:w="58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the major items recorded as deferred tax assets and liabilities were as follows:</w:t>
      </w:r>
    </w:p>
    <w:tbl>
      <w:tblPr>
        <w:tblW w:w="6896" w:type="dxa"/>
        <w:jc w:val="left"/>
        <w:tblInd w:w="0" w:type="dxa"/>
        <w:tblLayout w:type="fixed"/>
        <w:tblCellMar>
          <w:top w:w="28" w:type="dxa"/>
          <w:left w:w="28" w:type="dxa"/>
          <w:bottom w:w="28" w:type="dxa"/>
          <w:right w:w="28" w:type="dxa"/>
        </w:tblCellMar>
      </w:tblPr>
      <w:tblGrid>
        <w:gridCol w:w="1839"/>
        <w:gridCol w:w="1608"/>
        <w:gridCol w:w="1623"/>
        <w:gridCol w:w="223"/>
        <w:gridCol w:w="543"/>
        <w:gridCol w:w="109"/>
        <w:gridCol w:w="211"/>
        <w:gridCol w:w="586"/>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reserves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compensation and benefits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loss and credit carryforwards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limitations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tax loss and credit carryforwards in the table above is a foreign tax credit deferred tax asset of $30.7 million as of December 31, 2023. The $30.7 million foreign tax credit carryover consists of $29.6 million from the tax period ended December 31, 2017 related to the transition tax and $1.1 million from the tax period ended December 31, 2023. The foreign tax credit carryover from the tax period ended December 31, 2017 will expire December 31, 2027, and the foreign tax credit carryover from the period ended December 31, 2023 will expire December 31, 2033. The entire amount of foreign tax credit carryovers generated from both periods are subject to a valuation allowance.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tax loss carryforwards of $3,044.4 million were available to offset future income. A valuation allowance of $732.5 million exists for deferred income tax benefits related to the tax loss carryforwards which may not be realized. We believe sufficient taxable income will be generated in the respective jurisdictions to allow us to fully recover the remainder of the tax losses. The tax losses primarily relate to non-U.S. carryforwards of $2,982.3 million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$1,857.1 million are located in jurisdictions with unlimited tax loss carryforward periods, while the remainder will begin to expire in 2024. In addition, there were $62.1 million of U.S. state tax loss carryforwards as of December 31, 2023. U.S. state tax losses of $8.6 million are in jurisdictions with unlimited tax loss carryforward periods, while the remainder will expire in future years through 2043.</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taxes in the amount of $0.6 million have been provided on undistributed earnings of certain subsidiaries. Taxes have not been provided on undistributed earnings of subsidiaries where it is our intention to reinvest these earnings permanently or to repatriate the earnings only when it is tax effective to do so. It is not practicable to estimate the amount of tax that might be payable if such earnings were to be remitted.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Benefit Plans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Pension and other post-retirement plans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U.S. and non-U.S. defined-benefit pension and other post-retirement plans. Pension benefits are based principally on an employee’s years of service and/or compensation levels near retirement. In addition, we provide certain post-retirement health care and life insurance benefits. Generally, the post-retirement health care and life insurance plans require contributions from retirees.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Obligations and funded status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reconciliations of plan benefit obligations, fair value of plan assets and the funded status of pension plans and other post-retirement plans as of and for the years ended December 31, 2023 and 2022:</w:t>
      </w:r>
    </w:p>
    <w:tbl>
      <w:tblPr>
        <w:tblW w:w="10177" w:type="dxa"/>
        <w:jc w:val="left"/>
        <w:tblInd w:w="0" w:type="dxa"/>
        <w:tblLayout w:type="fixed"/>
        <w:tblCellMar>
          <w:top w:w="28" w:type="dxa"/>
          <w:left w:w="28" w:type="dxa"/>
          <w:bottom w:w="28" w:type="dxa"/>
          <w:right w:w="28" w:type="dxa"/>
        </w:tblCellMar>
      </w:tblPr>
      <w:tblGrid>
        <w:gridCol w:w="1782"/>
        <w:gridCol w:w="1559"/>
        <w:gridCol w:w="1579"/>
        <w:gridCol w:w="211"/>
        <w:gridCol w:w="586"/>
        <w:gridCol w:w="109"/>
        <w:gridCol w:w="211"/>
        <w:gridCol w:w="616"/>
        <w:gridCol w:w="109"/>
        <w:gridCol w:w="109"/>
        <w:gridCol w:w="109"/>
        <w:gridCol w:w="109"/>
        <w:gridCol w:w="109"/>
        <w:gridCol w:w="109"/>
        <w:gridCol w:w="255"/>
        <w:gridCol w:w="495"/>
        <w:gridCol w:w="988"/>
        <w:gridCol w:w="256"/>
        <w:gridCol w:w="211"/>
        <w:gridCol w:w="511"/>
        <w:gridCol w:w="154"/>
      </w:tblGrid>
      <w:tr>
        <w:trPr/>
        <w:tc>
          <w:tcPr>
            <w:tcW w:w="1782"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Other post-retirement </w:t>
              <w:br/>
              <w:t>plans</w:t>
            </w:r>
          </w:p>
        </w:tc>
        <w:tc>
          <w:tcPr>
            <w:tcW w:w="876" w:type="dxa"/>
            <w:gridSpan w:val="3"/>
            <w:tcBorders/>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benefit obligations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Funded status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 in excess of the fair value of plan assets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actuarial loss in 2023 was primarily due to declines in the discount rates to reflect economic conditions at December 31, 2023. The actuarial gain in 2022 was primarily due to increases in the discount rates to reflect economic conditions at December 31, 2022.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Amounts recorded in the Consolidated Balance Sheets were as follows:</w:t>
      </w:r>
    </w:p>
    <w:tbl>
      <w:tblPr>
        <w:tblW w:w="10116" w:type="dxa"/>
        <w:jc w:val="left"/>
        <w:tblInd w:w="0" w:type="dxa"/>
        <w:tblLayout w:type="fixed"/>
        <w:tblCellMar>
          <w:top w:w="28" w:type="dxa"/>
          <w:left w:w="28" w:type="dxa"/>
          <w:bottom w:w="28" w:type="dxa"/>
          <w:right w:w="28" w:type="dxa"/>
        </w:tblCellMar>
      </w:tblPr>
      <w:tblGrid>
        <w:gridCol w:w="1784"/>
        <w:gridCol w:w="1561"/>
        <w:gridCol w:w="1574"/>
        <w:gridCol w:w="211"/>
        <w:gridCol w:w="586"/>
        <w:gridCol w:w="109"/>
        <w:gridCol w:w="211"/>
        <w:gridCol w:w="586"/>
        <w:gridCol w:w="109"/>
        <w:gridCol w:w="109"/>
        <w:gridCol w:w="109"/>
        <w:gridCol w:w="109"/>
        <w:gridCol w:w="109"/>
        <w:gridCol w:w="109"/>
        <w:gridCol w:w="254"/>
        <w:gridCol w:w="495"/>
        <w:gridCol w:w="987"/>
        <w:gridCol w:w="258"/>
        <w:gridCol w:w="211"/>
        <w:gridCol w:w="481"/>
        <w:gridCol w:w="154"/>
      </w:tblGrid>
      <w:tr>
        <w:trPr/>
        <w:tc>
          <w:tcPr>
            <w:tcW w:w="178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Other post-retirement </w:t>
              <w:br/>
              <w:t>plans</w:t>
            </w:r>
          </w:p>
        </w:tc>
        <w:tc>
          <w:tcPr>
            <w:tcW w:w="846" w:type="dxa"/>
            <w:gridSpan w:val="3"/>
            <w:tcBorders/>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 in excess of the fair value of plan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accumulated benefit obligation for our pension plans was $93.4 million and $88.7 million at December 31, 2023 and 2022,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for pension plans with an accumulated benefit obligation or projected benefit obligation in excess of plan assets as of December 31 was as follows:</w:t>
      </w:r>
    </w:p>
    <w:tbl>
      <w:tblPr>
        <w:tblW w:w="8320" w:type="dxa"/>
        <w:jc w:val="left"/>
        <w:tblInd w:w="0" w:type="dxa"/>
        <w:tblLayout w:type="fixed"/>
        <w:tblCellMar>
          <w:top w:w="28" w:type="dxa"/>
          <w:left w:w="28" w:type="dxa"/>
          <w:bottom w:w="28" w:type="dxa"/>
          <w:right w:w="28" w:type="dxa"/>
        </w:tblCellMar>
      </w:tblPr>
      <w:tblGrid>
        <w:gridCol w:w="984"/>
        <w:gridCol w:w="861"/>
        <w:gridCol w:w="869"/>
        <w:gridCol w:w="310"/>
        <w:gridCol w:w="752"/>
        <w:gridCol w:w="160"/>
        <w:gridCol w:w="310"/>
        <w:gridCol w:w="752"/>
        <w:gridCol w:w="162"/>
        <w:gridCol w:w="109"/>
        <w:gridCol w:w="109"/>
        <w:gridCol w:w="109"/>
        <w:gridCol w:w="349"/>
        <w:gridCol w:w="848"/>
        <w:gridCol w:w="179"/>
        <w:gridCol w:w="349"/>
        <w:gridCol w:w="848"/>
        <w:gridCol w:w="260"/>
      </w:tblGrid>
      <w:tr>
        <w:trPr/>
        <w:tc>
          <w:tcPr>
            <w:tcW w:w="98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Projected benefit obligation</w:t>
              <w:br/>
              <w:t>exceeds the fair value</w:t>
              <w:br/>
              <w:t>of plan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benefit  obligation</w:t>
              <w:br/>
              <w:t>exceeds the fair value of</w:t>
              <w:br/>
              <w:t>plan assets</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expense for our pension plans for the years ended December 31 were as follows:</w:t>
      </w:r>
    </w:p>
    <w:tbl>
      <w:tblPr>
        <w:tblW w:w="5718" w:type="dxa"/>
        <w:jc w:val="left"/>
        <w:tblInd w:w="0" w:type="dxa"/>
        <w:tblLayout w:type="fixed"/>
        <w:tblCellMar>
          <w:top w:w="28" w:type="dxa"/>
          <w:left w:w="28" w:type="dxa"/>
          <w:bottom w:w="28" w:type="dxa"/>
          <w:right w:w="28" w:type="dxa"/>
        </w:tblCellMar>
      </w:tblPr>
      <w:tblGrid>
        <w:gridCol w:w="1165"/>
        <w:gridCol w:w="1018"/>
        <w:gridCol w:w="1027"/>
        <w:gridCol w:w="211"/>
        <w:gridCol w:w="511"/>
        <w:gridCol w:w="109"/>
        <w:gridCol w:w="211"/>
        <w:gridCol w:w="586"/>
        <w:gridCol w:w="109"/>
        <w:gridCol w:w="211"/>
        <w:gridCol w:w="406"/>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677" w:type="dxa"/>
            <w:gridSpan w:val="6"/>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 (gain)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expense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expense and income for our other post-retirement plans for the years ended December 31, 2023, 2022 and 2021, were not material.</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Assumptions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weighted-average assumptions used to determine benefit obligations and net periodic benefit cost as they pertain to our pension and other post-retirement plans.</w:t>
      </w:r>
    </w:p>
    <w:tbl>
      <w:tblPr>
        <w:tblW w:w="9947" w:type="dxa"/>
        <w:jc w:val="center"/>
        <w:tblInd w:w="0" w:type="dxa"/>
        <w:tblLayout w:type="fixed"/>
        <w:tblCellMar>
          <w:top w:w="28" w:type="dxa"/>
          <w:left w:w="28" w:type="dxa"/>
          <w:bottom w:w="28" w:type="dxa"/>
          <w:right w:w="28" w:type="dxa"/>
        </w:tblCellMar>
      </w:tblPr>
      <w:tblGrid>
        <w:gridCol w:w="1289"/>
        <w:gridCol w:w="1129"/>
        <w:gridCol w:w="1136"/>
        <w:gridCol w:w="255"/>
        <w:gridCol w:w="256"/>
        <w:gridCol w:w="292"/>
        <w:gridCol w:w="255"/>
        <w:gridCol w:w="256"/>
        <w:gridCol w:w="292"/>
        <w:gridCol w:w="255"/>
        <w:gridCol w:w="256"/>
        <w:gridCol w:w="292"/>
        <w:gridCol w:w="109"/>
        <w:gridCol w:w="109"/>
        <w:gridCol w:w="109"/>
        <w:gridCol w:w="229"/>
        <w:gridCol w:w="229"/>
        <w:gridCol w:w="229"/>
        <w:gridCol w:w="229"/>
        <w:gridCol w:w="255"/>
        <w:gridCol w:w="256"/>
        <w:gridCol w:w="577"/>
        <w:gridCol w:w="255"/>
        <w:gridCol w:w="256"/>
        <w:gridCol w:w="292"/>
        <w:gridCol w:w="255"/>
        <w:gridCol w:w="256"/>
        <w:gridCol w:w="339"/>
      </w:tblGrid>
      <w:tr>
        <w:trPr/>
        <w:tc>
          <w:tcPr>
            <w:tcW w:w="128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post-retirement</w:t>
              <w:br/>
              <w:t>plans</w:t>
            </w:r>
          </w:p>
        </w:tc>
        <w:tc>
          <w:tcPr>
            <w:tcW w:w="1653" w:type="dxa"/>
            <w:gridSpan w:val="6"/>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Percentages</w:t>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519" w:type="dxa"/>
            <w:gridSpan w:val="1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Benefit obligation assumptions</w:t>
            </w:r>
          </w:p>
        </w:tc>
        <w:tc>
          <w:tcPr>
            <w:tcW w:w="3428" w:type="dxa"/>
            <w:gridSpan w:val="12"/>
            <w:tcBorders/>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periodic benefit expense assumptions</w:t>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return on plan assets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Discount rates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There are no known or anticipated changes in our discount rate assumptions that will impact our pension expense in 2024.</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Expected rates of return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 Pension plan assets yielded a gain of 2.82% in 2023 and losses of 16.86% and 0.89% in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605" cy="14605"/>
                <wp:effectExtent l="0" t="0" r="0" b="0"/>
                <wp:wrapNone/>
                <wp:docPr id="73" name="Frame7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Healthcare cost trend rates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assumed healthcare cost trend rates for other post-retirement plans as of December 31 were as follows:</w:t>
      </w:r>
    </w:p>
    <w:tbl>
      <w:tblPr>
        <w:tblW w:w="7893" w:type="dxa"/>
        <w:jc w:val="left"/>
        <w:tblInd w:w="0" w:type="dxa"/>
        <w:tblLayout w:type="fixed"/>
        <w:tblCellMar>
          <w:top w:w="28" w:type="dxa"/>
          <w:left w:w="28" w:type="dxa"/>
          <w:bottom w:w="28" w:type="dxa"/>
          <w:right w:w="28" w:type="dxa"/>
        </w:tblCellMar>
      </w:tblPr>
      <w:tblGrid>
        <w:gridCol w:w="2336"/>
        <w:gridCol w:w="2051"/>
        <w:gridCol w:w="2063"/>
        <w:gridCol w:w="203"/>
        <w:gridCol w:w="203"/>
        <w:gridCol w:w="292"/>
        <w:gridCol w:w="203"/>
        <w:gridCol w:w="203"/>
        <w:gridCol w:w="339"/>
      </w:tblGrid>
      <w:tr>
        <w:trPr/>
        <w:tc>
          <w:tcPr>
            <w:tcW w:w="2336"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 cost trend rate assumed for following year</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to which the cost trend rate is assumed to decline (the ultimate trend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the cost trend rate reaches the ultimate trend rate</w:t>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w:t>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r>
    </w:tbl>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Pension plans assets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Objective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strategy is to meet the pension obligation to our employees at a reasonable cost to us. This is primarily accomplished through growth of capital and safety of the funds invested.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allocation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overall asset allocation for our pension plans as compared to our investment policy goals as of December 31 was as follows:</w:t>
      </w:r>
    </w:p>
    <w:tbl>
      <w:tblPr>
        <w:tblW w:w="4868" w:type="dxa"/>
        <w:jc w:val="left"/>
        <w:tblInd w:w="0" w:type="dxa"/>
        <w:tblLayout w:type="fixed"/>
        <w:tblCellMar>
          <w:top w:w="28" w:type="dxa"/>
          <w:left w:w="28" w:type="dxa"/>
          <w:bottom w:w="28" w:type="dxa"/>
          <w:right w:w="28" w:type="dxa"/>
        </w:tblCellMar>
      </w:tblPr>
      <w:tblGrid>
        <w:gridCol w:w="446"/>
        <w:gridCol w:w="391"/>
        <w:gridCol w:w="393"/>
        <w:gridCol w:w="180"/>
        <w:gridCol w:w="181"/>
        <w:gridCol w:w="292"/>
        <w:gridCol w:w="180"/>
        <w:gridCol w:w="181"/>
        <w:gridCol w:w="292"/>
        <w:gridCol w:w="109"/>
        <w:gridCol w:w="109"/>
        <w:gridCol w:w="109"/>
        <w:gridCol w:w="180"/>
        <w:gridCol w:w="181"/>
        <w:gridCol w:w="292"/>
        <w:gridCol w:w="180"/>
        <w:gridCol w:w="181"/>
        <w:gridCol w:w="292"/>
        <w:gridCol w:w="109"/>
        <w:gridCol w:w="109"/>
        <w:gridCol w:w="109"/>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Target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Percentages</w:t>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our pension plan assets and their respective levels in the fair value hierarchy as of December 31, 2023 and December 31, 2022 were as follows:</w:t>
      </w:r>
    </w:p>
    <w:tbl>
      <w:tblPr>
        <w:tblW w:w="5754" w:type="dxa"/>
        <w:jc w:val="center"/>
        <w:tblInd w:w="0" w:type="dxa"/>
        <w:tblLayout w:type="fixed"/>
        <w:tblCellMar>
          <w:top w:w="28" w:type="dxa"/>
          <w:left w:w="28" w:type="dxa"/>
          <w:bottom w:w="28" w:type="dxa"/>
          <w:right w:w="28" w:type="dxa"/>
        </w:tblCellMar>
      </w:tblPr>
      <w:tblGrid>
        <w:gridCol w:w="934"/>
        <w:gridCol w:w="818"/>
        <w:gridCol w:w="827"/>
        <w:gridCol w:w="213"/>
        <w:gridCol w:w="411"/>
        <w:gridCol w:w="110"/>
        <w:gridCol w:w="213"/>
        <w:gridCol w:w="411"/>
        <w:gridCol w:w="110"/>
        <w:gridCol w:w="211"/>
        <w:gridCol w:w="511"/>
        <w:gridCol w:w="109"/>
        <w:gridCol w:w="211"/>
        <w:gridCol w:w="51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at fair value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measured at NAV</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725" w:type="dxa"/>
        <w:jc w:val="left"/>
        <w:tblInd w:w="0" w:type="dxa"/>
        <w:tblLayout w:type="fixed"/>
        <w:tblCellMar>
          <w:top w:w="28" w:type="dxa"/>
          <w:left w:w="28" w:type="dxa"/>
          <w:bottom w:w="28" w:type="dxa"/>
          <w:right w:w="28" w:type="dxa"/>
        </w:tblCellMar>
      </w:tblPr>
      <w:tblGrid>
        <w:gridCol w:w="924"/>
        <w:gridCol w:w="810"/>
        <w:gridCol w:w="816"/>
        <w:gridCol w:w="213"/>
        <w:gridCol w:w="411"/>
        <w:gridCol w:w="110"/>
        <w:gridCol w:w="213"/>
        <w:gridCol w:w="411"/>
        <w:gridCol w:w="110"/>
        <w:gridCol w:w="211"/>
        <w:gridCol w:w="511"/>
        <w:gridCol w:w="109"/>
        <w:gridCol w:w="211"/>
        <w:gridCol w:w="51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measured at NAV</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pPr>
      <w:r>
        <w:rPr>
          <w:color w:val="000000"/>
        </w:rPr>
        <w:t> </w:t>
      </w:r>
      <w:r>
        <w:rPr>
          <w:rFonts w:ascii="Times New Roman;sans-serif" w:hAnsi="Times New Roman;sans-serif"/>
          <w:b w:val="false"/>
          <w:color w:val="000000"/>
          <w:sz w:val="20"/>
        </w:rPr>
        <w:t>Valuation methodologies used for investments measured at fair value were as follows: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Cash and cash equivalents </w:t>
      </w:r>
      <w:r>
        <w:rPr>
          <w:color w:val="000000"/>
        </w:rPr>
        <w:t xml:space="preserve">— </w:t>
      </w:r>
      <w:r>
        <w:rPr>
          <w:rFonts w:ascii="Times New Roman;sans-serif" w:hAnsi="Times New Roman;sans-serif"/>
          <w:b w:val="false"/>
          <w:color w:val="000000"/>
          <w:sz w:val="20"/>
        </w:rPr>
        <w:t xml:space="preserve">Cash consists of cash held in bank accounts and is considered a Level 1 investment.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Other investments </w:t>
      </w:r>
      <w:r>
        <w:rPr>
          <w:color w:val="000000"/>
        </w:rPr>
        <w:t xml:space="preserve">— </w:t>
      </w:r>
      <w:r>
        <w:rPr>
          <w:rFonts w:ascii="Times New Roman;sans-serif" w:hAnsi="Times New Roman;sans-serif"/>
          <w:b w:val="false"/>
          <w:color w:val="000000"/>
          <w:sz w:val="20"/>
        </w:rPr>
        <w:t>Other investments include investments in commingled funds with diversified investment strategies. Investments in commingled funds that were valued based on unobservable inputs due to liquidation restrictions were classified as Level 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Activity for our Level 3 pension plan assets held during the years ended December 31, 2023 and 2022 was not material.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Contributions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Pension contributions totaled $7.6 million and $7.5 million in 2023 and 2022, respectively. We anticipate our 2024 pension contributions to be approximately $9.8 million. The 2024 expected contributions will equal or exceed our minimum funding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Estimated future benefit payments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benefit payments, which reflect expected future service or payout from termination, as appropriate, are expected to be paid by the plans in each of the next five fiscal years and in the aggregate for the five fiscal years thereafter are as follows:</w:t>
      </w:r>
    </w:p>
    <w:tbl>
      <w:tblPr>
        <w:tblW w:w="3573" w:type="dxa"/>
        <w:jc w:val="left"/>
        <w:tblInd w:w="0" w:type="dxa"/>
        <w:tblLayout w:type="fixed"/>
        <w:tblCellMar>
          <w:top w:w="28" w:type="dxa"/>
          <w:left w:w="28" w:type="dxa"/>
          <w:bottom w:w="28" w:type="dxa"/>
          <w:right w:w="28" w:type="dxa"/>
        </w:tblCellMar>
      </w:tblPr>
      <w:tblGrid>
        <w:gridCol w:w="402"/>
        <w:gridCol w:w="352"/>
        <w:gridCol w:w="355"/>
        <w:gridCol w:w="365"/>
        <w:gridCol w:w="704"/>
        <w:gridCol w:w="190"/>
        <w:gridCol w:w="109"/>
        <w:gridCol w:w="299"/>
        <w:gridCol w:w="577"/>
        <w:gridCol w:w="220"/>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post-</w:t>
              <w:br/>
              <w:t>retirement</w:t>
              <w:br/>
              <w:t>plans</w:t>
            </w:r>
          </w:p>
        </w:tc>
      </w:tr>
      <w:tr>
        <w:trPr/>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2029 - 2033</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Savings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401(k) plan (the “401(k) plan”) with an employee share ownership (“ESOP”) bonus component, which covers certain union and all non-union U.S. employees who met certain age requirements. Under the 401(k) plan, eligible U.S. employees may voluntarily contribute a percentage of their eligible compensation. We match contributions made by employees who met certain eligibility and service requirements. The 401(k) company match contribution is a dollar-for-dollar (100%) matching contribution on up to 5% of employee eligible earnings, contributed as before-tax contributions.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expense for the 401(k) plan, including the ESOP, was $19.5 million, $21.4 million and $19.0 million in 2023, 2022 and 2021, respectively.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retirement compensation</w:t>
      </w:r>
    </w:p>
    <w:p>
      <w:pPr>
        <w:pStyle w:val="TextBody"/>
        <w:bidi w:val="0"/>
        <w:spacing w:lineRule="auto" w:line="288" w:before="0" w:after="0"/>
        <w:jc w:val="both"/>
        <w:rPr/>
      </w:pPr>
      <w:r>
        <w:rPr>
          <w:rFonts w:ascii="Times New Roman;sans-serif" w:hAnsi="Times New Roman;sans-serif"/>
          <w:b w:val="false"/>
          <w:color w:val="000000"/>
          <w:sz w:val="20"/>
        </w:rPr>
        <w:t xml:space="preserve">Total other accrued retirement compensation, primarily related to deferred compensation and supplemental retirement plans, was $32.7 million and $28.5 million as of December 31, 2023 and 2022, respectively, and is included in </w:t>
      </w:r>
      <w:r>
        <w:rPr>
          <w:rFonts w:ascii="Times New Roman;sans-serif" w:hAnsi="Times New Roman;sans-serif"/>
          <w:b w:val="false"/>
          <w:i/>
          <w:color w:val="000000"/>
          <w:sz w:val="20"/>
        </w:rPr>
        <w:t>Pension and other post-retirement compensation and benefits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Other non-current liabilities </w:t>
      </w:r>
      <w:r>
        <w:rPr>
          <w:rFonts w:ascii="Times New Roman;sans-serif" w:hAnsi="Times New Roman;sans-serif"/>
          <w:b w:val="false"/>
          <w:color w:val="000000"/>
          <w:sz w:val="20"/>
        </w:rPr>
        <w:t>in the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Shareholders’ Equity</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Authorized shares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share capital consists of 426.0 million ordinary shares with a par value of $0.01 per share.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Board of Directors authorized the repurchase of our ordinary shares up to a maximum dollar limit of $750.0 million. This authorization expires on December 31, 2025.</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repurchased 1.0 million of our ordinary shares for $50.0 million. During the year ended December 31, 2023, no ordinary shares were repurchased. As of December 31, 2023, we had $600.0 million available for share repurchases under this authorization.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Dividends payable</w:t>
      </w:r>
    </w:p>
    <w:p>
      <w:pPr>
        <w:pStyle w:val="TextBody"/>
        <w:bidi w:val="0"/>
        <w:spacing w:lineRule="auto" w:line="288" w:before="0" w:after="0"/>
        <w:jc w:val="both"/>
        <w:rPr/>
      </w:pPr>
      <w:r>
        <w:rPr>
          <w:rFonts w:ascii="Times New Roman;sans-serif" w:hAnsi="Times New Roman;sans-serif"/>
          <w:b w:val="false"/>
          <w:color w:val="000000"/>
          <w:sz w:val="20"/>
        </w:rPr>
        <w:t xml:space="preserve">On December 11, 2023, the Board of Directors approved a regular quarterly cash dividend of $0.23 per share that was paid on February 2, 2024 to shareholders of record at the close of business on January 19, 2024. This dividend reflects a 5 percent increase in the Company’s regular cash dividend rate. The balance of dividends payable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Consolidated Balance Sheets was $38.0 million at December 31, 2023. Dividends paid per ordinary share were $0.88, $0.84 and $0.80 for the years ended December 31, 2023, 2022 and 2021,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Share Plans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share-based compensation expense for 2023, 2022 and 2021 was as follows: </w:t>
      </w:r>
    </w:p>
    <w:tbl>
      <w:tblPr>
        <w:tblW w:w="5972" w:type="dxa"/>
        <w:jc w:val="center"/>
        <w:tblInd w:w="0" w:type="dxa"/>
        <w:tblLayout w:type="fixed"/>
        <w:tblCellMar>
          <w:top w:w="28" w:type="dxa"/>
          <w:left w:w="28" w:type="dxa"/>
          <w:bottom w:w="28" w:type="dxa"/>
          <w:right w:w="28" w:type="dxa"/>
        </w:tblCellMar>
      </w:tblPr>
      <w:tblGrid>
        <w:gridCol w:w="1246"/>
        <w:gridCol w:w="1089"/>
        <w:gridCol w:w="1099"/>
        <w:gridCol w:w="211"/>
        <w:gridCol w:w="511"/>
        <w:gridCol w:w="109"/>
        <w:gridCol w:w="211"/>
        <w:gridCol w:w="511"/>
        <w:gridCol w:w="109"/>
        <w:gridCol w:w="211"/>
        <w:gridCol w:w="51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 units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 incentive plans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2020, the Pentair plc 2020 Share and Incentive Plan (“2020 Share Plan”) was approved during the Annual General Meeting of Shareholders. The Pentair plc 2012 Stock and Incentive Plan (“2012 Stock Plan”) terminated upon the approval of the 2020 Share Plan, although awards outstanding under the 2012 Stock Plan continue in effect. Beginning May 5, 2020, all share-based compensation grants were made under the 2020 Share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2020 Share Plan authorizes the issuance of 3.3 million of our ordinary shares, plus the number of shares reserved under the 2012 Stock Plan that were not the subject of outstanding awards as of the date the 2020 Share Plan became effective, which was 2.5 million shares, plus certain shares that would become available under the 2012 Stock Plan if it had remained in effect. The shares may be issued as new shares or from shares held in treasury. Our practice is to settle equity-based awards by issuing new shares. The 2020 Share Plan terminates on the date all shares reserved for issuance have been issued. The 2020 Share Plan allows for the granting to our employees, consultants and directors of stock options, stock appreciation rights, performance share units, restricted shares, restricted stock units, deferred stock rights, incentive awards, dividend equivalent units and other equity-based awards.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2020 Share Plan is administered by our compensation committee (the “Committee”), which is made up of independent members of our Board of Directors. Employees eligible to receive awards under the 2020 Share Plan are managerial, administrative or professional employees. The Committee has the authority to select the recipients of awards, determine the type and size of awards, establish certain terms and conditions of award grants and take certain other actions as permitted under the 2020 Share Plan. The 2020 Share Plan prohibits the Committee from re-pricing awards or canceling and reissuing awards at lower prices.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Non-qualified and incentive stock options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2020 Share Plan, we may grant stock options to any eligible employee with an exercise price equal to the market value of the shares on the dates the options were granted. Options generally vest one-third each year over a period of three years commencing on the grant date and expire 10 years after the grant date.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shares and restricted stock units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2020 Share Plan, eligible employees may be awarded restricted shares or restricted stock units of our common stock. Restricted shares and restricted stock units generally vest one-third each year over a period of three years commencing on the grant date, subject to continuous employment and certain other conditions. Restricted shares and restricted stock units are valued at market value on the date of grant and are expensed over the vesting period.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appreciation rights, performance shares and performance units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2020 Share Plan, the Committee is permitted to issue these awards which are generally contingent on the achievement of predetermined performance goals over a vesting period of three years. The Committee has the ability to adjust performance goals or modify the manner of measuring or evaluating a performance goal using its discretion. PSUs are granted to certain employees that vest based on the satisfaction of a service period of three years and the achievement of certain performance metrics over that same period. Upon vesting, PSU holders receive dividends that accumulate during the vesting period. The fair value of these PSUs is determined based on the closing market price of the Company’s ordinary shares at the date of grant. Compensation expense is recognized over the period an employee is required to provide service based on the estimated vesting of the PSUs granted. The estimated vesting of the PSUs is based on the probability of achieving certain performance metrics during the vesting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under all plans for the year ended December 31, 2023:</w:t>
      </w:r>
    </w:p>
    <w:tbl>
      <w:tblPr>
        <w:tblW w:w="9166" w:type="dxa"/>
        <w:jc w:val="left"/>
        <w:tblInd w:w="0" w:type="dxa"/>
        <w:tblLayout w:type="fixed"/>
        <w:tblCellMar>
          <w:top w:w="28" w:type="dxa"/>
          <w:left w:w="28" w:type="dxa"/>
          <w:bottom w:w="28" w:type="dxa"/>
          <w:right w:w="28" w:type="dxa"/>
        </w:tblCellMar>
      </w:tblPr>
      <w:tblGrid>
        <w:gridCol w:w="1512"/>
        <w:gridCol w:w="1326"/>
        <w:gridCol w:w="1331"/>
        <w:gridCol w:w="529"/>
        <w:gridCol w:w="529"/>
        <w:gridCol w:w="531"/>
        <w:gridCol w:w="220"/>
        <w:gridCol w:w="642"/>
        <w:gridCol w:w="114"/>
        <w:gridCol w:w="465"/>
        <w:gridCol w:w="465"/>
        <w:gridCol w:w="466"/>
        <w:gridCol w:w="249"/>
        <w:gridCol w:w="604"/>
        <w:gridCol w:w="183"/>
      </w:tblGrid>
      <w:tr>
        <w:trPr/>
        <w:tc>
          <w:tcPr>
            <w:tcW w:w="15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Shares and intrinsic value in millions</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 life</w:t>
              <w:br/>
              <w:t>(years)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r>
          </w:p>
        </w:tc>
      </w:tr>
      <w:tr>
        <w:trPr/>
        <w:tc>
          <w:tcPr>
            <w:tcW w:w="4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2023</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December 31, 2023</w:t>
            </w:r>
          </w:p>
        </w:tc>
        <w:tc>
          <w:tcPr>
            <w:tcW w:w="10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expected to vest as of December 31, 2023</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options granted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options granted under Pentair plans in 2023, 2022 and 2021 was estimated to be $14.03, $17.88 and $12.88 per share, respectively. The total intrinsic value of options that were exercised during 2023, 2022 and 2021 was $5.3 million, $0.7 million and $29.0 million, respectively. At December 31, 2023, the total unrecognized compensation cost related to stock options was $4.0 million. This cost is expected to be recognized over a weighted average period of 1.7 years.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estimated the fair value of each stock option award issued in the annual share-based compensation grant using a Black-Scholes option pricing model, modified for dividends and using the following assumptions:</w:t>
      </w:r>
    </w:p>
    <w:tbl>
      <w:tblPr>
        <w:tblW w:w="6144" w:type="dxa"/>
        <w:jc w:val="left"/>
        <w:tblInd w:w="0" w:type="dxa"/>
        <w:tblLayout w:type="fixed"/>
        <w:tblCellMar>
          <w:top w:w="28" w:type="dxa"/>
          <w:left w:w="28" w:type="dxa"/>
          <w:bottom w:w="28" w:type="dxa"/>
          <w:right w:w="28" w:type="dxa"/>
        </w:tblCellMar>
      </w:tblPr>
      <w:tblGrid>
        <w:gridCol w:w="945"/>
        <w:gridCol w:w="830"/>
        <w:gridCol w:w="835"/>
        <w:gridCol w:w="307"/>
        <w:gridCol w:w="309"/>
        <w:gridCol w:w="292"/>
        <w:gridCol w:w="109"/>
        <w:gridCol w:w="109"/>
        <w:gridCol w:w="109"/>
        <w:gridCol w:w="307"/>
        <w:gridCol w:w="309"/>
        <w:gridCol w:w="292"/>
        <w:gridCol w:w="109"/>
        <w:gridCol w:w="109"/>
        <w:gridCol w:w="109"/>
        <w:gridCol w:w="109"/>
        <w:gridCol w:w="307"/>
        <w:gridCol w:w="309"/>
        <w:gridCol w:w="339"/>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955" w:type="dxa"/>
            <w:gridSpan w:val="3"/>
            <w:tcBorders/>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based the expected life assumption on historical experience as well as the terms and vesting periods of the options granted. For purposes of determining expected volatility, we considered a rolling average of historical volatility measured over a period approximately equal to the expected option term. The risk-free rate for periods that coincide with the expected life of the options is based on the U.S. Treasury Department yield curve in effect at the time of grant.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received from option exercises for the years ended December 31, 2023, 2022 and 2021 was $16.0 million, $2.5 million and $29.3 million, respectively. The tax benefit related to options exercised was $1.0 million, $0.1 million and $6.2 million for the years ended December 31, 2023, 2022 and 2021, respectively.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activity under all plans for the year ended December 31, 2023:</w:t>
      </w:r>
    </w:p>
    <w:tbl>
      <w:tblPr>
        <w:tblW w:w="5188" w:type="dxa"/>
        <w:jc w:val="left"/>
        <w:tblInd w:w="0" w:type="dxa"/>
        <w:tblLayout w:type="fixed"/>
        <w:tblCellMar>
          <w:top w:w="28" w:type="dxa"/>
          <w:left w:w="28" w:type="dxa"/>
          <w:bottom w:w="28" w:type="dxa"/>
          <w:right w:w="28" w:type="dxa"/>
        </w:tblCellMar>
      </w:tblPr>
      <w:tblGrid>
        <w:gridCol w:w="1146"/>
        <w:gridCol w:w="1005"/>
        <w:gridCol w:w="1013"/>
        <w:gridCol w:w="334"/>
        <w:gridCol w:w="334"/>
        <w:gridCol w:w="336"/>
        <w:gridCol w:w="219"/>
        <w:gridCol w:w="641"/>
        <w:gridCol w:w="160"/>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Shares in millions</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2023</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there was $23.9 million of unrecognized compensation cost related to restricted share compensation arrangements granted under the 2020 Plan and previous plans. That cost is expected to be recognized over a weighted-average period of one year. The total fair value of shares vested during the years ended December 31, 2023, 2022 and 2021, was $17.6 million, $11.7 million and $10.5 million, respectively. The tax benefit related to restricted stock units vested was $2.7 million, $2.1 million and $0.6 million for the years ended December 31, 2023, 2022 and 2021, respectively.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Performance share units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performance share unit activity under all plans for the year ended December 31, 2023:</w:t>
      </w:r>
    </w:p>
    <w:tbl>
      <w:tblPr>
        <w:tblW w:w="5188" w:type="dxa"/>
        <w:jc w:val="left"/>
        <w:tblInd w:w="0" w:type="dxa"/>
        <w:tblLayout w:type="fixed"/>
        <w:tblCellMar>
          <w:top w:w="28" w:type="dxa"/>
          <w:left w:w="28" w:type="dxa"/>
          <w:bottom w:w="28" w:type="dxa"/>
          <w:right w:w="28" w:type="dxa"/>
        </w:tblCellMar>
      </w:tblPr>
      <w:tblGrid>
        <w:gridCol w:w="1146"/>
        <w:gridCol w:w="1005"/>
        <w:gridCol w:w="1013"/>
        <w:gridCol w:w="334"/>
        <w:gridCol w:w="334"/>
        <w:gridCol w:w="336"/>
        <w:gridCol w:w="219"/>
        <w:gridCol w:w="641"/>
        <w:gridCol w:w="160"/>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Shares in millions</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2023</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expense recognized each period is dependent upon our estimate of the number of shares that will ultimately be issued. As of December 31, 2023, there was $11.5 million of unrecognized compensation cost related to performance share compensation arrangements granted under the 2020 Plan and previous plans. That cost is expected to be recognized over a weighted-average period of 1.3 years. The tax benefits related to performance share units were $0.9 million, $0.3 million and $0.1 million for the years ended December 31, 2023, 2022 and 2021,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Segment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2023, we reorganized our reporting segments to reflect how we are managing our business and to help us accelerate our efforts to improve customer experience, differentiate our products and drive profitability for our shareholders. All prior period amounts related to the segment change have been retrospectively reclassified to conform to the new presentation. As part of this reorganization, the legacy Consumer Solutions segment was divided into a Pool segment and a Water Solutions segment. The Flow (formerly named the Industrial &amp; Flow Technologies) segment remains the same. We classify our operations into the following reporting segments: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Flow </w:t>
      </w:r>
      <w:r>
        <w:rPr>
          <w:color w:val="000000"/>
        </w:rPr>
        <w:t xml:space="preserve">— </w:t>
      </w:r>
      <w:r>
        <w:rPr>
          <w:rFonts w:ascii="Times New Roman;sans-serif" w:hAnsi="Times New Roman;sans-serif"/>
          <w:b w:val="false"/>
          <w:color w:val="000000"/>
          <w:sz w:val="20"/>
        </w:rPr>
        <w:t>The focus of this segment is to deliver water where it is needed, when it is needed, more efficiently and transforms waste into value. 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pStyle w:val="TextBody"/>
        <w:bidi w:val="0"/>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Water Solutions </w:t>
      </w:r>
      <w:r>
        <w:rPr>
          <w:color w:val="000000"/>
        </w:rPr>
        <w:t xml:space="preserve">— </w:t>
      </w:r>
      <w:r>
        <w:rPr>
          <w:rFonts w:ascii="Times New Roman;sans-serif" w:hAnsi="Times New Roman;sans-serif"/>
          <w:b w:val="false"/>
          <w:color w:val="000000"/>
          <w:sz w:val="20"/>
        </w:rPr>
        <w:t>The focus of this segment is to provide great tasting, higher-quality water and ice while helping people use water more 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i/>
          <w:color w:val="000000"/>
          <w:sz w:val="20"/>
        </w:rPr>
        <w:t xml:space="preserve">Pool </w:t>
      </w:r>
      <w:r>
        <w:rPr>
          <w:color w:val="000000"/>
        </w:rPr>
        <w:t xml:space="preserve">— </w:t>
      </w:r>
      <w:r>
        <w:rPr>
          <w:rFonts w:ascii="Times New Roman;sans-serif" w:hAnsi="Times New Roman;sans-serif"/>
          <w:b w:val="false"/>
          <w:color w:val="000000"/>
          <w:sz w:val="20"/>
        </w:rPr>
        <w:t>The focus of this segment is to provide innovative, energy efficient pool solutions to help people more sustainably enjoy water. This 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and construction and aquaculture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reportable segment is as follows:</w:t>
      </w:r>
    </w:p>
    <w:tbl>
      <w:tblPr>
        <w:tblW w:w="7863" w:type="dxa"/>
        <w:jc w:val="left"/>
        <w:tblInd w:w="0" w:type="dxa"/>
        <w:tblLayout w:type="fixed"/>
        <w:tblCellMar>
          <w:top w:w="28" w:type="dxa"/>
          <w:left w:w="28" w:type="dxa"/>
          <w:bottom w:w="28" w:type="dxa"/>
          <w:right w:w="28" w:type="dxa"/>
        </w:tblCellMar>
      </w:tblPr>
      <w:tblGrid>
        <w:gridCol w:w="517"/>
        <w:gridCol w:w="452"/>
        <w:gridCol w:w="456"/>
        <w:gridCol w:w="211"/>
        <w:gridCol w:w="766"/>
        <w:gridCol w:w="109"/>
        <w:gridCol w:w="211"/>
        <w:gridCol w:w="766"/>
        <w:gridCol w:w="109"/>
        <w:gridCol w:w="211"/>
        <w:gridCol w:w="766"/>
        <w:gridCol w:w="109"/>
        <w:gridCol w:w="109"/>
        <w:gridCol w:w="109"/>
        <w:gridCol w:w="109"/>
        <w:gridCol w:w="211"/>
        <w:gridCol w:w="616"/>
        <w:gridCol w:w="109"/>
        <w:gridCol w:w="211"/>
        <w:gridCol w:w="616"/>
        <w:gridCol w:w="109"/>
        <w:gridCol w:w="211"/>
        <w:gridCol w:w="616"/>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Segment income (loss)</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Consolidated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8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One customer in the Pool business represented approximately 15% of our consolidated net sales in 2023 and 20% of our consolidated net sales in both 2022 and 2021.</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517"/>
        <w:gridCol w:w="449"/>
        <w:gridCol w:w="295"/>
        <w:gridCol w:w="211"/>
        <w:gridCol w:w="766"/>
        <w:gridCol w:w="109"/>
        <w:gridCol w:w="211"/>
        <w:gridCol w:w="766"/>
        <w:gridCol w:w="109"/>
        <w:gridCol w:w="211"/>
        <w:gridCol w:w="766"/>
        <w:gridCol w:w="109"/>
        <w:gridCol w:w="109"/>
        <w:gridCol w:w="109"/>
        <w:gridCol w:w="109"/>
        <w:gridCol w:w="211"/>
        <w:gridCol w:w="511"/>
        <w:gridCol w:w="109"/>
        <w:gridCol w:w="211"/>
        <w:gridCol w:w="511"/>
        <w:gridCol w:w="109"/>
        <w:gridCol w:w="211"/>
        <w:gridCol w:w="511"/>
        <w:gridCol w:w="109"/>
        <w:gridCol w:w="109"/>
        <w:gridCol w:w="109"/>
        <w:gridCol w:w="109"/>
        <w:gridCol w:w="211"/>
        <w:gridCol w:w="511"/>
        <w:gridCol w:w="109"/>
        <w:gridCol w:w="211"/>
        <w:gridCol w:w="511"/>
        <w:gridCol w:w="109"/>
        <w:gridCol w:w="211"/>
        <w:gridCol w:w="511"/>
        <w:gridCol w:w="155"/>
      </w:tblGrid>
      <w:tr>
        <w:trPr/>
        <w:tc>
          <w:tcPr>
            <w:tcW w:w="51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Identifiable assets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Depreciation</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All cash and cash equivalents are included in “Other.”</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reconciliation of consolidated segment income to consolidated income from continuing operations before income taxes: </w:t>
      </w:r>
    </w:p>
    <w:tbl>
      <w:tblPr>
        <w:tblW w:w="7878" w:type="dxa"/>
        <w:jc w:val="left"/>
        <w:tblInd w:w="0" w:type="dxa"/>
        <w:tblLayout w:type="fixed"/>
        <w:tblCellMar>
          <w:top w:w="28" w:type="dxa"/>
          <w:left w:w="28" w:type="dxa"/>
          <w:bottom w:w="28" w:type="dxa"/>
          <w:right w:w="28" w:type="dxa"/>
        </w:tblCellMar>
      </w:tblPr>
      <w:tblGrid>
        <w:gridCol w:w="1823"/>
        <w:gridCol w:w="1594"/>
        <w:gridCol w:w="1608"/>
        <w:gridCol w:w="211"/>
        <w:gridCol w:w="616"/>
        <w:gridCol w:w="109"/>
        <w:gridCol w:w="211"/>
        <w:gridCol w:w="616"/>
        <w:gridCol w:w="109"/>
        <w:gridCol w:w="211"/>
        <w:gridCol w:w="616"/>
        <w:gridCol w:w="154"/>
      </w:tblGrid>
      <w:tr>
        <w:trPr/>
        <w:tc>
          <w:tcPr>
            <w:tcW w:w="182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Transformation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step-up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mark-to-market (loss) gain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and write-offs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 business exit impact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Deal-related costs and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accrual adjustments and settlements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and applicable accounting rules. As a result, the current estimates of the potential impact on our consolidated financial position, results of operations and cash flows for the proceedings and claims described in the notes to our consolidated financial statements could change in the future.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Environmental matters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named as defendant, target or a potentially responsible party in a number of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December 31, 2023 and 2022, our recorded reserves for environmental matters were not material.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Product liability claims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lease portfolio principally consists of operating leases related to facilities, machinery, equipment and vehicles. Our accounting for lease terms does not include options to extend or terminate the lease until we are reasonably certain that we will exercise that option. Operating lease cost for lease payments is recognized on a straight-line basis over the lease term and principally consists of fixed payments for base rent.</w:t>
      </w:r>
    </w:p>
    <w:p>
      <w:pPr>
        <w:pStyle w:val="TextBody"/>
        <w:bidi w:val="0"/>
        <w:spacing w:lineRule="auto" w:line="288" w:before="180" w:after="180"/>
        <w:jc w:val="both"/>
        <w:rPr/>
      </w:pPr>
      <w:r>
        <w:rPr>
          <w:rFonts w:ascii="Times New Roman;sans-serif" w:hAnsi="Times New Roman;sans-serif"/>
          <w:b w:val="false"/>
          <w:color w:val="000000"/>
          <w:sz w:val="20"/>
        </w:rPr>
        <w:t xml:space="preserve">These operating lease right-of-use (“ROU”) assets are included in </w:t>
      </w:r>
      <w:r>
        <w:rPr>
          <w:rFonts w:ascii="Times New Roman;sans-serif" w:hAnsi="Times New Roman;sans-serif"/>
          <w:b w:val="false"/>
          <w:i/>
          <w:color w:val="000000"/>
          <w:sz w:val="20"/>
        </w:rPr>
        <w:t xml:space="preserve">Other non-current assets </w:t>
      </w:r>
      <w:r>
        <w:rPr>
          <w:rFonts w:ascii="Times New Roman;sans-serif" w:hAnsi="Times New Roman;sans-serif"/>
          <w:b w:val="false"/>
          <w:color w:val="000000"/>
          <w:sz w:val="20"/>
        </w:rPr>
        <w:t xml:space="preserve">on the Consolidated Balance Sheets, and represent our right to use the underlying asset for the lease term. Our obligation to make lease payments arising from the lease are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Other non-current liabilities</w:t>
      </w:r>
      <w:r>
        <w:rPr>
          <w:color w:val="000000"/>
        </w:rPr>
        <w:t xml:space="preserve"> </w:t>
      </w:r>
      <w:r>
        <w:rPr>
          <w:rFonts w:ascii="Times New Roman;sans-serif" w:hAnsi="Times New Roman;sans-serif"/>
          <w:b w:val="false"/>
          <w:color w:val="000000"/>
          <w:sz w:val="20"/>
        </w:rPr>
        <w:t xml:space="preserve">on the Consolidated Balance Sheets. Lease ROU assets and liabilities are recognized at commencement date based on the present value of lease payments over the lease term. As we cannot readily determine the rate implicit in the lease, we use our incremental borrowing rate, determined by country of lease origin, based on the anticipated lease term at the commencement date in determining the present value of lease payments. The ROU asset also excludes any accrued lease payments and unamortized lease incentives.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measurement and classification of lease agreements, we group lease and non-lease components into a single lease component for all underlying asset classes. Accordingly, all costs associated with a lease contract are accounted for as one lease cost.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were as follows:</w:t>
      </w:r>
    </w:p>
    <w:tbl>
      <w:tblPr>
        <w:tblW w:w="4319" w:type="dxa"/>
        <w:jc w:val="left"/>
        <w:tblInd w:w="0" w:type="dxa"/>
        <w:tblLayout w:type="fixed"/>
        <w:tblCellMar>
          <w:top w:w="28" w:type="dxa"/>
          <w:left w:w="28" w:type="dxa"/>
          <w:bottom w:w="28" w:type="dxa"/>
          <w:right w:w="28" w:type="dxa"/>
        </w:tblCellMar>
      </w:tblPr>
      <w:tblGrid>
        <w:gridCol w:w="636"/>
        <w:gridCol w:w="556"/>
        <w:gridCol w:w="562"/>
        <w:gridCol w:w="320"/>
        <w:gridCol w:w="774"/>
        <w:gridCol w:w="166"/>
        <w:gridCol w:w="314"/>
        <w:gridCol w:w="760"/>
        <w:gridCol w:w="231"/>
      </w:tblGrid>
      <w:tr>
        <w:trPr/>
        <w:tc>
          <w:tcPr>
            <w:tcW w:w="6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200" w:after="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w:t>
      </w:r>
    </w:p>
    <w:tbl>
      <w:tblPr>
        <w:tblW w:w="7710" w:type="dxa"/>
        <w:jc w:val="left"/>
        <w:tblInd w:w="0" w:type="dxa"/>
        <w:tblLayout w:type="fixed"/>
        <w:tblCellMar>
          <w:top w:w="28" w:type="dxa"/>
          <w:left w:w="28" w:type="dxa"/>
          <w:bottom w:w="28" w:type="dxa"/>
          <w:right w:w="28" w:type="dxa"/>
        </w:tblCellMar>
      </w:tblPr>
      <w:tblGrid>
        <w:gridCol w:w="1866"/>
        <w:gridCol w:w="1632"/>
        <w:gridCol w:w="1647"/>
        <w:gridCol w:w="320"/>
        <w:gridCol w:w="774"/>
        <w:gridCol w:w="166"/>
        <w:gridCol w:w="314"/>
        <w:gridCol w:w="760"/>
        <w:gridCol w:w="231"/>
      </w:tblGrid>
      <w:tr>
        <w:trPr/>
        <w:tc>
          <w:tcPr>
            <w:tcW w:w="186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5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8039" w:type="dxa"/>
        <w:jc w:val="left"/>
        <w:tblInd w:w="0" w:type="dxa"/>
        <w:tblLayout w:type="fixed"/>
        <w:tblCellMar>
          <w:top w:w="28" w:type="dxa"/>
          <w:left w:w="28" w:type="dxa"/>
          <w:bottom w:w="28" w:type="dxa"/>
          <w:right w:w="28" w:type="dxa"/>
        </w:tblCellMar>
      </w:tblPr>
      <w:tblGrid>
        <w:gridCol w:w="1984"/>
        <w:gridCol w:w="1742"/>
        <w:gridCol w:w="1749"/>
        <w:gridCol w:w="280"/>
        <w:gridCol w:w="280"/>
        <w:gridCol w:w="699"/>
        <w:gridCol w:w="266"/>
        <w:gridCol w:w="266"/>
        <w:gridCol w:w="773"/>
      </w:tblGrid>
      <w:tr>
        <w:trPr/>
        <w:tc>
          <w:tcPr>
            <w:tcW w:w="198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of operating leases (years)</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of operating leases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commitments under non-cancelable operating leases as of December 31, 2023 were as follows:</w:t>
      </w:r>
    </w:p>
    <w:tbl>
      <w:tblPr>
        <w:tblW w:w="2885" w:type="dxa"/>
        <w:jc w:val="left"/>
        <w:tblInd w:w="0" w:type="dxa"/>
        <w:tblLayout w:type="fixed"/>
        <w:tblCellMar>
          <w:top w:w="28" w:type="dxa"/>
          <w:left w:w="28" w:type="dxa"/>
          <w:bottom w:w="28" w:type="dxa"/>
          <w:right w:w="28" w:type="dxa"/>
        </w:tblCellMar>
      </w:tblPr>
      <w:tblGrid>
        <w:gridCol w:w="690"/>
        <w:gridCol w:w="604"/>
        <w:gridCol w:w="610"/>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Warranties and guarantees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service and product warranties from continuing operations were as follows:</w:t>
      </w:r>
    </w:p>
    <w:tbl>
      <w:tblPr>
        <w:tblW w:w="5853" w:type="dxa"/>
        <w:jc w:val="left"/>
        <w:tblInd w:w="0" w:type="dxa"/>
        <w:tblLayout w:type="fixed"/>
        <w:tblCellMar>
          <w:top w:w="28" w:type="dxa"/>
          <w:left w:w="28" w:type="dxa"/>
          <w:bottom w:w="28" w:type="dxa"/>
          <w:right w:w="28" w:type="dxa"/>
        </w:tblCellMar>
      </w:tblPr>
      <w:tblGrid>
        <w:gridCol w:w="1201"/>
        <w:gridCol w:w="1050"/>
        <w:gridCol w:w="1064"/>
        <w:gridCol w:w="211"/>
        <w:gridCol w:w="511"/>
        <w:gridCol w:w="109"/>
        <w:gridCol w:w="211"/>
        <w:gridCol w:w="511"/>
        <w:gridCol w:w="109"/>
        <w:gridCol w:w="211"/>
        <w:gridCol w:w="511"/>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and product warranty provision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Stand-by letters of credit, bank guarantees and bonds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outstanding value of bonds, letters of credit and bank guarantees totaled $124.3 million and $99.7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evaluated the effectiveness of the design and operation of our disclosure controls and procedures as of the end of the year ended December 31, 2023, pursuant to Rule 13a-15(b) of the Securities Exchange Act of 1934 (“the Exchange Act”). Based upon their evaluation, our Chief Executive Officer and our Chief Financial Officer concluded that our disclosure controls and procedures were effective as of the year ended December 31, 2023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report of management required under this ITEM 9A is contained in ITEM 8 of this Annual Report on Form 10-K under the caption “Management’s Report on Internal Control Over Financial Reporting.”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Attestation Report of Independent Registered Public Accounting Firm</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attestation report required under this ITEM 9A is contained in ITEM 8 of this Annual Report on Form 10-K under the caption “Report of Independent Registered Public Accounting Firm.”</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that occurred during the quarter ended December 31,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8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During the fourth quarter of 2023, none of our directors or Section 16 officers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under this item with respect to directors is contained in our Proxy Statement for our 2024 annual general meeting of shareholders under the captions “Corporate Governance Matters” and “Proposal 1 Re-elect Director Nominees” and is incorporated herein by reference.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under this item with respect to executive officers is contained in Part I of this Form 10-K under the caption “Information About Our Executive Officers.”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to be included in our Proxy Statement for our 2024 annual general meeting of shareholders under the caption “Delinquent Section 16(a) Reports” is incorporated herein by reference.</w:t>
      </w:r>
    </w:p>
    <w:p>
      <w:pPr>
        <w:pStyle w:val="TextBody"/>
        <w:bidi w:val="0"/>
        <w:spacing w:lineRule="auto" w:line="288" w:before="180" w:after="283"/>
        <w:jc w:val="both"/>
        <w:rPr/>
      </w:pPr>
      <w:r>
        <w:rPr>
          <w:rFonts w:ascii="Times New Roman;sans-serif" w:hAnsi="Times New Roman;sans-serif"/>
          <w:b w:val="false"/>
          <w:color w:val="000000"/>
          <w:sz w:val="20"/>
        </w:rPr>
        <w:t xml:space="preserve">Our Board of Directors has adopted Pentair’s Code of Business Conduct and Ethics and designated it as the code of ethics for the Company’s Chief Executive Officer and senior financial officers. The Code of Business Conduct and Ethics also applies to all employees and directors in accordance with New York Stock Exchange Listing Standards. We have posted a copy of Pentair’s Code of Business Conduct and Ethics on our website at </w:t>
      </w:r>
      <w:r>
        <w:rPr>
          <w:rFonts w:ascii="Times New Roman;sans-serif" w:hAnsi="Times New Roman;sans-serif"/>
          <w:b w:val="false"/>
          <w:color w:val="000000"/>
          <w:sz w:val="20"/>
          <w:u w:val="single"/>
        </w:rPr>
        <w:t>http://pentair.com/en/about-us/leadership/corporate-governance</w:t>
      </w:r>
      <w:r>
        <w:rPr>
          <w:rFonts w:ascii="Times New Roman;sans-serif" w:hAnsi="Times New Roman;sans-serif"/>
          <w:b w:val="false"/>
          <w:color w:val="000000"/>
          <w:sz w:val="20"/>
        </w:rPr>
        <w:t xml:space="preserve">. We intend to satisfy the disclosure requirements under Item 5.05 of Form 8-K regarding amendments to or waivers from, Pentair’s Code of Business Conduct and Ethics by posting such information on our website at </w:t>
      </w:r>
      <w:r>
        <w:rPr>
          <w:rFonts w:ascii="Times New Roman;sans-serif" w:hAnsi="Times New Roman;sans-serif"/>
          <w:b w:val="false"/>
          <w:color w:val="000000"/>
          <w:sz w:val="20"/>
          <w:u w:val="single"/>
        </w:rPr>
        <w:t>http://pentair.com/en/about-us/leadership/corporate-governance</w:t>
      </w:r>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not including the information contained on our website as part of, or incorporating it by reference into,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80" w:after="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under this item is contained in our Proxy Statement for our 2024 annual general meeting of shareholders under the captions “Compensation Discussion and Analysis,” “Compensation Committee Report,” “Executive Compensation Tables” and “Corporate Governance Matters - Director Compensation” and is incorporated herein by reference.</w:t>
      </w:r>
    </w:p>
    <w:p>
      <w:pPr>
        <w:pStyle w:val="TextBody"/>
        <w:bidi w:val="0"/>
        <w:spacing w:before="18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under this item with respect to security ownership is contained in our Proxy Statement for our 2024 annual general meeting of shareholders under the caption “Security Ownership” and is incorporated herein by reference.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as of December 31, 2023, information about compensation plans under which our equity securities are authorized for issuance:</w:t>
      </w:r>
    </w:p>
    <w:tbl>
      <w:tblPr>
        <w:tblW w:w="10205" w:type="dxa"/>
        <w:jc w:val="left"/>
        <w:tblInd w:w="0" w:type="dxa"/>
        <w:tblLayout w:type="fixed"/>
        <w:tblCellMar>
          <w:top w:w="28" w:type="dxa"/>
          <w:left w:w="28" w:type="dxa"/>
          <w:bottom w:w="28" w:type="dxa"/>
          <w:right w:w="28" w:type="dxa"/>
        </w:tblCellMar>
      </w:tblPr>
      <w:tblGrid>
        <w:gridCol w:w="1183"/>
        <w:gridCol w:w="1040"/>
        <w:gridCol w:w="1028"/>
        <w:gridCol w:w="675"/>
        <w:gridCol w:w="675"/>
        <w:gridCol w:w="676"/>
        <w:gridCol w:w="109"/>
        <w:gridCol w:w="109"/>
        <w:gridCol w:w="109"/>
        <w:gridCol w:w="402"/>
        <w:gridCol w:w="1175"/>
        <w:gridCol w:w="209"/>
        <w:gridCol w:w="109"/>
        <w:gridCol w:w="109"/>
        <w:gridCol w:w="109"/>
        <w:gridCol w:w="665"/>
        <w:gridCol w:w="665"/>
        <w:gridCol w:w="666"/>
        <w:gridCol w:w="143"/>
        <w:gridCol w:w="143"/>
        <w:gridCol w:w="206"/>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securities to</w:t>
              <w:br/>
              <w:t>be issued upon exercise</w:t>
              <w:br/>
              <w:t>of outstanding options,</w:t>
              <w:br/>
              <w:t>warrants 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exercise price of</w:t>
              <w:br/>
              <w:t>outstanding options,</w:t>
              <w:br/>
              <w:t>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securities</w:t>
              <w:br/>
              <w:t>remaining available for</w:t>
              <w:br/>
              <w:t>future issuance under</w:t>
              <w:br/>
              <w:t>equity compensation</w:t>
              <w:br/>
              <w:t>plans (excluding</w:t>
              <w:br/>
              <w:t>securities reflected in</w:t>
              <w:br/>
              <w:t>column (a))</w:t>
              <w:br/>
              <w:t>(c)</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2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Share and Incentive Plan </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1,834,455 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4,289,850 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3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2012 Stock and Incentive Plan </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1,569,863 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r>
      <w:tr>
        <w:trPr/>
        <w:tc>
          <w:tcPr>
            <w:tcW w:w="3251"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r>
      <w:tr>
        <w:trPr/>
        <w:tc>
          <w:tcPr>
            <w:tcW w:w="32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3,404,318 </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13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4,289,850 </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Consists of 820,709 shares subject to stock options, 570,685 shares subject to restricted stock units, and 443,061 shares subject to performance share awards.</w:t>
      </w:r>
    </w:p>
    <w:p>
      <w:pPr>
        <w:pStyle w:val="TextBody"/>
        <w:bidi w:val="0"/>
        <w:spacing w:lineRule="auto" w:line="288" w:before="80" w:after="283"/>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Represents the weighted average exercise price of outstanding stock options and does not take into account outstanding restricted stock units or performance share units.</w:t>
      </w:r>
    </w:p>
    <w:p>
      <w:pPr>
        <w:pStyle w:val="TextBody"/>
        <w:bidi w:val="0"/>
        <w:spacing w:lineRule="auto" w:line="288" w:before="80" w:after="283"/>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Represents securities remaining available for issuance under the 2020 Share and Incentive Plan.</w:t>
      </w:r>
    </w:p>
    <w:p>
      <w:pPr>
        <w:pStyle w:val="TextBody"/>
        <w:bidi w:val="0"/>
        <w:spacing w:lineRule="auto" w:line="288" w:before="80" w:after="283"/>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Consists of 1,563,198 shares subject to stock options, 6,665 shares subject to restricted stock units, and no shares subject to performance share awards.</w:t>
      </w:r>
    </w:p>
    <w:p>
      <w:pPr>
        <w:pStyle w:val="TextBody"/>
        <w:bidi w:val="0"/>
        <w:spacing w:lineRule="auto" w:line="288" w:before="80" w:after="283"/>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The 2012 Stock and Incentive Plan was terminated in 2020. Stock options and restricted stock units previously granted under the 2012 Stock and Incentive Plan remain outstanding, but no further options or shares may be granted under this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under this item is contained in our Proxy Statement for our 2024 annual general meeting of shareholders under the captions “Proposal 1 Re-elect Director Nominees - Director Independence” and “Corporate Governance Matters - The Board’s Role and Responsibilities - Policies and Procedures Regarding Related Person Transactions”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80" w:after="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under this item is contained in our Proxy Statement for our 2024 annual general meeting of shareholders under the caption “Proposal 3 Ratify, by Nonbinding, Advisory Vote, the Appointment of Deloitte &amp; Touche LLP (PCAOB ID No. 34) as the Independent Auditor of Pentair plc and to Authorize, by Binding Vote, the Audit and Finance Committee of the Board of Directors to Set the Auditor’s Remuneration”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 List of documents filed as part of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Operations and Comprehensive Income for the years ended December 31, 2023, 2022 and 2021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2023 and 2022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2023, 2022 and 2021</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Changes in Equity for the years ended December 31, 2023, 2022 and 2021</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Financial Statement Schedule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Exhibits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of this Annual Report on Form 10-K included herein are set forth below.</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0"/>
        <w:gridCol w:w="2640"/>
        <w:gridCol w:w="378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Memorandum and Articles of Association of Pentair plc (Incorporated by reference to Exhibit 3.1 to the Current Report on Form 8-K of Pentair plc filed with the Commission on May 9, 2017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ans-serif" w:hAnsi="Times New Roman;sans-serif"/>
                  <w:b/>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Credit Agreement, dated as of December 16, 2021, among Pentair plc, Pentair Finance S.à r.l., Pentair, Inc. and the lenders and agents party thereto (Incorporated by reference to Exhibit 4.1 to the Current Report on Form 8-K of Pentair plc filed with the Commission on December 20, 2021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 dated as of December 23, 2022, to Amended and Restated Credit Agreement, dated as of December 16, 2021, among Pentair plc, Pentair Finance S.à r.l., Pentair, Inc. and the lenders and agents party thereto (Incorporated by reference to Exhibit 4.2 to the Annual Report on Form 10-K of Pentair plc for the year ended December 31, 2022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ans-serif" w:hAnsi="Times New Roman;sans-serif"/>
                  <w:b/>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Indenture, dated as of September 16, 2015, among Pentair Finance S.A. (as Issuer), Pentair plc (as Parent and Guarantor), Pentair Investments Switzerland GmbH (as Guarantor) and U.S. Bank National Association (as Trustee) (Incorporated by reference to Exhibit 4.1 to the Current Report on Form 8-K of Pentair plc filed with the Commission on September 16, 2015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as of September 16, 2015, among Pentair Finance S.A. (as Issuer), Pentair plc (as Parent and Guarantor), Pentair Investments Switzerland GmbH (as Guarantor) and U.S. Bank National Association (as Trustee) (Incorporated by reference to Exhibit 4.4 to the Current Report on Form 8-K of Pentair plc filed with the Commission on September 16, 2015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ans-serif" w:hAnsi="Times New Roman;sans-serif"/>
                  <w:b/>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dated as of May 26, 2017, among Pentair Finance S.A., Pentair plc, Pentair Investments Switzerland GmbH and U.S. Bank National Association, as trustee (Incorporated by reference to Exhibit 4.3 to the Current Report on Form 8-K of Pentair plc filed with the Commission on May 31, 2017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Sixth Supplemental Indenture, dated as of June 21, 2019, among Pentair Finance S.à r.l. (as Issuer), Pentair plc (as Parent and Guarantor), Pentair Investments Switzerland GmbH (as Guarantor) and U.S. Bank National Association (as Trustee) (Incorporated by reference to Exhibit 4.2 to the Current Report on Form 8-K of Pentair plc filed with the Commission on June 21, 2019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0"/>
        <w:gridCol w:w="185"/>
        <w:gridCol w:w="191"/>
        <w:gridCol w:w="109"/>
        <w:gridCol w:w="109"/>
        <w:gridCol w:w="109"/>
        <w:gridCol w:w="2771"/>
        <w:gridCol w:w="2693"/>
        <w:gridCol w:w="3828"/>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ans-serif" w:hAnsi="Times New Roman;sans-serif"/>
                  <w:b/>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Seventh Supplemental Indenture, dated as of June 22, 2020, among Pentair Finance S.à r.l. (as Issuer), Pentair plc (as Parent and Guarantor), Pentair Investments Switzerland GmbH (as Guarantor) and U.S. Bank National Association (as Trustee) (Incorporated by reference to Exhibit 4.2 to the Quarterly Report on Form 10-Q of Pentair plc filed with the Commission on July 23, 2020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color w:val="0000FF"/>
                  <w:sz w:val="20"/>
                  <w:u w:val="singl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Eighth Supplemental Indenture, dated as of July 8, 2022, among Pentair Finance S.à r.l., Pentair plc and U.S. Bank Trust Company, National Association, as trustee (Incorporated by reference to Exhibit 4.3 to the Current Report on Form 8-K of Pentair plc filed with the Commission on July 8, 2022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ans-serif" w:hAnsi="Times New Roman;sans-serif"/>
                  <w:b/>
                  <w:color w:val="0000FF"/>
                  <w:sz w:val="20"/>
                  <w:u w:val="single"/>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Loan Agreement, dated as of March 24, 2022, among Pentair plc, Pentair Finance S.à r.l., and the lenders and agents party thereto (Incorporated by reference to Exhibit 4.1 to the Current Report on Form 8-K of Pentair plc filed with the Commission on March 25, 2022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ans-serif" w:hAnsi="Times New Roman;sans-serif"/>
                  <w:b/>
                  <w:color w:val="0000FF"/>
                  <w:sz w:val="20"/>
                  <w:u w:val="single"/>
                </w:rPr>
                <w:t>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 dated as of June 30, 2022, to Loan Agreement, among Pentair plc, Pentair Finance S.à r.l., and the lenders and agents party thereto (Incorporated by reference to Exhibit 4.1 to the Current Report on Form 8-K of Pentair plc filed with the Commission on June 30, 2022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411descriptionofsecuriti.htm">
              <w:r>
                <w:rPr>
                  <w:rStyle w:val="InternetLink"/>
                  <w:rFonts w:ascii="Times New Roman;sans-serif" w:hAnsi="Times New Roman;sans-serif"/>
                  <w:b/>
                  <w:color w:val="0000FF"/>
                  <w:sz w:val="20"/>
                  <w:u w:val="single"/>
                </w:rPr>
                <w:t>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ans-serif" w:hAnsi="Times New Roman;sans-serif"/>
                  <w:b/>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 Matters Agreement, dated as of April 27, 2018, by and between Pentair plc and nVent Electric plc (Incorporated by reference to Exhibit 2.2 to the Current Report on Form 8-K of Pentair plc filed with the Commission on April 30, 2018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ans-serif" w:hAnsi="Times New Roman;sans-serif"/>
                  <w:b/>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Pentair plc 2012 Stock and Incentive Plan, as amended and restated effective as of January 1, 2017. (Incorporated by reference to Exhibit 10.2 to the Annual Report on Form 10-K of Pentair plc for the year ended December 31, 2016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ans-serif" w:hAnsi="Times New Roman;sans-serif"/>
                  <w:b/>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Executive Officer Stock Option Grant Agreement for grants made prior to January 1, 2017 (Incorporated by reference to Exhibit 10.7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ans-serif" w:hAnsi="Times New Roman;sans-serif"/>
                  <w:b/>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Non-Employee Director Stock Option Grant Agreement (Incorporated by reference to Exhibit 10.10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ans-serif" w:hAnsi="Times New Roman;sans-serif"/>
                  <w:b/>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Key Executive Employment and Severance Agreement for John L. Stauch (Incorporated by reference to Exhibit 10.1 in the Quarterly Report on Form 10-Q of Pentair plc for the quarter ended June 30, 2018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ans-serif" w:hAnsi="Times New Roman;sans-serif"/>
                  <w:b/>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Key Executive Employment and Severance Agreement for Karla C. Robertson, Philip M. Rolchigo, Robert P. Fishman, Jerome O. Pedretti and Stephen J. Pilla (Incorporated by reference to Exhibit 10.3 in the Quarterly Report on Form 10-Q of Pentair plc for the quarter ended June 30, 2018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7-amendmenttokeesa.htm">
              <w:r>
                <w:rPr>
                  <w:rStyle w:val="InternetLink"/>
                  <w:rFonts w:ascii="Times New Roman;sans-serif" w:hAnsi="Times New Roman;sans-serif"/>
                  <w:b/>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Amendment to Key Executive Employment and Severance Agreement, as of January 1, 2021, for John L. Stauch, Karla C. Robertson, Philip M. Rolchigo, Robert P. Fishman, Jerome O. Pedretti and Stephen J. Pilla.*</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ans-serif" w:hAnsi="Times New Roman;sans-serif"/>
                  <w:b/>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Form of Key Executive Employment and Severance Agreement for Adrian C. Chiu, Tanya L. Hooper and De’Mon L. Wiggins (Incorporated by reference to Exhibit 10.8 to the Annual Report on Form 10-K of Pentair plc for the year ended December 31, 2021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9formofamendmenttokees.htm">
              <w:r>
                <w:rPr>
                  <w:rStyle w:val="InternetLink"/>
                  <w:rFonts w:ascii="Times New Roman;sans-serif" w:hAnsi="Times New Roman;sans-serif"/>
                  <w:b/>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Amendment to Key Executive Employment and Severance Agreement, as of November 30, 2023, for John L. Stauch, Karla C. Robertson, Philip M. Rolchigo, Robert P. Fishman, Jerome O. Pedretti, Stephen J. Pilla, Adrian C. Chiu, Tanya L. Hooper and De’Mon L. Wiggins.*</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ans-serif" w:hAnsi="Times New Roman;sans-serif"/>
                  <w:b/>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Pentair plc Compensation Plan for Non-Employee Directors, as amended and restated (Incorporated by reference to Exhibit 10.6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ans-serif" w:hAnsi="Times New Roman;sans-serif"/>
                  <w:b/>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Pentair plc Employee Stock Purchase and Bonus Plan, as amended and restated effective as of January 1, 2021. (Incorporated by reference to Exhibit 10.11 to the Annual Report on Form 10-K of Pentair plc for the year ended December 31, 2020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ans-serif" w:hAnsi="Times New Roman;sans-serif"/>
                  <w:b/>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Pentair, Inc. Non-Qualified Deferred Compensation Plan, as amended and restated (Incorporated by reference to Exhibit 10.17 to the Annual Report on Form 10-K of Pentair plc for the year ended December 31, 2018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ans-serif" w:hAnsi="Times New Roman;sans-serif"/>
                  <w:b/>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Trust Agreement for Pentair, Inc. Non-Qualified Deferred Compensation Plan between Pentair, Inc. and Fidelity Management Trust Company (Incorporated by reference to Exhibit 10.18 contained in the Annual Report on Form 10-K of Pentair, Inc. for the year ended December 31, 1995 (File No. 000-04689)).*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ans-serif" w:hAnsi="Times New Roman;sans-serif"/>
                  <w:b/>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Pentair, Inc. Supplemental Executive Retirement Plan effective January 1, 2009, as amended and restated (Incorporated by reference to Exhibit 10.13 in the Current Report on Form 8-K of Pentair plc filed with the Commission on June 3, 2014 (File No. 001-11625)).*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3407"/>
        <w:gridCol w:w="2437"/>
        <w:gridCol w:w="3448"/>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ans-serif" w:hAnsi="Times New Roman;sans-serif"/>
                  <w:b/>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Pentair, Inc. Restoration Plan effective January 1, 2009, as amended and restated (Incorporated by reference to Exhibit 10.14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ans-serif" w:hAnsi="Times New Roman;sans-serif"/>
                  <w:b/>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Deed of Indemnification for directors and executive officers of Pentair plc (Incorporated by reference to Exhibit 10.15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ans-serif" w:hAnsi="Times New Roman;sans-serif"/>
                  <w:b/>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for directors and executive officers of Pentair plc (Incorporated by reference to Exhibit 10.16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ans-serif" w:hAnsi="Times New Roman;sans-serif"/>
                  <w:b/>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color w:val="000000"/>
                <w:sz w:val="20"/>
              </w:rPr>
            </w:pPr>
            <w:r>
              <w:rPr>
                <w:rFonts w:ascii="Times New Roman;sans-serif" w:hAnsi="Times New Roman;sans-serif"/>
                <w:b w:val="false"/>
                <w:color w:val="000000"/>
                <w:sz w:val="20"/>
              </w:rPr>
              <w:t>Form of Executive Officer Stock Option Grant Agreement for grants made on or after January 1, 2017 and prior to February 26, 2018 (Incorporated by reference to Exhibit 10.31 to the Annual Report on Form 10-K of Pentair plc for the year ended December 31, 2016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ans-serif" w:hAnsi="Times New Roman;sans-serif"/>
                  <w:b/>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Executive Officer Stock Option Award Agreement for grants made on or after February 26, 2018 and prior to May 5, 2020 (Incorporated by reference to Exhibit 10.4 to the Quarterly Report on Form 10-Q of Pentair plc for the quarter ended March 31, 2018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fldChar w:fldCharType="begin"/>
            </w:r>
            <w:r>
              <w:rPr>
                <w:rStyle w:val="InternetLink"/>
                <w:sz w:val="20"/>
                <w:u w:val="single"/>
                <w:b/>
                <w:rFonts w:ascii="Times New Roman;sans-serif" w:hAnsi="Times New Roman;sans-serif"/>
                <w:color w:val="0000FF"/>
              </w:rPr>
              <w:instrText xml:space="preserve"> HYPERLINK "http://www.sec.gov/Archives/edgar/data/77360/000104746920001649/a2240951zdef14a.htm" \l "a66"</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10.20</w:t>
            </w:r>
            <w:r>
              <w:rPr>
                <w:rStyle w:val="InternetLink"/>
                <w:sz w:val="20"/>
                <w:u w:val="single"/>
                <w:b/>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Pentair plc 2020 Share and Incentive Plan, effective as of May 5, 2020 (Incorporated by reference to Appendix B to the Definitive Proxy Statement on Schedule 14A of Pentair plc filed on March 20, 2020 (File No. 001-11625)).*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1restrictedstockunita.htm">
              <w:r>
                <w:rPr>
                  <w:rStyle w:val="InternetLink"/>
                  <w:rFonts w:ascii="Times New Roman;sans-serif" w:hAnsi="Times New Roman;sans-serif"/>
                  <w:b/>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Employee Restricted Stock Unit Award Agreement under the Pentair plc 2020 Share and Incentive Plan.*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ans-serif" w:hAnsi="Times New Roman;sans-serif"/>
                  <w:b/>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Form of Non-Employee Director Restricted Stock Unit Award Agreement under the Pentair plc 2020 Share and Incentive Plan (Incorporated by reference to Exhibit 99.2 to the Registration Statement on Form S-8 of Pentair plc (Reg. No. 333-238544)).*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3keytalentawardagreem.htm">
              <w:r>
                <w:rPr>
                  <w:rStyle w:val="InternetLink"/>
                  <w:rFonts w:ascii="Times New Roman;sans-serif" w:hAnsi="Times New Roman;sans-serif"/>
                  <w:b/>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Key Talent Award Agreement under the Pentair plc 2020 Share and Incentive Plan.*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4stockoptionagreement.htm">
              <w:r>
                <w:rPr>
                  <w:rStyle w:val="InternetLink"/>
                  <w:rFonts w:ascii="Times New Roman;sans-serif" w:hAnsi="Times New Roman;sans-serif"/>
                  <w:b/>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Stock Option Award Agreement under the Pentair plc 2020 Share and Incentive Plan.*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5performanceshareunit.htm">
              <w:r>
                <w:rPr>
                  <w:rStyle w:val="InternetLink"/>
                  <w:rFonts w:ascii="Times New Roman;sans-serif" w:hAnsi="Times New Roman;sans-serif"/>
                  <w:b/>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Performance Share Unit Award Agreement under the Pentair plc 2020 Share and Incentive Plan.*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ans-serif" w:hAnsi="Times New Roman;sans-serif"/>
                  <w:b/>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Pentair plc Executive Officer Severance Plan (Incorporated by reference to Exhibit 10.30 to the Annual Report on Form 10-K of Pentair plc for the year ended December 31, 2020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ans-serif" w:hAnsi="Times New Roman;sans-serif"/>
                  <w:b/>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 to the Pentair plc 2020 Share and Incentive Plan (Incorporated by reference to Exhibit 10.31 to the Annual Report on Form 10-K of Pentair plc for the year ended December 31, 2020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1pentairplcsubsidiaries.htm">
              <w:r>
                <w:rPr>
                  <w:rStyle w:val="InternetLink"/>
                  <w:rFonts w:ascii="Times New Roman;sans-serif" w:hAnsi="Times New Roman;sans-serif"/>
                  <w:b/>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List of Pentair plc subsidiaries.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ans-serif" w:hAnsi="Times New Roman;sans-serif"/>
                  <w:b/>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List of Guarantors and Subsidiary Issuers of Guaranteed Securities. (Incorporated by reference to Exhibit 22 to the Quarterly Report on Form 10-Q of Pentair plc for the quarter ended September 30, 2022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3consentofregisteredpub.htm">
              <w:r>
                <w:rPr>
                  <w:rStyle w:val="InternetLink"/>
                  <w:rFonts w:ascii="Times New Roman;sans-serif" w:hAnsi="Times New Roman;sans-serif"/>
                  <w:b/>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of Independent Registered Public Accounting Firm — Deloitte &amp; Touche LLP.</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4powerofattorney2023.htm">
              <w:r>
                <w:rPr>
                  <w:rStyle w:val="InternetLink"/>
                  <w:rFonts w:ascii="Times New Roman;sans-serif" w:hAnsi="Times New Roman;sans-serif"/>
                  <w:b/>
                  <w:color w:val="0000FF"/>
                  <w:sz w:val="20"/>
                  <w:u w:val="single"/>
                </w:rPr>
                <w:t>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 of attorney.</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ceocertification2023.htm">
              <w:r>
                <w:rPr>
                  <w:rStyle w:val="InternetLink"/>
                  <w:rFonts w:ascii="Times New Roman;sans-serif" w:hAnsi="Times New Roman;sans-serif"/>
                  <w:b/>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cfocertification2023.htm">
              <w:r>
                <w:rPr>
                  <w:rStyle w:val="InternetLink"/>
                  <w:rFonts w:ascii="Times New Roman;sans-serif" w:hAnsi="Times New Roman;sans-serif"/>
                  <w:b/>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ceocertification2023.htm">
              <w:r>
                <w:rPr>
                  <w:rStyle w:val="InternetLink"/>
                  <w:rFonts w:ascii="Times New Roman;sans-serif" w:hAnsi="Times New Roman;sans-serif"/>
                  <w:b/>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2cfocertification2023.htm">
              <w:r>
                <w:rPr>
                  <w:rStyle w:val="InternetLink"/>
                  <w:rFonts w:ascii="Times New Roman;sans-serif" w:hAnsi="Times New Roman;sans-serif"/>
                  <w:b/>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7pentaircompensationrec.htm">
              <w:r>
                <w:rPr>
                  <w:rStyle w:val="InternetLink"/>
                  <w:rFonts w:ascii="Times New Roman;sans-serif" w:hAnsi="Times New Roman;sans-serif"/>
                  <w:b/>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Recovery Policy.</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Pentair plc’s Annual Report on Form 10-K for the year ended December 31, 2023 are filed herewith, formatted in iXBRL (Inline Extensible Business Reporting Language): (i) the Consolidated Statements of Operations and Comprehensive Income for the years ended December 31, 2023, 2022 and 2021, (ii) the Consolidated Balance Sheets as of December 31, 2023 and 2022, (iii) the Consolidated Statements of Cash Flows for the years ended December 31, 2023, 2022 and 2021, (iv) the Consolidated Statements of Changes in Equity for the years ended December 31, 2023, 2022 and 2021, (v) the Notes to the Consolidated Financial Statements, and (vi) the information included in Part II, Item 9B(b). The instance document does not appear in the interactive data file because its XBRL tags are embedded within the Inline XBRL document.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tbl>
      <w:tblPr>
        <w:tblW w:w="8262"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196"/>
        <w:gridCol w:w="2196"/>
        <w:gridCol w:w="310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6176" w:type="dxa"/>
        <w:jc w:val="left"/>
        <w:tblInd w:w="0" w:type="dxa"/>
        <w:tblLayout w:type="fixed"/>
        <w:tblCellMar>
          <w:top w:w="28" w:type="dxa"/>
          <w:left w:w="28" w:type="dxa"/>
          <w:bottom w:w="28" w:type="dxa"/>
          <w:right w:w="28" w:type="dxa"/>
        </w:tblCellMar>
      </w:tblPr>
      <w:tblGrid>
        <w:gridCol w:w="124"/>
        <w:gridCol w:w="109"/>
        <w:gridCol w:w="109"/>
        <w:gridCol w:w="1708"/>
        <w:gridCol w:w="1708"/>
        <w:gridCol w:w="2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Denotes a management contract or compensatory plan or arrangement.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February 20, 2024.</w:t>
      </w:r>
    </w:p>
    <w:tbl>
      <w:tblPr>
        <w:tblW w:w="5504" w:type="dxa"/>
        <w:jc w:val="left"/>
        <w:tblInd w:w="0" w:type="dxa"/>
        <w:tblLayout w:type="fixed"/>
        <w:tblCellMar>
          <w:top w:w="28" w:type="dxa"/>
          <w:left w:w="28" w:type="dxa"/>
          <w:bottom w:w="28" w:type="dxa"/>
          <w:right w:w="28" w:type="dxa"/>
        </w:tblCellMar>
      </w:tblPr>
      <w:tblGrid>
        <w:gridCol w:w="124"/>
        <w:gridCol w:w="109"/>
        <w:gridCol w:w="109"/>
        <w:gridCol w:w="211"/>
        <w:gridCol w:w="211"/>
        <w:gridCol w:w="211"/>
        <w:gridCol w:w="1309"/>
        <w:gridCol w:w="1309"/>
        <w:gridCol w:w="19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PENTAIR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Chief Financial Officer and </w:t>
              <w:br/>
              <w:t>Chief Accounting Officer</w:t>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February 20, 2024.</w:t>
      </w:r>
    </w:p>
    <w:tbl>
      <w:tblPr>
        <w:tblW w:w="7241" w:type="dxa"/>
        <w:jc w:val="left"/>
        <w:tblInd w:w="0" w:type="dxa"/>
        <w:tblLayout w:type="fixed"/>
        <w:tblCellMar>
          <w:top w:w="28" w:type="dxa"/>
          <w:left w:w="28" w:type="dxa"/>
          <w:bottom w:w="28" w:type="dxa"/>
          <w:right w:w="28" w:type="dxa"/>
        </w:tblCellMar>
      </w:tblPr>
      <w:tblGrid>
        <w:gridCol w:w="862"/>
        <w:gridCol w:w="759"/>
        <w:gridCol w:w="763"/>
        <w:gridCol w:w="109"/>
        <w:gridCol w:w="109"/>
        <w:gridCol w:w="109"/>
        <w:gridCol w:w="1318"/>
        <w:gridCol w:w="1318"/>
        <w:gridCol w:w="189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L. Stauch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L. Stauch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P. Fishman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Chief Financial Officer and </w:t>
              <w:br/>
              <w:t>Chief Accounting Officer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3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3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30" w:type="dxa"/>
            <w:gridSpan w:val="3"/>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Mona Abutaleb Stephenson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Melissa Barra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Tracey Doi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 Michael Glenn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Theodore L. Harris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A.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Gregory E. Knight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T. Speetzen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Billie I. Williamson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054" w:type="dxa"/>
        <w:jc w:val="left"/>
        <w:tblInd w:w="0" w:type="dxa"/>
        <w:tblLayout w:type="fixed"/>
        <w:tblCellMar>
          <w:top w:w="28" w:type="dxa"/>
          <w:left w:w="28" w:type="dxa"/>
          <w:bottom w:w="28" w:type="dxa"/>
          <w:right w:w="28" w:type="dxa"/>
        </w:tblCellMar>
      </w:tblPr>
      <w:tblGrid>
        <w:gridCol w:w="168"/>
        <w:gridCol w:w="148"/>
        <w:gridCol w:w="150"/>
        <w:gridCol w:w="629"/>
        <w:gridCol w:w="629"/>
        <w:gridCol w:w="631"/>
        <w:gridCol w:w="109"/>
        <w:gridCol w:w="109"/>
        <w:gridCol w:w="109"/>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Karla C.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Karla C.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Attorney-in-fact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4.11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DESCRIPTION OF ORDINARY SHARES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description of the material terms of ordinary shares of Pentair plc (“Pentair”) is based on the provisions of the Pentair articles of association (the “Pentair Articles”). This description is not complete and is subject to the applicable provisions of Irish law and the Pentair Articles, which are filed as an exhibit to this Annual Report on Form 10-K. </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Capital Structure</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authorized share capital of Pentair is €40,000 and $4,260,000 divided into 40,000 ordinary shares with a nominal value of €1.00 per share and 426,000,000 ordinary shares with a nominal value of $0.01 per share. The authorized share capital includes 40,000 shares with a nominal value of €1 per share, which was required on incorporation in order to satisfy statutory requirements for all Irish public limited companies commencing operations.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Pentair may issue shares subject to the maximum authorized share capital contained in the Pentair Articles. The authorized share capital may be increased by a resolution approved by a two-thirds majority of the votes of Pentair’s shareholders cast at a general meeting (referred to as a “variation resolution”) or reduced by a resolution approved by a simple majority of the votes of Pentair’s shareholders cast at a general meeting (referred to under Irish law as an “ordinary resolution”). The shares comprising the authorized share capital of Pentair may be divided into shares of such nominal value as the resolution shall prescribe. As a matter of Irish company law, the directors of a company may issue new ordinary shares without shareholder approval once authorized to do so by the articles of association or by an ordinary resolution adopted by the shareholders at a general meeting. In accordance with current customary practice in Ireland, Pentair sought, and received, shareholder approval at Pentair’s 2023 annual general meeting of shareholders to authorize the board of directors to issue up to a maximum of 20% of Pentair’s issued ordinary share capital as of March 10, 2023 (an aggregate nominal amount of $329,880 or 32,988,041 shares), for a period to expire 18 months from the approval, or November 9, 2024.</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rights and restrictions to which the ordinary shares are subject are prescribed in the Pentair Articles.</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Preemption Rights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Irish law certain statutory preemption rights apply automatically in favor of shareholders where shares are to be issued for cash. However, Pentair initially opted out of these preemption rights in the Pentair Articles as permitted under Irish company law. Because Irish law requires this opt-out to be renewed at least every five years by a resolution approved by not less than 75% of the votes of the shareholders of Pentair cast at a general meeting (referred to under Irish law as a “special resolution”), the Pentair Articles provide that this opt-out must be so renewed. If the opt-out is not renewed, shares issued for cash must be offered to existing shareholders of Pentair on a pro rata basis to their existing shareholding before the shares can be issued to any new shareholders. The statutory preemption rights do not apply where shares are issued for non-cash consideration (such as in a stock-for-stock acquisition) and do not apply to the issue of non-equity shares (that is, shares that have the right to participate only up to a specified amount in any income or capital distribution) or where shares are issued pursuant to an employee option or similar equity plan. In accordance with current customary practice in Ireland, Pentair sought, and received, shareholder approval at Pentair’s 2023 annual general meeting of shareholders to authorize Pentair to opt out of preemption rights with respect to the allotment of equity securities up to a maximum of 20% of Pentair’s issued ordinary share capital as of March 10, 2023 (an aggregate nominal amount of $329,880 or 32,988,041 shares). This approval will expire 18 months from the date of the approval, or November 9, 2024.</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net assets of Pentair are equal to, or in excess of, the aggregate of Pentair’s called up share capital plus undistributable reserves and the distribution does not reduce Pentair’s net assets below such aggregate. Undistributable reserves include undenominated capital and the amount by which Pentair’s accumulated unrealized profits, so far as not previously utilized by any capitalization, exceed Pentair’s accumulated unrealized losses, so far as not previously written off in a reduction or reorganization of capital.</w:t>
      </w:r>
    </w:p>
    <w:p>
      <w:pPr>
        <w:pStyle w:val="TextBody"/>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as to whether or not Pentair has sufficient distributable reserves to fund a dividend must be made by reference to “relevant financial statements” of Pentair. The “relevant financial statements” will be either the last set of unconsolidated annual audited financial statements or other financial statements properly prepared in accordance with the Companies Act, which give a “true and fair view” of Pentair’s unconsolidated financial position and accord with accepted accounting practice. The relevant financial statements must be filed in the Companies Registration Office (the official public registry for companies in Ireland).</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Pentair Articles authorize the directors to declare dividends to the extent they appear justified by profits without shareholder approval. The Pentair board of directors may also recommend a dividend to be approved and declared by the Pentair shareholders at a general meeting. The Pentair board of directors may direct that the payment be made by distribution of assets, shares or cash and no dividend issued may exceed the amount recommended by the directors. Dividends may be declared and paid in the form of cash or non-cash assets and may be paid in U.S. dollars or any other currency. All holders of ordinary shares of Pentair will participate pro rata in respect of any dividend which may be declared in respect of ordinary shares by Pentair.</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1"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200"/>
                              <w:jc w:val="left"/>
                              <w:rPr>
                                <w:rFonts w:ascii="Arial;sans-serif" w:hAnsi="Arial;sans-serif"/>
                                <w:b w:val="false"/>
                                <w:color w:val="000000"/>
                                <w:sz w:val="16"/>
                              </w:rPr>
                            </w:pPr>
                            <w:r>
                              <w:rPr>
                                <w:rFonts w:ascii="Arial;sans-serif" w:hAnsi="Arial;sans-serif"/>
                                <w:b w:val="false"/>
                                <w:color w:val="000000"/>
                                <w:sz w:val="16"/>
                              </w:rPr>
                              <w:t>4815-7160-7475.6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00"/>
                        <w:jc w:val="left"/>
                        <w:rPr>
                          <w:rFonts w:ascii="Arial;sans-serif" w:hAnsi="Arial;sans-serif"/>
                          <w:b w:val="false"/>
                          <w:color w:val="000000"/>
                          <w:sz w:val="16"/>
                        </w:rPr>
                      </w:pPr>
                      <w:r>
                        <w:rPr>
                          <w:rFonts w:ascii="Arial;sans-serif" w:hAnsi="Arial;sans-serif"/>
                          <w:b w:val="false"/>
                          <w:color w:val="000000"/>
                          <w:sz w:val="16"/>
                        </w:rPr>
                        <w:t>4815-7160-7475.6</w:t>
                      </w:r>
                    </w:p>
                  </w:txbxContent>
                </v:textbox>
                <w10:wrap type="none"/>
              </v:rect>
            </w:pict>
          </mc:Fallback>
        </mc:AlternateConten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directors of Pentair may deduct from any dividend payable to any shareholder any amounts payable by such shareholder to Pentair in relation to the ordinary shares of Pentair.</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Bonus Shares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Pentair Articles authorize the Pentair board of directors to capitalize any amount credited to any reserve, including undenominated capital, or credited to the profit and loss account, and use such amount for the issuance to shareholders of shares as fully paid bonus shares on the same basis of entitlement as would apply in respect of a dividend distribution.</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Share Repurchases, Redemptions and Conversions</w:t>
      </w:r>
    </w:p>
    <w:p>
      <w:pPr>
        <w:pStyle w:val="TextBody"/>
        <w:bidi w:val="0"/>
        <w:spacing w:lineRule="auto" w:line="240"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Pentair Articles provide that unless the Board specifically elects to treat such acquisition as a purchase for the purposes of the Irish Companies Act 2014 (as amended) (the “Companies Act”), any ordinary shares which Pentair has agreed to acquire shall be deemed to be a redeemable share on, and from the time of, existence or creation of an agreement, transaction, or trade between Pentair and any third party pursuant to which Pentair acquires, or will acquire, ordinary shares, or an interest in ordinary shares, from such third party. Accordingly, for Irish company law purposes, the repurchase of ordinary shares by Pentair will technically be effected as a redemption of those shares as described below under “Repurchases and Redemptions by Pentair”. If the Pentair Articles did not contain such provision, all repurchases by Pentair would be subject to many of the same rules that apply to purchases of Pentair ordinary shares by subsidiaries described below under “Purchases by Subsidiaries of Pentair” including the shareholder approval requirements described below and the requirement that any on-market purchases be effected on a “recognized stock exchange”. Neither Irish law nor any constituent document of Pentair places limitations on the right of nonresident or foreign owners to vote or hold Pentair ordinary shares. Except where otherwise noted, references elsewhere in this document to repurchasing or buying back ordinary shares of Pentair refer to the redemption of ordinary shares by Pentair or the purchase of ordinary shares of Pentair by a subsidiary of Pentair, in each case in accordance with the Pentair Articles and Irish company law as described below.</w:t>
      </w:r>
    </w:p>
    <w:p>
      <w:pPr>
        <w:pStyle w:val="TextBody"/>
        <w:bidi w:val="0"/>
        <w:spacing w:lineRule="auto" w:line="240"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Repurchases and Redemptions by Pentair</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Irish law, a company may issue redeemable shares and redeem them out of distributable reserves or the proceeds of a new issue of shares for that purpose. Pentair may only issue redeemable shares if the nominal value of the issued share capital that is not redeemable is not less than 10% of the nominal value of the total issued share capital of Pentair. All redeemable shares must also be fully-paid and the terms of redemption of the shares must provide for payment on redemption. Redeemable shares may, upon redemption, be canceled or held in treasury. Based on the provision of the Pentair Articles described above, shareholder approval will not be required to redeem Pentair ordinary shares.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Pentair may also be given an additional general authority by its shareholders to purchase its own shares on-market which would take effect on the same terms and be subject to the same conditions as applicable to purchases by Pentair’s subsidiaries as described below.</w:t>
      </w:r>
    </w:p>
    <w:p>
      <w:pPr>
        <w:pStyle w:val="TextBody"/>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Repurchased and redeemed shares may be canceled or held as treasury shares. The nominal value of treasury shares held by Pentair at any time must not exceed 10% of the nominal value of the issued share capital of Pentair. Pentair may not exercise any voting rights in respect of any shares held as treasury shares. Treasury shares may be canceled by Pentair or re-issued subject to certain conditions.</w:t>
      </w:r>
    </w:p>
    <w:p>
      <w:pPr>
        <w:pStyle w:val="TextBody"/>
        <w:bidi w:val="0"/>
        <w:spacing w:lineRule="auto" w:line="240"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Purchases by Subsidiaries of Pentair</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Irish law, an Irish or non-Irish subsidiary may purchase Pentair ordinary shares either as overseas market purchases or off-market purchases. For a subsidiary of Pentair to make overseas market purchases of Pentair ordinary shares, the shareholders of Pentair must provide general authorization for such purchase by way of ordinary resolution. However, as long as this general authority has been granted, no specific shareholder authority for a particular overseas market purchase by a subsidiary of Pentair ordinary shares is required. For an off-market purchase by a subsidiary of Pentair, the proposed purchase contract must be authorized by special resolution of the shareholders before the contract is entered into. The person whose Pentair ordinary shares are to be bought back cannot vote in favor of the special resolution and, for at least 21 days prior to the special resolution being passed, the purchase contract must be on display or must be available for inspection by shareholders at the registered office of Pentair.</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for a subsidiary of Pentair to make an overseas market purchase of Pentair ordinary shares, such shares must be purchased on a “recognized stock exchange”. The New York Stock Exchange, on which the shares of Pentair are listed, is specified as a recognized stock exchange for this purpose by Irish company law.</w:t>
      </w:r>
    </w:p>
    <w:p>
      <w:pPr>
        <w:pStyle w:val="TextBody"/>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Pentair ordinary shares acquired and held by the subsidiaries of Pentair at any time will count as treasury shares and will be included in any calculation of the permitted treasury share threshold of 10% of the nominal value of the issued share capital of Pentair. While a subsidiary holds Pentair ordinary shares, it cannot exercise any voting rights in respect of those shares. The acquisition of Pentair ordinary shares by a subsidiary must be funded out of distributable reserves of the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2" name="Frame9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Lien on Shares, Calls on Shares and Forfeiture of Shares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Pentair Articles provide that Pentair will have a first and paramount lien on every share that is not a fully paid up share for all moneys payable at a fixed time or called in respect of that share, whether presently due or not in respect of such Pentair ordinary shares. Subject to the terms of their allotment, directors may call for any unpaid amounts in respect of any Pentair ordinary shares to be paid, and if payment is not made, the shares may be forfeited. These provisions are standard inclusions in the articles of association of an Irish public company limited by shares such as Pentair and will only be applicable to Pentair ordinary shares that have not been fully paid up.</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Consolidation and Division; Subdivision</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Pentair Articles, Pentair may, by ordinary resolution, consolidate and divide all or any of its share capital into shares of larger nominal value than its existing shares or subdivide its shares into smaller amounts than is fixed by the Pentair Articles.</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Reduction of Share Capital</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Pentair may, by special resolution, reduce its authorized share capital in any way. Pentair also may, by special resolution and subject to confirmation by the Irish High Court, reduce or cancel its issued share capital in any manner permitted by the Companies Act.</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Extraordinary General Meetings of Shareholders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Extraordinary general meetings of Pentair may be convened (i) by the Pentair board of directors, (ii) on requisition of the shareholders holding not less than 10% of the paid up share capital of Pentair carrying voting rights, or (iii) on requisition of Pentair’s auditors. Extraordinary general meetings are generally held for the purposes of approving shareholder resolutions as may be required from time to time. At any extraordinary general meeting only such business shall be conducted as is set forth in the notice thereof.</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Voting</w:t>
      </w:r>
    </w:p>
    <w:p>
      <w:pPr>
        <w:pStyle w:val="TextBody"/>
        <w:bidi w:val="0"/>
        <w:spacing w:lineRule="auto" w:line="240" w:before="0" w:after="200"/>
        <w:ind w:left="0" w:right="0" w:firstLine="720"/>
        <w:jc w:val="left"/>
        <w:rPr/>
      </w:pPr>
      <w:r>
        <w:rPr>
          <w:rFonts w:ascii="Times New Roman;sans-serif" w:hAnsi="Times New Roman;sans-serif"/>
          <w:b w:val="false"/>
          <w:color w:val="000000"/>
          <w:sz w:val="20"/>
        </w:rPr>
        <w:t>Each ordinary share is entitled to one vote on each matter properly brought before the shareholders.</w:t>
      </w:r>
      <w:r>
        <w:rPr>
          <w:color w:val="000000"/>
        </w:rPr>
        <w:t xml:space="preserve"> </w:t>
      </w:r>
      <w:r>
        <w:rPr>
          <w:rFonts w:ascii="Times New Roman;sans-serif" w:hAnsi="Times New Roman;sans-serif"/>
          <w:b w:val="false"/>
          <w:color w:val="000000"/>
          <w:sz w:val="20"/>
        </w:rPr>
        <w:t>At any meeting of Pentair, all resolutions will be decided on a poll.</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or Pentair ordinary shares that are held by subsidiaries of Pentair are not entitled to be voted at general meetings of shareholders.</w:t>
      </w:r>
    </w:p>
    <w:p>
      <w:pPr>
        <w:pStyle w:val="TextBody"/>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Irish company law requires special resolutions of the shareholders at a general meeting to approve certain matters. Examples of matters requiring special resolutions include:</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amending the Pentair Articles;</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approving a change of name of Pentair;</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authorizing the entering into of a guarantee or provision of security in connection with a loan, quasi-loan or credit transaction to a director or connected person;</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opting out of preemption rights on the issuance of new shares;</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re-registration of Pentair from a public limited company to a private company;</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variation of class rights attaching to classes of shares (where the Pentair Articles do not provide otherwise);</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purchase of Pentair shares off-market;</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reduction of issued share capital;</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sanctioning a compromise/scheme of arrangement;</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resolving that Pentair be wound up by the Irish courts;</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resolving in favor of a shareholders’ voluntary winding-up;</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re-designation of shares into different share classes;</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setting the re-issue price of treasury shares; and</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a cross-border merger pursuant to Directive (EU) 2017/1132 of 14 June 2017 relating to certain aspects of company law.</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93" name="Frame9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Variation of Rights Attaching to a Class or Series of Shares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Pentair Articles and the Companies Act, any variation of class rights attaching to the issued shares of Pentair must be approved in writing by holders of three-quarters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Acquisitions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 Irish public limited company may be acquired in a number of ways, including:</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through a tender or takeover offer by a third party for all of the shares of Pentair. Where the holders of 80% or more of Pentair’s ordinary shares have accepted an offer for their shares in Pentair, the remaining shareholders may also be statutorily required to transfer their shares. If the bidder does not exercise its “squeeze out” right, then the non-accepting shareholders also have a statutory right to require the bidder to acquire their shares on the same terms. If shares of Pentair were to be listed on the Irish Stock Exchange or another regulated stock exchange in the European Union, this threshold would be increased to 90%; and</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it is also possible for Pentair to be acquired by way of a transaction with an EU-incorporated company under Directive (EU) 2017/1132 of 14 June 2017 relating to certain aspects of company law. Such a transaction must be approved by a special resolution. If Pentair is being merged with another EU company under Directive (EU) 2017/1132 and the consideration payable to Pentair shareholders is not all in the form of cash, Pentair shareholders may be entitled to require their shares to be acquired at fair value.</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Disclosure of Interests in Shares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Pentair shareholders must notify Pentair if, as a result of a transaction, the shareholder will become interested in 3% or more of the shares of Pentair; or if as a result of a transaction a shareholder who was interested in more than 3% of the shares of Pentair ceases to be so interested. Where a shareholder is interested in more than 3% of the shares of Pentair, the shareholder must notify Pentair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Pentair (or any such class of share capital in issue). Where the percentage level of the shareholder’s interest does not amount to a whole percentage this figure may be rounded down to the next whole number. Pentair must be notified within five business days of the transaction or alteration of the shareholder’s interests that gave rise to the notification requirement. If a shareholder fails to comply with these notification requirements, the shareholder’s rights in respect of any Pentair ordinary shares it holds will not be enforceable, either directly or indirectly. However, such person may apply to the court to have the rights attaching to such shares reinstated.</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these disclosure requirements, Pentair, under the Companies Act, may, by notice in writing, require a person whom Pentair knows or has reasonable cause to believe to be, or at any time during the three years immediately preceding the date on which such notice is issued to have been, interested in shares comprised in Pentair’s relevant share capital to: (i) indicate whether or not it is the case and (ii) where such person holds or has during that time held an interest in the shares of Pentair, to provide additional information, including the person’s own past or present interests in shares of Pentair. If the recipient of the notice fails to respond within the reasonable time period specified in the notice, Pentair may apply to court for an order directing that the affected shares be subject to certain restrictions, as prescribed by the Companies Act, as follows:</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any transfer of those shares, or in the case of unissued shares any transfer of the right to be issued with shares and any issue of shares, shall be void;</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no voting rights shall be exercisable in respect of those shares;</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no further shares shall be issued in right of those shares or in pursuance of any offer made to the holder of those shares; and</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no payment shall be made of any sums due from Pentair on those shares, whether in respect of capital or otherwise.</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court may also order that shares subject to any of these restrictions be sold with the restrictions terminating upon the completion of the sale.</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Pentair is in an offer period pursuant to the Irish Takeover Rules (as defined below), accelerated disclosure provisions apply for persons holding an interest in Pentair securities of 1% or more.</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94" name="Frame9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Anti-Takeover Provisions</w:t>
      </w:r>
    </w:p>
    <w:p>
      <w:pPr>
        <w:pStyle w:val="TextBody"/>
        <w:bidi w:val="0"/>
        <w:spacing w:lineRule="auto" w:line="240"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Irish Takeover Rules and Substantial Acquisition Rules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transaction in which a third party seeks to acquire 30% or more of the voting rights of Pentair will be governed by the Irish Takeover Panel Act 1997 and the Irish Takeover Rules 2007 (as amended) (the “Irish Takeover Rules”) made thereunder and will be regulated by the Irish Takeover Panel (the “Panel”). The “General Principles” of the Irish Takeover Rules and certain important aspects of the Irish Takeover Rules are described below.</w:t>
      </w:r>
    </w:p>
    <w:p>
      <w:pPr>
        <w:pStyle w:val="TextBody"/>
        <w:bidi w:val="0"/>
        <w:spacing w:lineRule="auto" w:line="240"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Principles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Irish Takeover Rules are built on the following General Principles which will apply to any transaction regulated by the Panel:</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in the event of an offer, all holders of security of the target company should be afforded equivalent treatment and, if a person acquires control of a company, the other holders of securities must be protected;</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the board of the target company must act in the interests of the company as a whole and must not deny the holders of securities the opportunity to decide on the merits of the offer;</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a bidder must announce an offer only after ensuring that he or she can fulfill in full, any cash consideration, if such is offered, and after taking all reasonable measures to secure the implementation of any other type of consideration;</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a target company must not be hindered in the conduct of its affairs for longer than is reasonable by an offer for its securities; and</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a “substantial acquisition” of securities (whether such acquisition is to be effected by one transaction or a series of transactions) shall take place only at an acceptable speed and shall be subject to adequate and timely disclosure.</w:t>
      </w:r>
    </w:p>
    <w:p>
      <w:pPr>
        <w:pStyle w:val="TextBody"/>
        <w:bidi w:val="0"/>
        <w:spacing w:lineRule="auto" w:line="240"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Mandatory Bid</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a person who acquires shares or other voting rights in Pentair may be required under the Takeover Rules to make a mandatory cash offer for the remaining outstanding shares in Pentair at a price not less than the highest price paid for the shares by the acquirer (or 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the voting rights in Pentair, unless the Panel otherwise consents. An acquisition of shares by a person holding (together with its concert parties) shares representing between 30% and 50% of the voting rights in Pentair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 in purchasing additional securities.</w:t>
      </w:r>
    </w:p>
    <w:p>
      <w:pPr>
        <w:pStyle w:val="TextBody"/>
        <w:bidi w:val="0"/>
        <w:spacing w:lineRule="auto" w:line="240"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Voluntary Bid; Requirements to Make a Cash Offer and Minimum Price Requirements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 person makes a voluntary offer to acquire outstanding Pentair ordinary shares, the offer price must be no less than the highest price paid for Pentair ordinary shares by the bidder or its concert parties during the three-month period prior to the commencement of the offer period. The Panel has the power to extend the “look back” period to 12 months if the Panel, taking into account the General Principles, believes it is appropriate to do so.</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bidder or any of its concert parties has acquired Pentair ordinary shares (i) during the period of 12 months prior to the commencement of the offer period which represent more than 10% of the total Pentair ordinary shares or (ii) at any time after the commencement of the offer period, the offer must be in cash (or accompanied by a full cash alternative) and the price per Pentair ordinary shares must not be less than the highest price paid by the bidder or its concert parties during, in the case of (i), the 12-month period prior to the commencement of the offer period and, in the case of (ii), the offer period. The Panel may apply this rule to a bidder who, together with its concert parties, has acquired less than 10% of the total Pentair ordinary shares in the 12-month period prior to the commencement of the offer period if the Panel, taking into account the General Principles, considers it just and proper to do so.</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1945"/>
                <wp:effectExtent l="0" t="0" r="0" b="0"/>
                <wp:wrapNone/>
                <wp:docPr id="95" name="Frame9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 offer period will generally commence from the date of the first announcement of the offer or proposed offer.</w:t>
      </w:r>
    </w:p>
    <w:p>
      <w:pPr>
        <w:pStyle w:val="TextBody"/>
        <w:bidi w:val="0"/>
        <w:spacing w:lineRule="auto" w:line="240"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Substantial Acquisition Rules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Irish Takeover Rules also contain rules governing substantial acquisitions of shares which restrict the speed at which a person may increase his or her holding of shares and rights over shares to an aggregate of between 15% and 30% of the voting rights of Pentair. Except in certain circumstances, an acquisition or series of acquisitions of shares or rights over shares representing 10% or more of the voting rights of Pentair is prohibited, if such acquisition(s), when aggregated with shares or rights already held, would result in the acquirer holding 15% or more but less than 30% of the voting rights of Pentair and such acquisitions are made within a period of seven days. These rules also require accelerated disclosure of acquisitions of shares or rights over shares relating to such holdings. </w:t>
      </w:r>
    </w:p>
    <w:p>
      <w:pPr>
        <w:pStyle w:val="TextBody"/>
        <w:bidi w:val="0"/>
        <w:spacing w:lineRule="auto" w:line="240"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Frustrating Action</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Irish Takeover Rules, the Pentair board of directors is not permitted to take any action which might frustrate an offer for the shares of Pentair once the Pentair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Pentair board of directors has reason to believe an offer is imminent. Exceptions to this prohibition are available where:</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the action is approved by Pentair’s shareholders at a general meeting; or</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the Panel has given its consent, where:</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it is satisfied the action would not constitute frustrating action;</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Pentair shareholders that hold 50% of the voting rights state in writing that they approve the proposed action and would vote in favor of it at a general meeting;</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the action is taken in accordance with a contract entered into prior to the announcement of the offer; or</w:t>
      </w:r>
    </w:p>
    <w:p>
      <w:pPr>
        <w:pStyle w:val="TextBody"/>
        <w:bidi w:val="0"/>
        <w:spacing w:lineRule="auto" w:line="240" w:before="0" w:after="200"/>
        <w:ind w:left="0" w:right="0" w:hanging="720"/>
        <w:jc w:val="left"/>
        <w:rPr/>
      </w:pPr>
      <w:r>
        <w:rPr>
          <w:color w:val="000000"/>
        </w:rPr>
        <w:t>•</w:t>
      </w:r>
      <w:r>
        <w:rPr>
          <w:rFonts w:ascii="Times New Roman;sans-serif" w:hAnsi="Times New Roman;sans-serif"/>
          <w:b w:val="false"/>
          <w:color w:val="000000"/>
          <w:sz w:val="20"/>
        </w:rPr>
        <w:t>the decision to take such action was made before the announcement of the offer and either has been at least partially implemented or is in the ordinary course of business.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other provisions of Irish law or the Pentair Articles may be considered to have anti-takeover effects, including those described under the following captions in this “Description of Ordinary Shares”: “Capital Structure”, “Preemption Rights”, and “Disclosure of Interests in Shares”.</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Duration; Dissolution; Rights Upon Liquidation</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Pentair’s duration will be unlimited. Pentair may be dissolved and wound up at any time by way of a shareholders’ voluntary winding up or a creditors’ winding up. In the case of a shareholders’ voluntary winding-up, a special resolution of shareholders is required. Pentair may also be dissolved by way of court order on the application of a creditor, or by the Companies Registration Office as an enforcement measure where Pentair has failed to file certain returns. </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rights of the shareholders to a return of Pentair’s assets on dissolution or winding up, following the settlement of all claims of creditors, may be prescribed in the Pentair Articles. If the Pentair Articles contain no specific provisions in respect of dissolution or winding up then, subject to the priorities of any creditors, the assets will be distributed to shareholders in proportion to the paid-up nominal value of the shares held. The Pentair Articles provide that the ordinary shareholders of Pentair are entitled to participate pro rata in a winding up. </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No Sinking Fund</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Pentair ordinary shares have no sinking fund provisions.</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No Liability for Further Calls or Assessments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the ordinary shares offered hereby are issued, they will be duly and validly issued, fully paid and nonassessable.</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Transfer and Registration of Shares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transfer agent for Pentair maintains the share register, registration in which is determinative of membership in Pentair. A shareholder of Pentair who holds shares beneficially is not the holder of record of such shares. Instead, the depository or other nominee is the holder of record of those shares. Accordingly, a transfer of shares from a person who holds such shares beneficially to a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1945"/>
                <wp:effectExtent l="0" t="0" r="0" b="0"/>
                <wp:wrapNone/>
                <wp:docPr id="96" name="Frame9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person who also holds such shares beneficially through a depository or other nominee is not registered in Pentair’s official share register, as the depository or other nominee remains the record holder of any such shares.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written instrument of transfer is required under Irish law to register on Pentair’s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Pentair’s official Irish share register. However, a shareholder who directly holds shares may transfer those shares into his or her own broker account (or vice versa) without giving rise to Irish stamp duty, provided that the shareholder has confirmed to Pentair’s transfer agent that there is no change in the ultimate beneficial ownership of the shares as a result of the transfer and the transfer is not made in contemplation of a sale of the shares.</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transfer of Pentair ordinary shares that is subject to Irish stamp duty is not registered in the name of the buyer unless an instrument of transfer was duly stamped and provided to the transfer agent. The Pentair Articles allow Pentair, in its absolute discretion, to create an instrument of transfer and pay (or procure the payment of) any stamp duty, which is the legal obligation of a buyer. In the event of any such payment, Pentair is (on behalf of itself or its affiliates) entitled to (i) seek reimbursement from the buyer or seller (at its discretion), (ii) set-off the amount of the stamp duty against future dividends payable to the buyer or seller (at its discretion) and (iii) claim a lien against the Pentair ordinary shares on which it has paid stamp duty. Parties to a share transfer may assume that any stamp duty arising in respect of a transaction in Pentair ordinary shares has been paid unless one or both of such parties is otherwise notified by Pentair.</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Pentair Articles delegate to Pentair’s secretary or assistant secretary (or their nominees) the authority to execute an instrument of transfer on behalf of a transferring party.</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help ensure that the official share register is regularly updated to reflect trading of Pentair ordinary shares occurring through normal electronic systems, Pentair intends to regularly produce any required instruments of transfer in connection with any transactions for which it pays stamp duty (subject to the reimbursement and set-off rights described above). In the event that Pentair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Pentair for this purpose) or request that Pentair execute an instrument of transfer on behalf of the transferring party in a form determined by Pentair. In either event, if the parties to the share transfer have the instrument of transfer duly stamped (to the extent required) and then provide it to Pentair’s transfer agent, the buyer will be registered as the legal owner of the relevant shares on Pentair’s official Irish share register (subject to the matters described below).</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directors may suspend registration of transfers from time to time, not exceeding 30 days in aggregate each year.</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1945"/>
                <wp:effectExtent l="0" t="0" r="0" b="0"/>
                <wp:wrapNone/>
                <wp:docPr id="97" name="Frame9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AMENDMENT TO </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KEY EXECUTIVE EMPLOYMENT AND SEVERANCE AGREEMENT</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Amendment to Key Executive Employment and Severance Agreement (“Amendment”) is made and entered into as of the 1st day of January, 2021, by and between Pentair plc, an Irish corporation limited by shares (hereinafter referred to as the “Company”), and ________________ (hereinafter referred to as the “Executive”).</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W I T N E S S E T H</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color w:val="000000"/>
          <w:sz w:val="24"/>
        </w:rPr>
        <w:t>WHEREAS,</w:t>
      </w:r>
      <w:r>
        <w:rPr>
          <w:color w:val="000000"/>
        </w:rPr>
        <w:t xml:space="preserve"> </w:t>
      </w:r>
      <w:r>
        <w:rPr>
          <w:rFonts w:ascii="Times New Roman;sans-serif" w:hAnsi="Times New Roman;sans-serif"/>
          <w:b w:val="false"/>
          <w:color w:val="000000"/>
          <w:sz w:val="24"/>
        </w:rPr>
        <w:t>the Executive and the Company are parties to a Key Executive Employment and Severance Agreement made and entered into as of the ___ day of ____________, 20__ (the “KEESA”); and</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color w:val="000000"/>
          <w:sz w:val="24"/>
        </w:rPr>
        <w:t>WHEREAS,</w:t>
      </w:r>
      <w:r>
        <w:rPr>
          <w:color w:val="000000"/>
        </w:rPr>
        <w:t xml:space="preserve"> </w:t>
      </w:r>
      <w:r>
        <w:rPr>
          <w:rFonts w:ascii="Times New Roman;sans-serif" w:hAnsi="Times New Roman;sans-serif"/>
          <w:b w:val="false"/>
          <w:color w:val="000000"/>
          <w:sz w:val="24"/>
        </w:rPr>
        <w:t xml:space="preserve">the Executive and the Company have mutually agreed to amend the KEESA on the terms and conditions set forth in this Amendment.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NOW, THEREFORE,</w:t>
      </w:r>
      <w:r>
        <w:rPr>
          <w:color w:val="000000"/>
        </w:rPr>
        <w:t xml:space="preserve"> </w:t>
      </w:r>
      <w:r>
        <w:rPr>
          <w:rFonts w:ascii="Times New Roman;sans-serif" w:hAnsi="Times New Roman;sans-serif"/>
          <w:b w:val="false"/>
          <w:color w:val="000000"/>
          <w:sz w:val="24"/>
        </w:rPr>
        <w:t xml:space="preserve">in accordance with </w:t>
      </w:r>
      <w:r>
        <w:rPr>
          <w:rFonts w:ascii="Times New Roman;sans-serif" w:hAnsi="Times New Roman;sans-serif"/>
          <w:b w:val="false"/>
          <w:color w:val="000000"/>
          <w:sz w:val="24"/>
          <w:u w:val="single"/>
        </w:rPr>
        <w:t>Section 19</w:t>
      </w:r>
      <w:r>
        <w:rPr>
          <w:color w:val="000000"/>
        </w:rPr>
        <w:t xml:space="preserve"> </w:t>
      </w:r>
      <w:r>
        <w:rPr>
          <w:rFonts w:ascii="Times New Roman;sans-serif" w:hAnsi="Times New Roman;sans-serif"/>
          <w:b w:val="false"/>
          <w:color w:val="000000"/>
          <w:sz w:val="24"/>
        </w:rPr>
        <w:t>of the KEESA, and in consideration of the foregoing and of the mutual covenants and agreements hereinafter set forth, the parties hereto mutually covenant and agree as follows:</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1.    </w:t>
      </w:r>
      <w:r>
        <w:rPr>
          <w:rFonts w:ascii="Times New Roman;sans-serif" w:hAnsi="Times New Roman;sans-serif"/>
          <w:b w:val="false"/>
          <w:color w:val="000000"/>
          <w:sz w:val="24"/>
          <w:u w:val="single"/>
        </w:rPr>
        <w:t>Section 9(a)</w:t>
      </w:r>
      <w:r>
        <w:rPr>
          <w:color w:val="000000"/>
        </w:rPr>
        <w:t xml:space="preserve"> </w:t>
      </w:r>
      <w:r>
        <w:rPr>
          <w:rFonts w:ascii="Times New Roman;sans-serif" w:hAnsi="Times New Roman;sans-serif"/>
          <w:b w:val="false"/>
          <w:color w:val="000000"/>
          <w:sz w:val="24"/>
        </w:rPr>
        <w:t>of the KEESA is hereby deleted in its entirety and replaced with the following language:</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Termination Payment</w:t>
      </w:r>
      <w:r>
        <w:rPr>
          <w:rFonts w:ascii="Times New Roman;sans-serif" w:hAnsi="Times New Roman;sans-serif"/>
          <w:b w:val="false"/>
          <w:color w:val="000000"/>
          <w:sz w:val="24"/>
        </w:rPr>
        <w:t>. The “Termination Payment” shall be an amount equal to the Annual Cash Compensation times [two and one-half]</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[two]</w:t>
      </w:r>
      <w:r>
        <w:rPr>
          <w:rFonts w:ascii="Times New Roman;sans-serif" w:hAnsi="Times New Roman;sans-serif"/>
          <w:b w:val="false"/>
          <w:color w:val="000000"/>
          <w:sz w:val="16"/>
        </w:rPr>
        <w:t>2</w:t>
      </w:r>
      <w:r>
        <w:rPr>
          <w:rFonts w:ascii="Times New Roman;sans-serif" w:hAnsi="Times New Roman;sans-serif"/>
          <w:b w:val="false"/>
          <w:color w:val="000000"/>
          <w:sz w:val="24"/>
        </w:rPr>
        <w:t xml:space="preserve">; provided, however, in the event the Executive’s Termination Date is pursuant to </w:t>
      </w:r>
      <w:r>
        <w:rPr>
          <w:rFonts w:ascii="Times New Roman;sans-serif" w:hAnsi="Times New Roman;sans-serif"/>
          <w:b w:val="false"/>
          <w:color w:val="000000"/>
          <w:sz w:val="24"/>
          <w:u w:val="single"/>
        </w:rPr>
        <w:t>Section 2(b)</w:t>
      </w:r>
      <w:r>
        <w:rPr>
          <w:rFonts w:ascii="Times New Roman;sans-serif" w:hAnsi="Times New Roman;sans-serif"/>
          <w:b w:val="false"/>
          <w:color w:val="000000"/>
          <w:sz w:val="24"/>
        </w:rPr>
        <w:t>, then the “Termination Payment” shall be an amount equal to the Annual Cash Compensation times [two and one-half]</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[two]</w:t>
      </w: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4"/>
        </w:rPr>
        <w:t xml:space="preserve">minus any cash amounts received by the Executive under the Pentair plc Executive Officer Severance Plan (if any) as of the date on which a Change in Control of the Company occurs. The Termination Payment shall be paid to the Executive in cash equivalent (i) on the first day of the seventh month following the month in which the Executive’s Separation from Service occurs, without interest thereon, to the extent necessary for compliance with the requirements of Code Section 409A(a)(2)(B) relating to specified employees or (ii) to the extent not so required, within ten (10) business days after the Termination Date. Notwithstanding the foregoing, in the event the Executive’s Termination Date is pursuant to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 xml:space="preserve">the Termination Payment shall be paid within ten (10) business days after the date of the Change in Control of the Company (as defined without reference to </w:t>
      </w:r>
      <w:r>
        <w:rPr>
          <w:rFonts w:ascii="Times New Roman;sans-serif" w:hAnsi="Times New Roman;sans-serif"/>
          <w:b w:val="false"/>
          <w:color w:val="000000"/>
          <w:sz w:val="24"/>
          <w:u w:val="single"/>
        </w:rPr>
        <w:t>Section 2(b</w:t>
      </w:r>
      <w:r>
        <w:rPr>
          <w:rFonts w:ascii="Times New Roman;sans-serif" w:hAnsi="Times New Roman;sans-serif"/>
          <w:b w:val="false"/>
          <w:color w:val="000000"/>
          <w:sz w:val="24"/>
        </w:rPr>
        <w:t>)), without interest. Such lump sum payment shall not be reduced by any present value or similar factor, and the Executive shall not be required to mitigate the amount of the Termination Payment by securing other employment or otherwise, nor will such Termination Payment be reduced by reason of the Executive securing other employment or for any other reason, except as provided in subsection (b) below. The Termination Payment shall be in lieu of, and acceptance by the Executive of the Termination Payment shall constitute the Executive’s release of any rights of the Executive to, any other cash severance payments under any Company severance policy, practice or agreement.</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2.    </w:t>
      </w:r>
      <w:r>
        <w:rPr>
          <w:rFonts w:ascii="Times New Roman;sans-serif" w:hAnsi="Times New Roman;sans-serif"/>
          <w:b w:val="false"/>
          <w:color w:val="000000"/>
          <w:sz w:val="24"/>
          <w:u w:val="single"/>
        </w:rPr>
        <w:t>Section 9(c)(ii)(A)</w:t>
      </w:r>
      <w:r>
        <w:rPr>
          <w:color w:val="000000"/>
        </w:rPr>
        <w:t xml:space="preserve"> </w:t>
      </w:r>
      <w:r>
        <w:rPr>
          <w:rFonts w:ascii="Times New Roman;sans-serif" w:hAnsi="Times New Roman;sans-serif"/>
          <w:b w:val="false"/>
          <w:color w:val="000000"/>
          <w:sz w:val="24"/>
        </w:rPr>
        <w:t xml:space="preserve">of the KEESA is hereby amended to delete the last sentence of </w:t>
      </w:r>
      <w:r>
        <w:rPr>
          <w:rFonts w:ascii="Times New Roman;sans-serif" w:hAnsi="Times New Roman;sans-serif"/>
          <w:b w:val="false"/>
          <w:color w:val="000000"/>
          <w:sz w:val="24"/>
          <w:u w:val="single"/>
        </w:rPr>
        <w:t>Section 9(c)(ii)(A)</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Applicable for the Chief Executive Officer.</w:t>
      </w:r>
    </w:p>
    <w:p>
      <w:pPr>
        <w:pStyle w:val="TextBody"/>
        <w:bidi w:val="0"/>
        <w:spacing w:lineRule="auto" w:line="24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Applicable for Executives other than the Chief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53415"/>
                <wp:effectExtent l="0" t="0" r="0" b="0"/>
                <wp:wrapNone/>
                <wp:docPr id="98" name="Frame96"/>
                <a:graphic xmlns:a="http://schemas.openxmlformats.org/drawingml/2006/main">
                  <a:graphicData uri="http://schemas.microsoft.com/office/word/2010/wordprocessingShape">
                    <wps:wsp>
                      <wps:cNvSpPr txBox="1"/>
                      <wps:spPr>
                        <a:xfrm>
                          <a:off x="0" y="0"/>
                          <a:ext cx="6480175" cy="653415"/>
                        </a:xfrm>
                        <a:prstGeom prst="rect"/>
                        <a:solidFill>
                          <a:srgbClr val="FFFFFF"/>
                        </a:solidFill>
                      </wps:spPr>
                      <wps:txbx>
                        <w:txbxContent>
                          <w:tbl>
                            <w:tblPr>
                              <w:tblW w:w="1289" w:type="dxa"/>
                              <w:jc w:val="left"/>
                              <w:tblInd w:w="0" w:type="dxa"/>
                              <w:tblLayout w:type="fixed"/>
                              <w:tblCellMar>
                                <w:top w:w="28" w:type="dxa"/>
                                <w:left w:w="28" w:type="dxa"/>
                                <w:bottom w:w="28" w:type="dxa"/>
                                <w:right w:w="28" w:type="dxa"/>
                              </w:tblCellMar>
                            </w:tblPr>
                            <w:tblGrid>
                              <w:gridCol w:w="413"/>
                              <w:gridCol w:w="362"/>
                              <w:gridCol w:w="514"/>
                            </w:tblGrid>
                            <w:tr>
                              <w:trPr/>
                              <w:tc>
                                <w:tcPr>
                                  <w:tcW w:w="413" w:type="dxa"/>
                                  <w:tcBorders/>
                                  <w:vAlign w:val="center"/>
                                </w:tcPr>
                                <w:p>
                                  <w:pPr>
                                    <w:pStyle w:val="TableContents"/>
                                    <w:bidi w:val="0"/>
                                    <w:spacing w:before="0" w:after="283"/>
                                    <w:jc w:val="left"/>
                                    <w:rPr>
                                      <w:sz w:val="4"/>
                                      <w:szCs w:val="4"/>
                                    </w:rPr>
                                  </w:pPr>
                                  <w:r>
                                    <w:rPr>
                                      <w:sz w:val="4"/>
                                      <w:szCs w:val="4"/>
                                    </w:rPr>
                                  </w:r>
                                  <w:r>
                                    <w:br w:type="page"/>
                                  </w:r>
                                </w:p>
                              </w:tc>
                              <w:tc>
                                <w:tcPr>
                                  <w:tcW w:w="36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US.1293314.02</w:t>
                                  </w:r>
                                </w:p>
                                <w:p>
                                  <w:pPr>
                                    <w:pStyle w:val="TableContents"/>
                                    <w:bidi w:val="0"/>
                                    <w:spacing w:before="0" w:after="0"/>
                                    <w:jc w:val="left"/>
                                    <w:rPr/>
                                  </w:pPr>
                                  <w:r>
                                    <w:rPr/>
                                  </w:r>
                                </w:p>
                              </w:tc>
                            </w:tr>
                          </w:tbl>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4872-8763-3314.2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5pt;mso-wrap-distance-left:0pt;mso-wrap-distance-right:0pt;mso-wrap-distance-top:0pt;mso-wrap-distance-bottom:0pt;margin-top:0pt;mso-position-vertical:top;mso-position-vertical-relative:text;margin-left:0pt;mso-position-horizontal:left;mso-position-horizontal-relative:text">
                <v:textbox>
                  <w:txbxContent>
                    <w:tbl>
                      <w:tblPr>
                        <w:tblW w:w="1289" w:type="dxa"/>
                        <w:jc w:val="left"/>
                        <w:tblInd w:w="0" w:type="dxa"/>
                        <w:tblLayout w:type="fixed"/>
                        <w:tblCellMar>
                          <w:top w:w="28" w:type="dxa"/>
                          <w:left w:w="28" w:type="dxa"/>
                          <w:bottom w:w="28" w:type="dxa"/>
                          <w:right w:w="28" w:type="dxa"/>
                        </w:tblCellMar>
                      </w:tblPr>
                      <w:tblGrid>
                        <w:gridCol w:w="413"/>
                        <w:gridCol w:w="362"/>
                        <w:gridCol w:w="514"/>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US.1293314.02</w:t>
                            </w:r>
                          </w:p>
                          <w:p>
                            <w:pPr>
                              <w:pStyle w:val="TableContents"/>
                              <w:bidi w:val="0"/>
                              <w:spacing w:before="0" w:after="0"/>
                              <w:jc w:val="left"/>
                              <w:rPr/>
                            </w:pPr>
                            <w:r>
                              <w:rPr/>
                            </w:r>
                          </w:p>
                        </w:tc>
                      </w:tr>
                    </w:tbl>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4872-8763-3314.2</w:t>
                      </w:r>
                    </w:p>
                  </w:txbxContent>
                </v:textbox>
                <w10:wrap type="none"/>
              </v:rect>
            </w:pict>
          </mc:Fallback>
        </mc:AlternateConten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All capitalized terms not otherwise defined herein shall have the meanings ascribed to such terms in the KEESA.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    Other than as expressly provided in this Amendment, the KEESA shall continue in full force and effect.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87095"/>
                <wp:effectExtent l="0" t="0" r="0" b="0"/>
                <wp:wrapNone/>
                <wp:docPr id="99" name="Frame97"/>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before="0" w:after="0"/>
                              <w:jc w:val="center"/>
                              <w:rPr/>
                            </w:pPr>
                            <w:r>
                              <w:rPr/>
                            </w:r>
                            <w:r>
                              <w:br w:type="page"/>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US.129113314.02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US.129113314.02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day and year first above written.</w:t>
      </w:r>
    </w:p>
    <w:p>
      <w:pPr>
        <w:pStyle w:val="TextBody"/>
        <w:bidi w:val="0"/>
        <w:spacing w:lineRule="auto" w:line="240" w:before="0" w:after="600"/>
        <w:jc w:val="left"/>
        <w:rPr>
          <w:rFonts w:ascii="Times New Roman;sans-serif" w:hAnsi="Times New Roman;sans-serif"/>
          <w:b/>
          <w:color w:val="000000"/>
          <w:sz w:val="24"/>
        </w:rPr>
      </w:pPr>
      <w:r>
        <w:rPr>
          <w:rFonts w:ascii="Times New Roman;sans-serif" w:hAnsi="Times New Roman;sans-serif"/>
          <w:b/>
          <w:color w:val="000000"/>
          <w:sz w:val="24"/>
        </w:rPr>
        <w:t>PENTAIR PLC</w:t>
      </w:r>
    </w:p>
    <w:p>
      <w:pPr>
        <w:pStyle w:val="TextBody"/>
        <w:bidi w:val="0"/>
        <w:spacing w:lineRule="auto" w:line="240" w:before="0" w:after="0"/>
        <w:jc w:val="left"/>
        <w:rPr/>
      </w:pPr>
      <w:r>
        <w:rPr>
          <w:rFonts w:ascii="Times New Roman;sans-serif" w:hAnsi="Times New Roman;sans-serif"/>
          <w:b w:val="false"/>
          <w:color w:val="000000"/>
          <w:sz w:val="24"/>
        </w:rPr>
        <w:t>By:</w:t>
      </w:r>
      <w:r>
        <w:rPr>
          <w:color w:val="000000"/>
          <w:u w:val="single"/>
        </w:rPr>
        <w:t>    </w:t>
      </w:r>
    </w:p>
    <w:p>
      <w:pPr>
        <w:pStyle w:val="TextBody"/>
        <w:bidi w:val="0"/>
        <w:spacing w:before="0" w:after="0"/>
        <w:jc w:val="left"/>
        <w:rPr/>
      </w:pPr>
      <w:r>
        <w:rPr/>
      </w:r>
    </w:p>
    <w:p>
      <w:pPr>
        <w:pStyle w:val="TextBody"/>
        <w:bidi w:val="0"/>
        <w:spacing w:lineRule="auto" w:line="240" w:before="0" w:after="60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Its:</w:t>
      </w:r>
    </w:p>
    <w:p>
      <w:pPr>
        <w:pStyle w:val="TextBody"/>
        <w:bidi w:val="0"/>
        <w:spacing w:lineRule="auto" w:line="240" w:before="0" w:after="0"/>
        <w:jc w:val="left"/>
        <w:rPr/>
      </w:pPr>
      <w:r>
        <w:rPr>
          <w:rFonts w:ascii="Times New Roman;sans-serif" w:hAnsi="Times New Roman;sans-serif"/>
          <w:b w:val="false"/>
          <w:color w:val="000000"/>
          <w:sz w:val="24"/>
        </w:rPr>
        <w:t>Attest:</w:t>
      </w:r>
      <w:r>
        <w:rPr>
          <w:color w:val="000000"/>
          <w:u w:val="single"/>
        </w:rPr>
        <w:t>    </w:t>
      </w:r>
    </w:p>
    <w:p>
      <w:pPr>
        <w:pStyle w:val="TextBody"/>
        <w:bidi w:val="0"/>
        <w:spacing w:before="0" w:after="0"/>
        <w:jc w:val="left"/>
        <w:rPr/>
      </w:pPr>
      <w:r>
        <w:rPr/>
      </w:r>
    </w:p>
    <w:p>
      <w:pPr>
        <w:pStyle w:val="TextBody"/>
        <w:bidi w:val="0"/>
        <w:spacing w:lineRule="auto" w:line="240" w:before="0" w:after="60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Its:</w:t>
      </w:r>
    </w:p>
    <w:p>
      <w:pPr>
        <w:pStyle w:val="TextBody"/>
        <w:bidi w:val="0"/>
        <w:spacing w:lineRule="auto" w:line="240" w:before="0" w:after="600"/>
        <w:jc w:val="left"/>
        <w:rPr>
          <w:rFonts w:ascii="Times New Roman;sans-serif" w:hAnsi="Times New Roman;sans-serif"/>
          <w:b/>
          <w:color w:val="000000"/>
          <w:sz w:val="24"/>
        </w:rPr>
      </w:pPr>
      <w:r>
        <w:rPr>
          <w:rFonts w:ascii="Times New Roman;sans-serif" w:hAnsi="Times New Roman;sans-serif"/>
          <w:b/>
          <w:color w:val="000000"/>
          <w:sz w:val="24"/>
        </w:rPr>
        <w:t>EXECUTIVE:</w:t>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pPr>
      <w:r>
        <w:rPr>
          <w:rFonts w:ascii="Times New Roman;sans-serif" w:hAnsi="Times New Roman;sans-serif"/>
          <w:b/>
          <w:color w:val="000000"/>
          <w:sz w:val="20"/>
        </w:rPr>
        <w:t>Exhibit</w:t>
      </w:r>
      <w:r>
        <w:rPr>
          <w:color w:val="000000"/>
        </w:rPr>
        <w:t xml:space="preserve"> </w:t>
      </w:r>
      <w:r>
        <w:rPr>
          <w:rFonts w:ascii="Times New Roman;sans-serif" w:hAnsi="Times New Roman;sans-serif"/>
          <w:b/>
          <w:color w:val="000000"/>
          <w:sz w:val="20"/>
        </w:rPr>
        <w:t>10.9</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87095"/>
                <wp:effectExtent l="0" t="0" r="0" b="0"/>
                <wp:wrapNone/>
                <wp:docPr id="100" name="Frame98"/>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US.129113314.02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429.85pt;mso-position-horizontal:left;mso-position-horizontal-relative:text">
                <v:textbo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US.129113314.02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AMENDMENT TO </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KEY EXECUTIVE EMPLOYMENT AND SEVERANCE AGREEMENT</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Amendment to Key Executive Employment and Severance Agreement (“Amendment”) is made and entered into as of the 30th day of November, 2023, by and between Pentair plc, an Irish public limited company (hereinafter referred to as the “Company”), and ________________ (hereinafter referred to as the “Executive”).</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W I T N E S S E T H</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color w:val="000000"/>
          <w:sz w:val="24"/>
        </w:rPr>
        <w:t>WHEREAS,</w:t>
      </w:r>
      <w:r>
        <w:rPr>
          <w:color w:val="000000"/>
        </w:rPr>
        <w:t xml:space="preserve"> </w:t>
      </w:r>
      <w:r>
        <w:rPr>
          <w:rFonts w:ascii="Times New Roman;sans-serif" w:hAnsi="Times New Roman;sans-serif"/>
          <w:b w:val="false"/>
          <w:color w:val="000000"/>
          <w:sz w:val="24"/>
        </w:rPr>
        <w:t>the Executive and the Company are parties to a Key Executive Employment and Severance Agreement made and entered into as of the ___ day of ____________, 20__ (the “KEESA”); and</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color w:val="000000"/>
          <w:sz w:val="24"/>
        </w:rPr>
        <w:t>WHEREAS,</w:t>
      </w:r>
      <w:r>
        <w:rPr>
          <w:color w:val="000000"/>
        </w:rPr>
        <w:t xml:space="preserve"> </w:t>
      </w:r>
      <w:r>
        <w:rPr>
          <w:rFonts w:ascii="Times New Roman;sans-serif" w:hAnsi="Times New Roman;sans-serif"/>
          <w:b w:val="false"/>
          <w:color w:val="000000"/>
          <w:sz w:val="24"/>
        </w:rPr>
        <w:t xml:space="preserve">the Executive and the Company have mutually agreed to amend the KEESA on the terms and conditions set forth in this Amendment to ensure that the Company complies with the recently adopted requirements of the Securities and Exchange Commission rules and New York Stock Exchange (“NYSE”) listing standards so that the Company can remain listed on the NYSE.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NOW, THEREFORE,</w:t>
      </w:r>
      <w:r>
        <w:rPr>
          <w:color w:val="000000"/>
        </w:rPr>
        <w:t xml:space="preserve"> </w:t>
      </w:r>
      <w:r>
        <w:rPr>
          <w:rFonts w:ascii="Times New Roman;sans-serif" w:hAnsi="Times New Roman;sans-serif"/>
          <w:b w:val="false"/>
          <w:color w:val="000000"/>
          <w:sz w:val="24"/>
        </w:rPr>
        <w:t xml:space="preserve">in accordance with </w:t>
      </w:r>
      <w:r>
        <w:rPr>
          <w:rFonts w:ascii="Times New Roman;sans-serif" w:hAnsi="Times New Roman;sans-serif"/>
          <w:b w:val="false"/>
          <w:color w:val="000000"/>
          <w:sz w:val="24"/>
          <w:u w:val="single"/>
        </w:rPr>
        <w:t>Section 19</w:t>
      </w:r>
      <w:r>
        <w:rPr>
          <w:color w:val="000000"/>
        </w:rPr>
        <w:t xml:space="preserve"> </w:t>
      </w:r>
      <w:r>
        <w:rPr>
          <w:rFonts w:ascii="Times New Roman;sans-serif" w:hAnsi="Times New Roman;sans-serif"/>
          <w:b w:val="false"/>
          <w:color w:val="000000"/>
          <w:sz w:val="24"/>
        </w:rPr>
        <w:t>of the KEESA, and in consideration of the foregoing and of the mutual covenants and agreements hereinafter set forth, the parties hereto mutually covenant and agree as follows:</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1.    </w:t>
      </w:r>
      <w:r>
        <w:rPr>
          <w:rFonts w:ascii="Times New Roman;sans-serif" w:hAnsi="Times New Roman;sans-serif"/>
          <w:b w:val="false"/>
          <w:color w:val="000000"/>
          <w:sz w:val="24"/>
          <w:u w:val="single"/>
        </w:rPr>
        <w:t>Section 16</w:t>
      </w:r>
      <w:r>
        <w:rPr>
          <w:color w:val="000000"/>
        </w:rPr>
        <w:t xml:space="preserve"> </w:t>
      </w:r>
      <w:r>
        <w:rPr>
          <w:rFonts w:ascii="Times New Roman;sans-serif" w:hAnsi="Times New Roman;sans-serif"/>
          <w:b w:val="false"/>
          <w:color w:val="000000"/>
          <w:sz w:val="24"/>
        </w:rPr>
        <w:t>of the KEESA is hereby deleted in its entirety and replaced with the following language:</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Payment Obligations Absolute</w:t>
      </w:r>
      <w:r>
        <w:rPr>
          <w:rFonts w:ascii="Times New Roman;sans-serif" w:hAnsi="Times New Roman;sans-serif"/>
          <w:b w:val="false"/>
          <w:color w:val="000000"/>
          <w:sz w:val="24"/>
        </w:rPr>
        <w:t xml:space="preserve">. The Company’s obligation during and after the Employment Period to pay the Executive the amounts and to make the benefit and other arrangements provided herein shall be absolute and unconditional and shall not be affected by any circumstances, including, without limitation, any setoff, counterclaim, recoupment, defense or other right which the Company may have against the Executive or anyone else, except as provided in this </w:t>
      </w:r>
      <w:r>
        <w:rPr>
          <w:rFonts w:ascii="Times New Roman;sans-serif" w:hAnsi="Times New Roman;sans-serif"/>
          <w:b w:val="false"/>
          <w:color w:val="000000"/>
          <w:sz w:val="24"/>
          <w:u w:val="single"/>
        </w:rPr>
        <w:t>Section 16</w:t>
      </w:r>
      <w:r>
        <w:rPr>
          <w:rFonts w:ascii="Times New Roman;sans-serif" w:hAnsi="Times New Roman;sans-serif"/>
          <w:b w:val="false"/>
          <w:color w:val="000000"/>
          <w:sz w:val="24"/>
        </w:rPr>
        <w:t>. Except as provided in </w:t>
      </w:r>
      <w:r>
        <w:rPr>
          <w:rFonts w:ascii="Times New Roman;sans-serif" w:hAnsi="Times New Roman;sans-serif"/>
          <w:b w:val="false"/>
          <w:color w:val="000000"/>
          <w:sz w:val="24"/>
          <w:u w:val="single"/>
        </w:rPr>
        <w:t>Section 15</w:t>
      </w:r>
      <w:r>
        <w:rPr>
          <w:rFonts w:ascii="Times New Roman;sans-serif" w:hAnsi="Times New Roman;sans-serif"/>
          <w:b w:val="false"/>
          <w:color w:val="000000"/>
          <w:sz w:val="24"/>
        </w:rPr>
        <w:t>, all amounts payable by the Company hereunder shall be paid without notice or demand. Except pursuant to any recoupment, clawback or similar policies adopted by the Company from time to time in response to any recoupment, clawback or similar requirements made applicable to the Company from time to time by law, regulation or listing standards, each and every payment made hereunder by the Company shall be final, and the Company will not seek to recover all or any part of such payment from the Executive, or from whomsoever may be entitled thereto, for any reason whatsoever.</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All capitalized terms not otherwise defined herein shall have the meanings ascribed to such terms in the KEESA.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Other than as expressly provided in this Amendment, the KEESA shall continue in full force and effect.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day and year first above written.</w:t>
      </w:r>
    </w:p>
    <w:p>
      <w:pPr>
        <w:pStyle w:val="TextBody"/>
        <w:bidi w:val="0"/>
        <w:spacing w:lineRule="auto" w:line="240" w:before="0" w:after="600"/>
        <w:jc w:val="left"/>
        <w:rPr>
          <w:rFonts w:ascii="Times New Roman;sans-serif" w:hAnsi="Times New Roman;sans-serif"/>
          <w:b/>
          <w:color w:val="000000"/>
          <w:sz w:val="24"/>
        </w:rPr>
      </w:pPr>
      <w:r>
        <w:rPr>
          <w:rFonts w:ascii="Times New Roman;sans-serif" w:hAnsi="Times New Roman;sans-serif"/>
          <w:b/>
          <w:color w:val="000000"/>
          <w:sz w:val="24"/>
        </w:rPr>
        <w:t>PENTAIR PLC</w:t>
      </w:r>
    </w:p>
    <w:p>
      <w:pPr>
        <w:pStyle w:val="TextBody"/>
        <w:bidi w:val="0"/>
        <w:spacing w:lineRule="auto" w:line="240"/>
        <w:jc w:val="left"/>
        <w:rPr/>
      </w:pPr>
      <w:r>
        <w:rPr>
          <w:rFonts w:ascii="Times New Roman;sans-serif" w:hAnsi="Times New Roman;sans-serif"/>
          <w:b w:val="false"/>
          <w:color w:val="000000"/>
          <w:sz w:val="24"/>
        </w:rPr>
        <w:t>By:</w:t>
      </w:r>
      <w:r>
        <w:rPr>
          <w:color w:val="000000"/>
          <w:u w:val="single"/>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John Stauch</w:t>
      </w:r>
    </w:p>
    <w:p>
      <w:pPr>
        <w:pStyle w:val="TextBody"/>
        <w:bidi w:val="0"/>
        <w:spacing w:lineRule="auto" w:line="240" w:before="0" w:after="600"/>
        <w:jc w:val="left"/>
        <w:rPr>
          <w:rFonts w:ascii="Times New Roman;sans-serif" w:hAnsi="Times New Roman;sans-serif"/>
          <w:b w:val="false"/>
          <w:color w:val="000000"/>
          <w:sz w:val="24"/>
        </w:rPr>
      </w:pPr>
      <w:r>
        <w:rPr>
          <w:rFonts w:ascii="Times New Roman;sans-serif" w:hAnsi="Times New Roman;sans-serif"/>
          <w:b w:val="false"/>
          <w:color w:val="000000"/>
          <w:sz w:val="24"/>
        </w:rPr>
        <w:t>Its: President and Chief Executive Officer</w:t>
      </w:r>
    </w:p>
    <w:p>
      <w:pPr>
        <w:pStyle w:val="TextBody"/>
        <w:bidi w:val="0"/>
        <w:spacing w:lineRule="auto" w:line="240" w:before="0" w:after="0"/>
        <w:jc w:val="left"/>
        <w:rPr/>
      </w:pPr>
      <w:r>
        <w:rPr>
          <w:rFonts w:ascii="Times New Roman;sans-serif" w:hAnsi="Times New Roman;sans-serif"/>
          <w:b w:val="false"/>
          <w:color w:val="000000"/>
          <w:sz w:val="24"/>
        </w:rPr>
        <w:t>Attest:</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Karla Robertson</w:t>
      </w:r>
    </w:p>
    <w:p>
      <w:pPr>
        <w:pStyle w:val="TextBody"/>
        <w:bidi w:val="0"/>
        <w:spacing w:lineRule="auto" w:line="240" w:before="0" w:after="600"/>
        <w:jc w:val="left"/>
        <w:rPr>
          <w:rFonts w:ascii="Times New Roman;sans-serif" w:hAnsi="Times New Roman;sans-serif"/>
          <w:b w:val="false"/>
          <w:color w:val="000000"/>
          <w:sz w:val="24"/>
        </w:rPr>
      </w:pPr>
      <w:r>
        <w:rPr>
          <w:rFonts w:ascii="Times New Roman;sans-serif" w:hAnsi="Times New Roman;sans-serif"/>
          <w:b w:val="false"/>
          <w:color w:val="000000"/>
          <w:sz w:val="24"/>
        </w:rPr>
        <w:t>Its: Executive Vice President, General Counsel, Secretary and Chief Social Responsibility Officer</w:t>
      </w:r>
    </w:p>
    <w:p>
      <w:pPr>
        <w:pStyle w:val="TextBody"/>
        <w:bidi w:val="0"/>
        <w:spacing w:lineRule="auto" w:line="240" w:before="0" w:after="600"/>
        <w:jc w:val="left"/>
        <w:rPr>
          <w:rFonts w:ascii="Times New Roman;sans-serif" w:hAnsi="Times New Roman;sans-serif"/>
          <w:b/>
          <w:color w:val="000000"/>
          <w:sz w:val="24"/>
        </w:rPr>
      </w:pPr>
      <w:r>
        <w:rPr>
          <w:rFonts w:ascii="Times New Roman;sans-serif" w:hAnsi="Times New Roman;sans-serif"/>
          <w:b/>
          <w:color w:val="000000"/>
          <w:sz w:val="24"/>
        </w:rPr>
        <w:t>EXECUTIVE:</w:t>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10.21</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2" name="Frame1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PENTAIR PLC 2020 SHARE AND INCENTIVE PLAN</w:t>
      </w:r>
    </w:p>
    <w:p>
      <w:pPr>
        <w:pStyle w:val="TextBody"/>
        <w:bidi w:val="0"/>
        <w:spacing w:lineRule="auto" w:line="240" w:before="0" w:after="12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RESTRICTED STOCK UNIT GRANT NOTICE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Pentair plc (the “Company”), pursuant to the Pentair plc 2020 Share and Incentive Plan (the “Plan”), hereby grants you Restricted Stock Units (“RSUs”) over the number of ordinary shares of the Company (“Shares”) set forth below. The RSUs are subject to all of the terms and conditions as set forth herein and in the attached Restricted Stock Unit Award Agreement (the “Award Agreement”) and the Plan, both of which are incorporated herein in their entirety. Capitalized terms not otherwise defined in this Grant Notice or the Award Agreement shall have the meaning set forth in the Plan.</w:t>
      </w:r>
    </w:p>
    <w:p>
      <w:pPr>
        <w:pStyle w:val="TextBody"/>
        <w:bidi w:val="0"/>
        <w:spacing w:before="0" w:after="0"/>
        <w:jc w:val="both"/>
        <w:rPr/>
      </w:pPr>
      <w:r>
        <w:rPr/>
      </w:r>
    </w:p>
    <w:tbl>
      <w:tblPr>
        <w:tblW w:w="4199" w:type="dxa"/>
        <w:jc w:val="left"/>
        <w:tblInd w:w="0" w:type="dxa"/>
        <w:tblLayout w:type="fixed"/>
        <w:tblCellMar>
          <w:top w:w="28" w:type="dxa"/>
          <w:left w:w="28" w:type="dxa"/>
          <w:bottom w:w="28" w:type="dxa"/>
          <w:right w:w="28" w:type="dxa"/>
        </w:tblCellMar>
      </w:tblPr>
      <w:tblGrid>
        <w:gridCol w:w="1371"/>
        <w:gridCol w:w="1202"/>
        <w:gridCol w:w="1206"/>
        <w:gridCol w:w="123"/>
        <w:gridCol w:w="123"/>
        <w:gridCol w:w="174"/>
      </w:tblGrid>
      <w:tr>
        <w:trPr/>
        <w:tc>
          <w:tcPr>
            <w:tcW w:w="137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Participant:</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Date of Grant:</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Number of Shares Subject to RSUs:</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Vesting Schedule:</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bl>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4"/>
        </w:rPr>
        <w:t>Unless you decline</w:t>
      </w:r>
      <w:r>
        <w:rPr>
          <w:color w:val="000000"/>
        </w:rPr>
        <w:t xml:space="preserve"> </w:t>
      </w:r>
      <w:r>
        <w:rPr>
          <w:rFonts w:ascii="Times New Roman;sans-serif" w:hAnsi="Times New Roman;sans-serif"/>
          <w:b/>
          <w:color w:val="000000"/>
          <w:sz w:val="24"/>
        </w:rPr>
        <w:t xml:space="preserve">the RSUs within 90 days following the Date of Grant through an electronic medium in accordance with procedures established by the Company, </w:t>
      </w:r>
      <w:r>
        <w:rPr>
          <w:rFonts w:ascii="Times New Roman;sans-serif" w:hAnsi="Times New Roman;sans-serif"/>
          <w:b w:val="false"/>
          <w:color w:val="000000"/>
          <w:sz w:val="24"/>
        </w:rPr>
        <w:t xml:space="preserve">you agree to be bound by all of the terms and conditions of the following: this Grant Notice, the Award Agreement, and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01040"/>
                <wp:effectExtent l="0" t="0" r="0" b="0"/>
                <wp:wrapNone/>
                <wp:docPr id="103" name="Frame10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 xml:space="preserve">PENTAIR 2020 SHARE AND INCENTIVE PLAN </w: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RESTRICTED STOCK UNIT AWARD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notice of grant (the “Grant Notice”) and this Restricted Stock Unit Award Agreement, including any exhibits hereto (collectively, this “Award Agreement”), Pentair plc (the “Company”) has granted to you Restricted Stock Units (“RSUs”) with respect to the number of ordinary shares of the Company (“Shares”) specified in the Grant Notice. Capitalized terms not defined in this Award Agreement but defined in the Pentair plc 2020 Share and Incentive Plan, as may be amended or restated from time to time (the “Plan”), shall have the same definitions as in the Plan. Unless you decline this Award Agreement within 90 days, you agree to be bound by all of the provisions contained in this Award Agreement and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Except as otherwise provided in the Plan or this Award Agreement, the RSUs will vest as provided in the Grant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Settlement of RSUs</w:t>
      </w:r>
      <w:r>
        <w:rPr>
          <w:rFonts w:ascii="Times New Roman;sans-serif" w:hAnsi="Times New Roman;sans-serif"/>
          <w:b w:val="false"/>
          <w:color w:val="000000"/>
          <w:sz w:val="24"/>
        </w:rPr>
        <w:t>. The Company shall deliver to you a whole number of Shares equal to the number of RSUs (if any) that vest pursuant to this Award Agreement, subject to withholding of any Tax-Related Items (as defined in Section 6 below) if required by applicable law. Such delivery shall take place as soon as administratively practicable following the vesting date, but in no event more than 30 days after the applicable vesting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you are resident or provide services outside of the United States, the Company, in its sole discretion, may provide for the settlement of the RSUs in the form of:</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 cash payment in an amount equal to the Fair Market Value of the Shares as of the vesting date that correspond to the number of vested RSUs, to the extent that settlement in Shares (i) is prohibited under local law, (ii) would require you, the Company or any of its Affiliates to obtain the approval of any governmental or regulatory body in your country of residence (or country of employment, if different), (iii) would result in adverse tax consequences for you, the Company or any of its Affiliates or (iv) is administratively burdensome;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Shares, but require you to sell such Shares immediately or within a specified period following your termination of service (in which case, you hereby agree that the Company shall have the authority to issue sale instructions in relation to such Shares on your behalf).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No Fractional Shares</w:t>
      </w:r>
      <w:r>
        <w:rPr>
          <w:rFonts w:ascii="Times New Roman;sans-serif" w:hAnsi="Times New Roman;sans-serif"/>
          <w:b w:val="false"/>
          <w:color w:val="000000"/>
          <w:sz w:val="24"/>
        </w:rPr>
        <w:t xml:space="preserve">. Only whole Shares will be issuable pursuant to the RSUs; any fractional Share otherwise issuable under the RSUs will be rounded up to the nearest whole Share.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Effect of Termination of Service</w:t>
      </w:r>
      <w:r>
        <w:rPr>
          <w:rFonts w:ascii="Times New Roman;sans-serif" w:hAnsi="Times New Roman;sans-serif"/>
          <w:b w:val="false"/>
          <w:color w:val="000000"/>
          <w:sz w:val="24"/>
        </w:rPr>
        <w:t xml:space="preserve">. Unless otherwise provided in the Grant Notice or the Plan, in the event of termination of your service with the Company or any of its Affiliates for any reason (whether voluntarily or involuntarily), all your unvested RSUs will be cancelled and forfeited. Exceptions are made for termination of service due to death, Retirement (provided that the Committee has determined you have ten years of service with the Company and its Affiliates based on your previous employment with the Company and its Affiliates for purposes of Sections 2(ii)(i) and 14(b) of the Plan, but not for purposes of Section 14(c) of the Plan), Disability or a Covered Termination, in accordance with the terms of the Plan.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the RSUs, your service will be considered terminated as of the date you cease active service with the Company or any of its Affiliates (regardless of the reason for such termination and whether or not later found to be invalid or in breach of employment laws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01040"/>
                <wp:effectExtent l="0" t="0" r="0" b="0"/>
                <wp:wrapNone/>
                <wp:docPr id="104" name="Frame10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jurisdiction where you provide services or the terms of your employment or service agreement, if any), and unless otherwise expressly provided in this Award Agreement or determined by the Company in its sole discretion, your right to vest in the RSUs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provide services or the terms of your employment or service agreement, if any). The Company shall have the exclusive discretion to determine when you have ceased active service for purposes of your RSU grant (including whether you may still be considered to be providing services while on a leave of absence).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Dividend Equivalent Units</w:t>
      </w:r>
      <w:r>
        <w:rPr>
          <w:rFonts w:ascii="Times New Roman;sans-serif" w:hAnsi="Times New Roman;sans-serif"/>
          <w:b w:val="false"/>
          <w:color w:val="000000"/>
          <w:sz w:val="24"/>
        </w:rPr>
        <w:t>. Any cash dividends paid with respect to record dates occurring from and after the Date of Grant until the date that the RSUs are settled will be automatically reinvested on the date the dividend is paid as additional RSUs that are subject to the same terms and conditions (including vesting and forfeiture provisions) as the underlying RSUs to which they relate.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You acknowledge that, regardless of any action taken by the Company</w:t>
      </w:r>
      <w:r>
        <w:rPr>
          <w:color w:val="000000"/>
        </w:rPr>
        <w:t xml:space="preserve"> </w:t>
      </w:r>
      <w:r>
        <w:rPr>
          <w:rFonts w:ascii="Times New Roman;sans-serif" w:hAnsi="Times New Roman;sans-serif"/>
          <w:b w:val="false"/>
          <w:color w:val="000000"/>
          <w:sz w:val="24"/>
        </w:rPr>
        <w:t>or, if different, the Affiliate that employs you (the “Employer”), the ultimate liability for all income tax, social insurance, payroll tax, fringe benefits tax, payment on account or other tax-related items related to your participation in the Plan and legally applicable to you or deemed by the Company or the Employer in their discretion to be an appropriate charge to you even if legally applicable to the Company or the Employer (“Tax-Related Items”), is and remains your responsibility and may exceed the amount actually withheld by the Company or the Employer, if any. You further acknowledge that the Company and/or the Employer (a)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or dividend equivalents; and (b) do not commit to and are under no obligation to structure the terms of the grant or any aspect of the RSUs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w:t>
      </w:r>
      <w:r>
        <w:rPr>
          <w:color w:val="000000"/>
        </w:rPr>
        <w:t xml:space="preserve"> </w:t>
      </w:r>
      <w:r>
        <w:rPr>
          <w:rFonts w:ascii="Times New Roman;sans-serif" w:hAnsi="Times New Roman;sans-serif"/>
          <w:b w:val="false"/>
          <w:color w:val="000000"/>
          <w:sz w:val="24"/>
        </w:rPr>
        <w:t>and/or the Employer (or former employer, as applicable) may be required to withhold or account for Tax-Related Items in more than one jurisdiction.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Prior to the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 (i) withholding from your wages or other cash compensation paid to you by the Company and/or the Employer; (ii) withholding from the proceeds of the sale of Shares acquired upon vesting of the RSUs either through a voluntary sale or through a mandatory sale arranged by the Company (on your behalf pursuant to this authorization without further consent); (iii) withholding from the Shares to be delivered upon settlement of the RSUs that number of Shares having a Fair Market Value equal to the amount required by law to be withheld; or (iv) permitting you to tender back to the Company a number of Shares delivered upon settlement of the RSUs or Shares previously owned by you having a Fair Market Value equal to the amount required by law to be withheld. For purposes of the foregoing, no fractional Share will be withheld or issued pursuant to the grant of the RSUs and the issuance of Shares hereunder. Notwithstanding the foregoing, if you are a Section 16 Participant, your withholding obligations shall be satisfied as described in clause (iii) above, unless the Committee approves another form of payment for such Tax-Related Items.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0520"/>
                <wp:effectExtent l="0" t="0" r="0" b="0"/>
                <wp:wrapNone/>
                <wp:docPr id="105"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will receive a refund of any over-withheld amount from the relevant taxing authority in cash and will have no entitlement to the share equivalent. If the obligation for Tax-Related Items is satisfied by withholding from the Shares to be delivered upon vesting of the RSUs, for tax purposes, you are deemed to have been issued the full number of Shares subject to the vested RSUs, notwithstanding that a number of Shares are held back solely for the purpose of paying the Tax-Related Items.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Shares or proceeds from the sale of Shares until arrangements satisfactory to the Administrator have been made in connection with the Tax-Related Items. You will have no further rights with respect to any Shares that are retained by the Company pursuant to this provision.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Recoupment</w:t>
      </w:r>
      <w:r>
        <w:rPr>
          <w:rFonts w:ascii="Times New Roman;sans-serif" w:hAnsi="Times New Roman;sans-serif"/>
          <w:b w:val="false"/>
          <w:color w:val="000000"/>
          <w:sz w:val="24"/>
        </w:rPr>
        <w:t>. The RSUs (and any compensation paid or Shares issued under the RSUs) are subject to recoupment in accordance with the Dodd-Frank Wall Street Reform and Consumer Protection Act and any implementing regulations thereunder, any clawback policy adopted by the Company and any compensation recovery policy or practice otherwise required by applicable law. The Company shall have the right to offset against any other amounts due from the Company to you the amount owed by you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Confidentiality, Non-Competition, Non-Solicitation and Non-Disparagement</w:t>
      </w:r>
      <w:r>
        <w:rPr>
          <w:rFonts w:ascii="Times New Roman;sans-serif" w:hAnsi="Times New Roman;sans-serif"/>
          <w:b w:val="false"/>
          <w:color w:val="000000"/>
          <w:sz w:val="24"/>
        </w:rPr>
        <w:t>. As a condition to the receipt of the RSUs, you expressly agree to the terms and conditions in the Confidentiality, Non-Competition, Non-Solicitation and Non-Disparagement Agreement attached hereto as Exhibit A. In addition to any remedies available to the Company under the first paragraph and Section 6 of Exhibit A, any violation of the terms and conditions of Exhibit A will result in a rescission of the RSUs made under this Award Agreement and a forfeiture of rights you have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Securities Law Compliance</w:t>
      </w:r>
      <w:r>
        <w:rPr>
          <w:rFonts w:ascii="Times New Roman;sans-serif" w:hAnsi="Times New Roman;sans-serif"/>
          <w:b w:val="false"/>
          <w:color w:val="000000"/>
          <w:sz w:val="24"/>
        </w:rPr>
        <w:t>. The grant of the RSUs and the issuance of Shares are subject to all applicable laws, rules and regulations and to such approvals by any governmental agencies or securities exchange as may be required. Notwithstanding any provision of this Award Agreement or the Plan, the Company has no liability to deliver any Shares under the Plan or make any payment unless such delivery or payment would comply with all laws and the applicable requirements of any governmental agency, securities exchange or similar entity, and unless and until you have taken all actions required by the Company in connection with the RSUs. The Company may impose such restrictions on any Shares issued under the Plan as the Company determines necessary or desirable to comply with all applicable laws, rules and regulations or requirements.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xml:space="preserve">. The RSUs shall not be transferable in any manner (including without limitation, sale, alienation, anticipation, pledge, encumbrance, or assignment) other than transfer by will or by the laws of descent and distribution, unless otherwise determined by the Committee in accordance with the terms of the Plan. All rights with respect to the RSUs shall be exercisable during your lifetime only by you or your guardian or legal representative or permitted transferee.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Shareholder Rights</w:t>
      </w:r>
      <w:r>
        <w:rPr>
          <w:rFonts w:ascii="Times New Roman;sans-serif" w:hAnsi="Times New Roman;sans-serif"/>
          <w:b w:val="false"/>
          <w:color w:val="000000"/>
          <w:sz w:val="24"/>
        </w:rPr>
        <w:t xml:space="preserve">. You shall not have any voting rights or any other rights and privileges of a shareholder of the Company unless and until Shares (if any) are issued upon settlement of the RSUs. Prior to actual payment of any RSUs, such RSUs will represent an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6"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unsecured obligation of the Company, payable (if at all) only from the general assets of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Insider Trading and/or Market Abuse</w:t>
      </w:r>
      <w:r>
        <w:rPr>
          <w:rFonts w:ascii="Times New Roman;sans-serif" w:hAnsi="Times New Roman;sans-serif"/>
          <w:b w:val="false"/>
          <w:color w:val="000000"/>
          <w:sz w:val="24"/>
        </w:rPr>
        <w:t>.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which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You understand that third parties include fellow employees. Any restriction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Code Section 409A</w:t>
      </w:r>
      <w:r>
        <w:rPr>
          <w:rFonts w:ascii="Times New Roman;sans-serif" w:hAnsi="Times New Roman;sans-serif"/>
          <w:b w:val="false"/>
          <w:color w:val="000000"/>
          <w:sz w:val="24"/>
        </w:rPr>
        <w:t>. For U.S. taxpayers, it is the intent that the RSUs as set forth in this Award Agreement shall qualify for exemption from or comply with the requirements of Section 409A of the Code, and any ambiguities herein will be interpreted to so qualify or comply. Notwithstanding the foregoing, if it is determined that the RSUs fail to satisfy the requirements of the short-term deferral period exemption and are otherwise deferred compensation subject to Section 409A of the Code, and if you are a “specified employee” as of the date of your “separation from service” (as those terms are defined in the Plan or Section 409A of the Code), then the issuance of any Shares that would otherwise be made upon the date of your separation from service or within the first six (6) months thereafter will not be made on the originally scheduled date and will instead be issued in a lump sum on the date that is six (6) months and one day after the date of your separation from service, but only if such delay in the issuance of the Shares is necessary to avoid the imposition of additional taxation on you in respect of the Shares under Section 409A of the Code. The Company reserves the right, to the extent the Company deems necessary or advisable in its sole discretion, to unilaterally amend or modify this Award Agreement as may be necessary to ensure that all payments provided for under this Award Agreement are made in a manner that qualifies for exemption from or complies with Section 409A of the Code; provided, however, that the Company makes no representation that the grant, vesting, or settlement of RSUs provided for under this Award Agreement will be exempt from or comply with Section 409A of the Code and makes no undertaking to preclude Section 409A of the Code from applying to the grant, vesting or settlement of RSUs provided for under this Award Agreement. The Company will have no liability to you or any other party if the RSUs, the delivery of Shares upon settlement of the RSUs or other payment hereunder that is intended to be exempt from, or compliant with, Section 409A of the Code, is not so exempt or compliant or for any action taken by the Company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Electronic Delivery and Acceptance</w:t>
      </w:r>
      <w:r>
        <w:rPr>
          <w:rFonts w:ascii="Times New Roman;sans-serif" w:hAnsi="Times New Roman;sans-serif"/>
          <w:b w:val="false"/>
          <w:color w:val="000000"/>
          <w:sz w:val="24"/>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You also agree that all online acknowledgements shall have the same force and effect as a written signature.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In accepting the RSUs, you acknowledge and agree that: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107" name="Frame1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Plan is established voluntarily by the Company, it is discretionary in nature and it may be modified, amended, suspended or terminated by the Company, in its sole discretion, at any time (subject to any limitations set forth in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grant of RSUs is voluntary and occasional and does not create any contractual or other right to receive future grants of RSUs, or benefits in lieu of RSUs, even if RSUs or other awards have been granted in the past;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all decisions with respect to future awards, if any, will be at the sole discretion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your participation in the Plan is voluntary;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RSUs and your participation in the Plan shall not create a right to employment or be interpreted as forming an employment or service contract with the Company or any of its Affiliates and shall not interfere with the ability of the Company, any of its Affiliates or the Employer, as applicable, to terminate your employment or service relationship (as otherwise may be permitted under local law);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the RSUs and the Shares, and the income and value of the same, subject to the RSUs are not intended to replace any pension rights or compensation;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RSUs and any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for the Company, the Employer or any Affiliate;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 future value of the underlying Shares is unknown, indeterminable, and cannot be predicted with certainty;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no claim or entitlement to compensation or damages shall arise from forfeiture of the RSUs resulting from termination of your service (for any reason whatsoever and whether or not in breach of local labor laws or later found invalid), and in consideration of the grant of the RSUs to which you are otherwise not entitled, you irrevocably agree never to institute any claim against the Company, any of its Affiliates, or the Employer, waive your ability, if any, to bring any such claim, and release the Company, its Affiliates and the Employer, from any such claim;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the RSUs and the benefits evidenced by this Award Agreement do not create any entitlement not otherwise specifically provided for in the Plan or provided by the Company in its discretion, to have the RSUs or any such benefits transferred to, or assumed by, another company, nor to be exchanged, cashed out or substituted for, in connection with any corporate transaction affecting the Shares;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 xml:space="preserve">if you are employed or providing services outside of the United States, neither the Company nor any of its Affiliates shall be liable for any foreign exchange rate fluctuation between your local currency and the U.S. dollar that may affect the value of the RSUs or any amounts due to you pursuant to the settlement of the RSUs or the subsequent sale of any Shares acquired upon settlement of the RSUs.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i/>
          <w:color w:val="000000"/>
          <w:sz w:val="24"/>
          <w:u w:val="single"/>
        </w:rPr>
        <w:t>Data Privacy</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You hereby explicitly and unambiguously consent to the collection, use and transfer, in electronic or other form, of your personal data as described in this Award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0520"/>
                <wp:effectExtent l="0" t="0" r="0" b="0"/>
                <wp:wrapNone/>
                <wp:docPr id="108" name="Frame1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Agreement, the Grant Notice and any other RSU grant materials by and among, as necessary and applicable, the Company or any of its Affiliates, for the exclusive purpose of implementing, administering and managing your participation in the Plan. If there is a conflict between this Section 16 and the Company’s existing policies and/or data protection charters, the terms of this Section 16 will prevail with respect to issues related to the RSUs and the Plan.</w:t>
      </w:r>
    </w:p>
    <w:p>
      <w:pPr>
        <w:pStyle w:val="TextBody"/>
        <w:bidi w:val="0"/>
        <w:spacing w:lineRule="auto" w:line="240" w:before="0" w:after="24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You understand that the Company and/or the Employer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exercised, vested, unvested or outstanding in your favor (“Data”), for the purpose of implementing, administering and managing the Plan.</w:t>
      </w:r>
    </w:p>
    <w:p>
      <w:pPr>
        <w:pStyle w:val="TextBody"/>
        <w:bidi w:val="0"/>
        <w:spacing w:lineRule="auto" w:line="240" w:before="0" w:after="0"/>
        <w:ind w:left="0" w:right="0" w:firstLine="720"/>
        <w:jc w:val="both"/>
        <w:rPr/>
      </w:pPr>
      <w:r>
        <w:rPr>
          <w:rFonts w:ascii="Times New Roman;sans-serif" w:hAnsi="Times New Roman;sans-serif"/>
          <w:b w:val="false"/>
          <w:i/>
          <w:color w:val="000000"/>
          <w:sz w:val="24"/>
        </w:rPr>
        <w:t>You understand that Data will be transferred to Fidelity Stock Plan Services or such other share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w:t>
      </w:r>
      <w:r>
        <w:rPr>
          <w:rFonts w:ascii="Times New Roman;sans-serif" w:hAnsi="Times New Roman;sans-serif"/>
          <w:b w:val="false"/>
          <w:color w:val="000000"/>
          <w:sz w:val="24"/>
        </w:rPr>
        <w:t>e.g.</w:t>
      </w:r>
      <w:r>
        <w:rPr>
          <w:rFonts w:ascii="Times New Roman;sans-serif" w:hAnsi="Times New Roman;sans-serif"/>
          <w:b w:val="false"/>
          <w:i/>
          <w:color w:val="000000"/>
          <w:sz w:val="24"/>
        </w:rPr>
        <w:t xml:space="preserve">,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Fidelity Stock Plan Services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If you are employed outside the United States,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service status and career will not be affected; the only consequence of refusing or withdrawing your consent is that the Company would not be able to grant you RSUs or other equity awards or administer or maintain such awards. Therefore, you understand that refusing or withdrawing your consent may affect your ability to participate in the Plan.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For more information on the consequences of your refusal to consent or withdrawal of consent, you understand that you may contact your local human resources representative.</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Finally, upon request of the Company or the Employer, you agree to provide an executed data privacy consent form to the Company and/or the Employer (or any other agreements or consents that may be required by the Company and/or the Employer)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Not a Public Offering</w:t>
      </w:r>
      <w:r>
        <w:rPr>
          <w:rFonts w:ascii="Times New Roman;sans-serif" w:hAnsi="Times New Roman;sans-serif"/>
          <w:b w:val="false"/>
          <w:color w:val="000000"/>
          <w:sz w:val="24"/>
        </w:rPr>
        <w:t xml:space="preserve">. If you are a resident outside of the United States, the grant of the RSUs is not intended to be a public offering of securities in your country of residence (or country of service, if different). The Company has not submitted any registration statement, prospectus or other filings with the local securities authorities (unless otherwise required under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0520"/>
                <wp:effectExtent l="0" t="0" r="0" b="0"/>
                <wp:wrapNone/>
                <wp:docPr id="109"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local law), and the grant of the RSUs is not subject to the supervision of the local securities authorities.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If you are resident in a country where English is not an official language, you acknowledge and agree that it is your express intent that this Award Agreement and the Plan and all other documents, notices and legal proceedings entered into, given or instituted pursuant to the RSUs be drawn up in English. If you have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Repatriation; Compliance with Law</w:t>
      </w:r>
      <w:r>
        <w:rPr>
          <w:rFonts w:ascii="Times New Roman;sans-serif" w:hAnsi="Times New Roman;sans-serif"/>
          <w:b w:val="false"/>
          <w:color w:val="000000"/>
          <w:sz w:val="24"/>
        </w:rPr>
        <w:t>. If you are resident or provide services outside the United States, you agree to repatriate all payments attributable to Shares and/or cash acquired under the Plan in accordance with applicable foreign exchange rules and regulations in your country of residence (and country of service, if different). In addition, you agree to take any and all actions, and consent to any and all actions taken by the Company and its Affiliates, as may be required to allow the Company and its Affiliates to comply with local laws, rules and/or regulations in your country of residence (and country of service, if different). Finally, you agree to take any and all actions as may be required to comply with your personal obligations under local laws, rules and/or regulations in your country of residence and country of service, if different).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Addendum</w:t>
      </w:r>
      <w:r>
        <w:rPr>
          <w:rFonts w:ascii="Times New Roman;sans-serif" w:hAnsi="Times New Roman;sans-serif"/>
          <w:b w:val="false"/>
          <w:color w:val="000000"/>
          <w:sz w:val="24"/>
        </w:rPr>
        <w:t>. Notwithstanding any provisions in this Award Agreement, the RSUs shall be subject to any special terms and conditions set forth in the Addendum to this Award Agreement, as set forth in Exhibit B. Moreover, if you transfer to one of the countries included in such Addendum, the special terms and conditions for such country will apply to you, to the extent the Company determines that the application of such terms and conditions is necessary or advisable to comply with local law or facilitate the administration of the Plan (or the Company may establish alternative terms and conditions as may be necessary or advisable to accommodate your transfer). The Addendum constitutes part of this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xml:space="preserve">. The Company reserves the right to impose other requirements on your participation in the Plan, on the RSUs,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provided for in the Grant Notice, this Award Agreement or the Plan shall be given in writing (including electronically) and shall be deemed effectively given upon receipt or, in the case of notices delivered via post by the Company to you, five (5) days after deposit in the mail, postage prepaid, addressed to you at the last address you provided to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Governing Plan Document and Integration</w:t>
      </w:r>
      <w:r>
        <w:rPr>
          <w:rFonts w:ascii="Times New Roman;sans-serif" w:hAnsi="Times New Roman;sans-serif"/>
          <w:b w:val="false"/>
          <w:color w:val="000000"/>
          <w:sz w:val="24"/>
        </w:rPr>
        <w:t xml:space="preserve">. The RSUs are subject to the Grant Notice, this Award Agreement and all the provisions of the Plan, the provisions of which are hereby made a part of this Award Agreement, and is further subject to all interpretations, amendments, rules and regulations which may from time to time be promulgated and adopted pursuant to the Plan. In the event of any conflict between the provisions of the Grant Notice, this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10" name="Frame1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 Agreement and those of the Plan, the provisions of the Plan shall control. This Award Agreement, including without limitation the Confidentiality, Non-Competition, Non-Solicitation and Non-Disparagement Agreement attached hereto as Exhibit A, contains the entire agreement between the parties regarding the matters covered within it; provided, however, that if the parties previously or contemporaneously entered into a separate written agreement containing confidentiality, non-disclosure, non-solicitation, and/or non-competition provisions, the provisions of the previously- or contemporaneously-executed agreement shall be read together with the provisions of this Award Agreement to afford the Company the greatest protections allowed by applicable law. By accepting the RSUs, you confirm that you have read and understood the Award Agreement, the Plan, the Plan prospectus and related information provided to you and that you accept the terms of those documents accordingly.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Administrator Authority</w:t>
      </w:r>
      <w:r>
        <w:rPr>
          <w:rFonts w:ascii="Times New Roman;sans-serif" w:hAnsi="Times New Roman;sans-serif"/>
          <w:b w:val="false"/>
          <w:color w:val="000000"/>
          <w:sz w:val="24"/>
        </w:rPr>
        <w:t>. You expressly understand that the Administrator is authorized to administer, construe, and make all determinations necessary or appropriate for the administration of the Award Agreement and the Plan, and that any interpretation or determination made by the Administrator under the Award Agreement or the Plan, will be final, binding and conclusive.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xml:space="preserve">. The RSUs and the provisions of this Award Agreement (but excluding the Confidentiality, Non-Competition, Non-Solicitation and Non-Disparagement Agreement attached hereto as Exhibit A) are governed by, and subject to, the laws of the state of Delaware, U.S.A. without regard to the conflict of law provisions. The provisions of the Confidentiality, Non-Competition, Non-Solicitation and Non-Disparagement Agreement attached hereto as Exhibit A are governed by, and subject to, the laws of the state of Minnesota, U.S.A. without regard to the conflict of law provisions. For purposes of any action, lawsuit or other proceedings brought to enforce this Award Agreement including without limitation the Confidentiality, Non-Competition, Non-Solicitation and Non-Disparagement Agreement attached hereto as Exhibit A, relating to it, or arising from it, the parties hereby submit to and consent to the sole and exclusive jurisdiction of the United States District Court for the District of Minnesota or any of the courts of the state of Minnesota, U.S.A., and waive any objections to such venue.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this Section, you acknowledge and agree that different governing law and venue provisions than those set forth in this Section with respect to the Confidentiality, Non-Competition, Non-Solicitation and Non-Disparagement Agreement may apply to you if you reside or work in certain jurisdictions. While you reside or work in such a jurisdiction, including on the final day of your employment, you agree that the governing law and venue provision set forth in this Section with respect to the Confidentiality, Non-Competition, Non-Solicitation and Non-Disparagement Agreement shall be superseded only as set forth in the applicable Appendix attached as Appendix A to the Confidentiality, Non-Competition, Non-Solicitation and Non-Disparagement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Award Agreement is held to be unenforceable for any reason, it shall be adjusted rather than voided, if possible, in order to achieve the intent of the parties to the extent possible. In any event, all other provisions of this Award Agreement shall be deemed valid and enforceable to the full extent possible.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28.</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waiver by the Company with respect to your (or any other Participant’s) compliance of any provision of this Award Agreement shall not operate or be construed as a waiver of any other provision of this Award Agreement, or of any subsequent breach by such party of a provision of this Award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11" name="Frame1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 xml:space="preserve">CONFIDENTIALITY, NON-COMPETITION, </w:t>
        <w:br/>
        <w:t>NON-SOLICITATION AND NON-DISPARAGEMENT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 result of your intimate familiarity with trade secrets, business strategies, marketing strategies, product development, proprietary and confidential information of the Company, the Award Agreement is subject to the restrictions set forth below in this Confidentiality, Non-Competition, Non-Solicitation and Non-Disparagement Agreement (the “Exhibit A”). Any violation of these provisions will result in a rescission of the RSU made under the Award Agreement and a forfeiture of any rights you have with respect thereto, as well as the remedies that are described in Section 6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You agree that you will treat during your employment and thereafter, as private and privileged, any information, data, figures, projections, estimates, marketing plans, customer lists, lists of contract workers, tax records, personnel records, accounting procedures, formulas, contracts, business partners, alliances, ventures and all other confidential information you acquire while working for the Company or any of its Affiliates. You agree that you will not release any such information to any person, firm, corporation or other entity at any time, except as may be required by law, or as agreed to in writing by the Company. You acknowledge that any violation of this non-disclosure provision shall entitle the Company to appropriate injunctive relief and to any damages which it may sustain due to the improper disclosure.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Employee Non-Solicitation</w:t>
      </w:r>
      <w:r>
        <w:rPr>
          <w:rFonts w:ascii="Times New Roman;sans-serif" w:hAnsi="Times New Roman;sans-serif"/>
          <w:b w:val="false"/>
          <w:color w:val="000000"/>
          <w:sz w:val="24"/>
        </w:rPr>
        <w:t>. To the fullest extent permitted under applicable law, you agree that during employment and for a twelve (12) month period (24 month period, if you are a Section 16 Participant at the time of your termination or during the last twelve (12) months of your employment), following your termination of service (whether voluntary or involuntary) from the Company or any of its Affiliates, you will not, for yourself or any third party, directly or indirectly, solicit any of Company’s employees who hold a position uniquely essential to the management, organization, or service of the Company’s business to leave employment at Company. You agree that engaging in any of the following activities will be a violation of this Section: (a) soliciting for a hire or soliciting for retainer as an independent consultant or as contingent worker an employee of the Company; (b) participating in the recruitment of an employee of the Company; (c) serving as a reference for an employee of the Company; (d) offering an opinion regarding the candidacy as a potential employee, independent consultant, or contingent worker of an individual employed by the Company; (e) assisting or encouraging any third party to pursue an employee of the Company for potential employment, independent consulting, or contingent worker opportunities; and/or (f) assisting or encouraging an employee of the Company to leave his/her current position in order to be an employee, independent consultant, or contingent worker for a third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Customer Non-Solicitation</w:t>
      </w:r>
      <w:r>
        <w:rPr>
          <w:rFonts w:ascii="Times New Roman;sans-serif" w:hAnsi="Times New Roman;sans-serif"/>
          <w:b w:val="false"/>
          <w:color w:val="000000"/>
          <w:sz w:val="24"/>
        </w:rPr>
        <w:t xml:space="preserve">. To the fullest extent permitted under applicable law, you agree that during employment and for a twelve (12) month period (24 month period, if you are a Section 16 Participant at the time of your termination or during the last twelve (12) months of your employment), following your termination of service (whether voluntary or involuntary) from the Company or any of its Affiliates, you will not, for yourself or any third party, directly or indirectly, solicit, contact, call upon, or attempt to solicit or call upon, any customer or prospective customer of the Company for the purpose of selling products or performing services which are substantially similar in nature to, such that they actually compete with, the products or services you sold to or performed for customers on behalf of Company during the last twenty-four (24) months of your relationship with Company. This restriction shall apply only to any customer or prospective customer of Company with whom you had contact during the last twenty-four (24) months of your relationship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112"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or any customer or prospective customer of Company concerning which you obtained trade secrets, know-how, customer lists, customer contracts, customer needs, business strategies, marketing strategies, product development, proprietary information and confidential information concerning the business of the Company or its Affiliates. For purposes of this Section, “contact” means interaction between you and the customer or prospective customer which takes place to further a business relationship with, or perform services for, the customer or prospective customer. The prohibitions in this Section apply regardless who initiates the contact.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To the fullest extent permitted under applicable law, you agree that during employment and for a twelve (12) month period (24 month period, if you are a Section 16 Participant at the time of your termination of employment or during the last twelve (12) months of your employment), following your termination of service (whether voluntary or involuntary) from the Company or any of its Affiliates, you will not engage in competition with the Company in the geographical location where you were assigned to perform services for the Company during the last twenty-four (24) months of your relationship with the Company, or, if you performed services for the Company during that period which had an impact on the Company’s products and/or services across the world, then anywhere in the world. You acknowledge that the Company does business across the world. For purposes of this Section, “engage in competition” means entering into the employ of, or rendering any services to, a competitor of the Company, whether in the capacity of principal, agent, partner, officer, director, employee, consultant, independent contractor, or the like, where you are performing or rendering similar services to the services you performed within the last twenty-four (24) months of your relationship with Company. A “competitor of the Company” is any entity that offers products and/or services which are substantially similar in nature to, such that they actually compete with, the products or services you worked on or about which, during the last twenty-four (24) months of your relationship with Company, you learned trade secrets, know-how, customer lists, customer contracts, customer needs, business strategies, marketing strategies, product development, proprietary information and/or confidential information concerning the business of the Company or its Affiliates. Nothing in this Exhibit A prohibits you from purchasing or owning less than five percent (5%) of the publicly traded securities of any corporation, provided that your ownership represents a passive investment and that you are not a controlling person of, or a member of a group that controls, the corporation.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Restrictive Covenant Appendix</w:t>
      </w:r>
      <w:r>
        <w:rPr>
          <w:rFonts w:ascii="Times New Roman;sans-serif" w:hAnsi="Times New Roman;sans-serif"/>
          <w:b w:val="false"/>
          <w:color w:val="000000"/>
          <w:sz w:val="24"/>
        </w:rPr>
        <w:t>. You acknowledge and agree that different restrictive covenant obligations than those set forth in this Exhibit A may apply to you if you reside or work in certain jurisdictions. While you reside or work in such a jurisdiction, including on the final day of your employment, you agree that the restricted activities set forth in this Exhibit A shall be superseded only as set forth in the applicable Appendix attached hereto as Appendix 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xml:space="preserve">. You agree that you will not make disparaging remarks of any sort or otherwise communicate any disparaging comments to any other person or entity, about the Company and any of its divisions, subsidiaries, predecessors and successors, and any affiliated entities and persons, and all of their respective past and present employees, agents, insurers, officials, officers and directors.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Protected Activity Not Prohibited</w:t>
      </w:r>
      <w:r>
        <w:rPr>
          <w:rFonts w:ascii="Times New Roman;sans-serif" w:hAnsi="Times New Roman;sans-serif"/>
          <w:b w:val="false"/>
          <w:color w:val="000000"/>
          <w:sz w:val="24"/>
        </w:rPr>
        <w:t xml:space="preserve">. You understand that nothing in this Exhibit A shall in any way limit or prohibit you from engaging in any Protected Activity. For purposes of this Exhibit A, “Protected Activity” means disclosing Company confidential information or trade secrets if permitted by applicable state or federal laws, and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0520"/>
                <wp:effectExtent l="0" t="0" r="0" b="0"/>
                <wp:wrapNone/>
                <wp:docPr id="113" name="Frame1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Opportunity Commission, the Occupational Safety and Health Administration, and the National Labor Relations Board (“Government Agencies”); enforcing your Section 7 rights under the National Labor Relations Act, participating in Section 7 activity (including the right to communicate with former coworkers and/or third parties about terms and conditions of employment or labor disputes or otherwise cooperating through investigation, testimony or otherwise with the NLRB or any other administrative agency or court, when the communication is not so disloyal, reckless or maliciously untrue as to lose the protection of the law); and discussing or disclosing conduct that you reasonably believe to be illegal discrimination, illegal harassment, illegal retaliation, a wage and hour violation, or sexual assault, or that is recognized as against a clear mandate of public policy; or filing or disclosing any facts necessary to receive unemployment insurance, Medicaid, or other public benefits to which you may be entitled. You understand that in connection with such Protected Activity, you are permitted to disclose documents or other information as permitted by law, and without giving notice to, or receiving authorization from, Company. Notwithstanding, in making any such disclosures or communications, you agree to take all reasonable precautions to prevent any unauthorized use or disclosure of any information that may constitute Company confidential information or trade secrets to any parties other than the Government Agencies. You further understand that “Protected Activity” does not include the disclosure of any Company attorney-client privileged communications. In addition, you understand that under the U.S. Defend Trade Secrets Act of 2016, you will not be held criminally or civilly liable under any U.S. federal or state trade secret law for the disclosure of a trade secret that is made in confidence to government officials, either directly or indirectly, or to an attorney, in each case solely for the purpose of reporting or investigating a suspected violation of law, or in a complaint or other document filed in a lawsuit or other proceeding, provided such filing is made under seal.</w:t>
      </w:r>
    </w:p>
    <w:p>
      <w:pPr>
        <w:pStyle w:val="TextBody"/>
        <w:bidi w:val="0"/>
        <w:spacing w:lineRule="auto" w:line="240" w:before="0" w:after="240"/>
        <w:ind w:left="0" w:right="0" w:firstLine="63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Effect of Breach</w:t>
      </w:r>
      <w:r>
        <w:rPr>
          <w:rFonts w:ascii="Times New Roman;sans-serif" w:hAnsi="Times New Roman;sans-serif"/>
          <w:b w:val="false"/>
          <w:color w:val="000000"/>
          <w:sz w:val="24"/>
        </w:rPr>
        <w:t>. By accepting the RSU, you agree that in light of the award conferred to you under the Award Agreement, the narrow restrictive covenants imposed in this Exhibit A are reasonable and will not result in any hardship to you. Further, you acknowledge and agree that a breach of any obligation under this Exhibit A will result in irreparable injury to the Company and that such harm may not be compensable entirely with monetary damages. The Company reserves all rights to seek any and all remedies and damages permitted under law, including, but not limited to, injunctive relief, equitable relief and compensatory damages. In connection with any suit at law or in equity under this Exhibit A, the Company shall be entitled to an accounting, and to the repayment of all profits, compensation, commissions, fees, or other remuneration which you or any other entity or person has either directly or indirectly realized on its behalf or on behalf of another and/or may realize, as a result of, growing out of, or in connection with the violation which is the subject of the suit. Further, in the event of your breach of the above sections, you shall disgorge the value of all payments and benefits conferred to you by virtue of the Award Agreement, including, but not limited to, the cash or Shares awarded. In addition to the foregoing, the Company shall be entitled to collect from you any reasonable attorney’s fees and costs occurred in bringing any action against you or otherwise to enforce the terms of the Award Agreement and/or this Exhibit A.</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agree that while the restrictive covenants imposed under this Exhibit A are in effect, you will give written notice to the Company within ten days after accepting any other employment, position, or ownership interest with any entity that has operations which compete with the operations of any of the Company or its affiliates. Such written notice shall be delivered to the Company c/o Pentair General Counsel &amp; Secretary, Pentair plc, Suite 900, 5500 Wayzata Boulevard, Golden Valley, MN 55416, by hand or by certified mail.  You agree that the Company may notify such new employer, company or corporate entity that you are bound by this Exhibit A and, at the Company’s election, furnish such employer, company or corporate entity with a copy of this Exhibit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0520"/>
                <wp:effectExtent l="0" t="0" r="0" b="0"/>
                <wp:wrapNone/>
                <wp:docPr id="114" name="Frame1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APPENDIX A TO CONFIDENTIALITY, NON-COMPETITION, NON-SOLICITATION AND NON-DISPARAGEMENT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[STATE-SPECIFIC TERMS AND CONDITIONS]</w:t>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01040"/>
                <wp:effectExtent l="0" t="0" r="0" b="0"/>
                <wp:wrapNone/>
                <wp:docPr id="115" name="Frame11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 xml:space="preserve">EXHIBIT B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ADDENDUM TO PENTAIR 2020 SHARE AND INCENTIVE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RESTRICTED STOCK UNIT AWARD AGREEMENT</w:t>
      </w:r>
    </w:p>
    <w:p>
      <w:pPr>
        <w:pStyle w:val="TextBody"/>
        <w:bidi w:val="0"/>
        <w:spacing w:lineRule="auto" w:line="240"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[COUNTRY-SPECIFIC TERMS AND CONDITIONS]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10.23</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0520"/>
                <wp:effectExtent l="0" t="0" r="0" b="0"/>
                <wp:wrapNone/>
                <wp:docPr id="116" name="Frame1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PENTAIR PLC 2020 SHARE AND INCENTIVE PLAN</w: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KEY TALENT GRANT NOTICE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Pentair plc (the “Company”), pursuant to the Pentair plc 2020 Share and Incentive Plan (the “Plan”), hereby grants you Restricted Stock Units (“RSUs”) over the number of ordinary shares of the Company (“Shares”) set forth below. The RSUs are subject to all of the terms and conditions as set forth herein and in the attached Key Talent Award Agreement (the “Award Agreement”) and the Plan, both of which are incorporated herein in their entirety. Capitalized terms not otherwise defined in this Grant Notice or the Award Agreement shall have the meaning set forth in the Plan.</w:t>
      </w:r>
    </w:p>
    <w:p>
      <w:pPr>
        <w:pStyle w:val="TextBody"/>
        <w:bidi w:val="0"/>
        <w:spacing w:before="0" w:after="0"/>
        <w:jc w:val="both"/>
        <w:rPr/>
      </w:pPr>
      <w:r>
        <w:rPr/>
      </w:r>
    </w:p>
    <w:tbl>
      <w:tblPr>
        <w:tblW w:w="4151" w:type="dxa"/>
        <w:jc w:val="left"/>
        <w:tblInd w:w="0" w:type="dxa"/>
        <w:tblLayout w:type="fixed"/>
        <w:tblCellMar>
          <w:top w:w="28" w:type="dxa"/>
          <w:left w:w="28" w:type="dxa"/>
          <w:bottom w:w="28" w:type="dxa"/>
          <w:right w:w="28" w:type="dxa"/>
        </w:tblCellMar>
      </w:tblPr>
      <w:tblGrid>
        <w:gridCol w:w="1371"/>
        <w:gridCol w:w="1202"/>
        <w:gridCol w:w="1206"/>
        <w:gridCol w:w="109"/>
        <w:gridCol w:w="109"/>
        <w:gridCol w:w="154"/>
      </w:tblGrid>
      <w:tr>
        <w:trPr/>
        <w:tc>
          <w:tcPr>
            <w:tcW w:w="137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Participant: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4"/>
                <w:shd w:fill="FFFF00" w:val="clear"/>
              </w:rPr>
            </w:pPr>
            <w:r>
              <w:rPr>
                <w:rFonts w:ascii="Times New Roman;sans-serif" w:hAnsi="Times New Roman;sans-serif"/>
                <w:b w:val="false"/>
                <w:color w:val="000000"/>
                <w:sz w:val="24"/>
                <w:shd w:fill="FFFF00" w:val="clear"/>
              </w:rPr>
              <w:t>x</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Date of Grant: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4"/>
                <w:shd w:fill="FFFF00" w:val="clear"/>
              </w:rPr>
            </w:pPr>
            <w:r>
              <w:rPr>
                <w:rFonts w:ascii="Times New Roman;sans-serif" w:hAnsi="Times New Roman;sans-serif"/>
                <w:b w:val="false"/>
                <w:color w:val="000000"/>
                <w:sz w:val="24"/>
                <w:shd w:fill="FFFF00" w:val="clear"/>
              </w:rPr>
              <w:t>x</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Number of Shares Subject to RSUs: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4"/>
                <w:shd w:fill="FFFF00" w:val="clear"/>
              </w:rPr>
            </w:pPr>
            <w:r>
              <w:rPr>
                <w:rFonts w:ascii="Times New Roman;sans-serif" w:hAnsi="Times New Roman;sans-serif"/>
                <w:b w:val="false"/>
                <w:color w:val="000000"/>
                <w:sz w:val="24"/>
                <w:shd w:fill="FFFF00" w:val="clear"/>
              </w:rPr>
              <w:t>x</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Vesting Schedule: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4"/>
                <w:shd w:fill="FFFF00" w:val="clear"/>
              </w:rPr>
            </w:pPr>
            <w:r>
              <w:rPr>
                <w:rFonts w:ascii="Times New Roman;sans-serif" w:hAnsi="Times New Roman;sans-serif"/>
                <w:b w:val="false"/>
                <w:color w:val="000000"/>
                <w:sz w:val="24"/>
                <w:shd w:fill="FFFF00" w:val="clear"/>
              </w:rPr>
              <w:t>x</w:t>
            </w:r>
          </w:p>
        </w:tc>
      </w:tr>
    </w:tbl>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4"/>
        </w:rPr>
        <w:t>Unless you decline</w:t>
      </w:r>
      <w:r>
        <w:rPr>
          <w:color w:val="000000"/>
        </w:rPr>
        <w:t xml:space="preserve"> </w:t>
      </w:r>
      <w:r>
        <w:rPr>
          <w:rFonts w:ascii="Times New Roman;sans-serif" w:hAnsi="Times New Roman;sans-serif"/>
          <w:b/>
          <w:color w:val="000000"/>
          <w:sz w:val="24"/>
        </w:rPr>
        <w:t xml:space="preserve">the RSUs within 90 days following the Date of Grant through an electronic medium in accordance with procedures established by the Company, </w:t>
      </w:r>
      <w:r>
        <w:rPr>
          <w:rFonts w:ascii="Times New Roman;sans-serif" w:hAnsi="Times New Roman;sans-serif"/>
          <w:b w:val="false"/>
          <w:color w:val="000000"/>
          <w:sz w:val="24"/>
        </w:rPr>
        <w:t xml:space="preserve">you agree to be bound by all of the terms and conditions of the following: this Grant Notice, the Award Agreement, and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25780"/>
                <wp:effectExtent l="0" t="0" r="0" b="0"/>
                <wp:wrapNone/>
                <wp:docPr id="117" name="Frame11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 xml:space="preserve">PENTAIR 2020 SHARE AND INCENTIVE PLAN </w: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 xml:space="preserve">KEY TALENT AWARD AGREEMENT </w:t>
      </w:r>
    </w:p>
    <w:p>
      <w:pPr>
        <w:pStyle w:val="TextBody"/>
        <w:bidi w:val="0"/>
        <w:spacing w:before="0" w:after="120"/>
        <w:ind w:left="0" w:right="0" w:firstLine="72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notice of grant (the “Grant Notice”) and this Key Talent Award Agreement, including any exhibits hereto (collectively, this “Award Agreement”), Pentair plc (the “Company”) has awarded you with a Key Talent Grant in the form of Restricted Stock Units (“RSUs”) with respect to the number of ordinary shares of the Company (“Shares”) specified in the Grant Notice. Capitalized terms not defined in this Award Agreement but defined in the Pentair plc 2020 Share and Incentive Plan, as may be amended or restated from time to time (the “Plan”), shall have the same definitions as in the Plan. Unless you decline this Award Agreement within 90 days, you agree to be bound by all of the provisions contained in this Award Agreement and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Confidential Nature of Award</w:t>
      </w:r>
      <w:r>
        <w:rPr>
          <w:rFonts w:ascii="Times New Roman;sans-serif" w:hAnsi="Times New Roman;sans-serif"/>
          <w:b w:val="false"/>
          <w:color w:val="000000"/>
          <w:sz w:val="24"/>
        </w:rPr>
        <w:t xml:space="preserve">. By accepting this Key Talent Grant, you acknowledge and agree that the terms, amount, and existence of this award be strictly confidential. You further agree that if you disclose any information regarding this award to anyone, you will forfeit any unvested portion of this award and you will be required to restore to the Company any amount realized under this Award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Except as otherwise provided in the Plan or this Award Agreement, the RSUs will vest as provided in the Grant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Settlement of RSUs</w:t>
      </w:r>
      <w:r>
        <w:rPr>
          <w:rFonts w:ascii="Times New Roman;sans-serif" w:hAnsi="Times New Roman;sans-serif"/>
          <w:b w:val="false"/>
          <w:color w:val="000000"/>
          <w:sz w:val="24"/>
        </w:rPr>
        <w:t>. The Company shall deliver to you a whole number of Shares equal to the number of RSUs (if any) that vest pursuant to this Award Agreement, subject to withholding of any Tax-Related Items (as defined in Section 7 below) if required by applicable law. Such delivery shall take place as soon as administratively practicable following the vesting date, but in no event more than 30 days after the applicable vesting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you are resident or provide services outside of the United States, the Company, in its sole discretion, may provide for the settlement of the RSUs in the form of:</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 cash payment in an amount equal to the Fair Market Value of the Shares as of the vesting date that correspond to the number of vested RSUs to the extent that settlement in Shares (i) is prohibited under local law, (ii) would require you, the Company or any of its Affiliates to obtain the approval of any governmental or regulatory body in your country of residence (or country of employment, if different), (iii) would result in adverse tax consequences for you, the Company or any of its Affiliates or (iv) is administratively burdensome;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Shares, but require you to sell such Shares immediately or within a specified period following your termination of service (in which case, you hereby agree that the Company shall have the authority to issue sale instructions in relation to such Shares on your behalf).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No Fractional Shares</w:t>
      </w:r>
      <w:r>
        <w:rPr>
          <w:rFonts w:ascii="Times New Roman;sans-serif" w:hAnsi="Times New Roman;sans-serif"/>
          <w:b w:val="false"/>
          <w:color w:val="000000"/>
          <w:sz w:val="24"/>
        </w:rPr>
        <w:t xml:space="preserve">. Only whole Shares will be issuable pursuant to the RSUs; any fractional Share otherwise issuable under the RSUs will be rounded up to the nearest whole Share.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Effect of Termination of Service</w:t>
      </w:r>
      <w:r>
        <w:rPr>
          <w:rFonts w:ascii="Times New Roman;sans-serif" w:hAnsi="Times New Roman;sans-serif"/>
          <w:b w:val="false"/>
          <w:color w:val="000000"/>
          <w:sz w:val="24"/>
        </w:rPr>
        <w:t xml:space="preserve">. In the event of termination of your service with the Company or any of its Affiliates for any reason (whether voluntarily or involuntarily), all your unvested RSUs will be cancelled and forfeited, subject to the following exceptions: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01040"/>
                <wp:effectExtent l="0" t="0" r="0" b="0"/>
                <wp:wrapNone/>
                <wp:docPr id="118" name="Frame11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In the event of a Covered Termination (as defined in the Plan), your RSUs will become 100% vested at the time of termination.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If your employment with the Company or any of its Affiliates terminates due to death or Disability (as defined in the Plan), then a pro-rata portion of your award will vest at the time of your termination.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RSUs, your service will be considered terminated as of the date you cease active service with the Company or any of its Affiliates (regardless of the reason for such termination and whether or not later found to be invalid or in breach of employment laws in the jurisdiction where you provide services or the terms of your employment or service agreement, if any), and unless otherwise expressly provided in this Award Agreement or determined by the Company in its sole discretion, your right to vest in the RSUs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provide services or the terms of your employment or service agreement, if any). The Company shall have the exclusive discretion to determine when you have ceased active service for purposes of your RSU grant (including whether you may still be considered to be providing services while on a leave of absence).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Dividend Equivalent Units</w:t>
      </w:r>
      <w:r>
        <w:rPr>
          <w:rFonts w:ascii="Times New Roman;sans-serif" w:hAnsi="Times New Roman;sans-serif"/>
          <w:b w:val="false"/>
          <w:color w:val="000000"/>
          <w:sz w:val="24"/>
        </w:rPr>
        <w:t>. Any cash dividends paid with respect to record dates occurring from and after the Date of Grant until the date that the RSUs are settled will be automatically reinvested on the date the dividend is paid as additional RSUs that are subject to the same terms and conditions (including vesting and forfeiture provisions) as the underlying RSUs to which they relate.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You acknowledge that, regardless of any action taken by the Company</w:t>
      </w:r>
      <w:r>
        <w:rPr>
          <w:color w:val="000000"/>
        </w:rPr>
        <w:t xml:space="preserve"> </w:t>
      </w:r>
      <w:r>
        <w:rPr>
          <w:rFonts w:ascii="Times New Roman;sans-serif" w:hAnsi="Times New Roman;sans-serif"/>
          <w:b w:val="false"/>
          <w:color w:val="000000"/>
          <w:sz w:val="24"/>
        </w:rPr>
        <w:t>or, if different, the Affiliate that employs you (the “Employer”), the ultimate liability for all income tax, social insurance, payroll tax, fringe benefits tax, payment on account or other tax-related items related to your participation in the Plan and legally applicable to you or deemed by the Company or the Employer in their discretion to be an appropriate charge to you even if legally applicable to the Company or the Employer (“Tax-Related Items”), is and remains your responsibility and may exceed the amount actually withheld by the Company or the Employer, if any. You further acknowledge that the Company and/or the Employer (a)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or dividend equivalents; and (b) do not commit to and are under no obligation to structure the terms of the grant or any aspect of the RSUs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w:t>
      </w:r>
      <w:r>
        <w:rPr>
          <w:color w:val="000000"/>
        </w:rPr>
        <w:t xml:space="preserve"> </w:t>
      </w:r>
      <w:r>
        <w:rPr>
          <w:rFonts w:ascii="Times New Roman;sans-serif" w:hAnsi="Times New Roman;sans-serif"/>
          <w:b w:val="false"/>
          <w:color w:val="000000"/>
          <w:sz w:val="24"/>
        </w:rPr>
        <w:t>and/or the Employer (or former employer, as applicable) may be required to withhold or account for Tax-Related Items in more than one jurisdiction.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Prior to the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 (i) withholding from your wages or other cash compensation paid to you by the Company and/or the Employer; (ii) withholding from the proceeds of the sale of Shares acquired upon vesting of the RSUs either through a voluntary sale or through a mandatory sale arranged by the Company (on your behalf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119" name="Frame1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authorization without further consent); (iii) withholding from the Shares to be delivered upon settlement of the RSUs that number of Shares having a Fair Market Value equal to the amount required by law to be withheld; or (iv) permitting you to tender back to the Company a number of Shares delivered upon settlement of the RSUs or Shares previously owned by you having a Fair Market Value equal to the amount required by law to be withheld. For purposes of the foregoing, no fractional Share will be withheld or issued pursuant to the grant of the RSUs and the issuance of Shares hereunder. Notwithstanding the foregoing, if you are a Section 16 Participant, your withholding obligations shall be satisfied as described in clause (iii) above, unless the Committee approves another form of payment for such Tax-Related Items.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will receive a refund of any over-withheld amount from the relevant taxing authority in cash and will have no entitlement to the share equivalent. If the obligation for Tax-Related Items is satisfied by withholding from the Shares to be delivered upon vesting of the RSUs, for tax purposes, you are deemed to have been issued the full number of Shares subject to the vested RSUs, notwithstanding that a number of Shares are held back solely for the purpose of paying the Tax-Related Items.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Shares or proceeds from the sale of Shares until arrangements satisfactory to the Administrator have been made in connection with the Tax-Related Items. You will have no further rights with respect to any Shares that are retained by the Company pursuant to this provision.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Recoupment</w:t>
      </w:r>
      <w:r>
        <w:rPr>
          <w:rFonts w:ascii="Times New Roman;sans-serif" w:hAnsi="Times New Roman;sans-serif"/>
          <w:b w:val="false"/>
          <w:color w:val="000000"/>
          <w:sz w:val="24"/>
        </w:rPr>
        <w:t>. The RSUs (and any compensation paid or Shares issued under the RSUs) are subject to recoupment in accordance with the Dodd-Frank Wall Street Reform and Consumer Protection Act and any implementing regulations thereunder, any clawback policy adopted by the Company and any compensation recovery policy or practice otherwise required by applicable law. The Company shall have the right to offset against any other amounts due from the Company to you the amount owed by you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Confidentiality, Non-Competition, Non-Solicitation and Non-Disparagement</w:t>
      </w:r>
      <w:r>
        <w:rPr>
          <w:rFonts w:ascii="Times New Roman;sans-serif" w:hAnsi="Times New Roman;sans-serif"/>
          <w:b w:val="false"/>
          <w:color w:val="000000"/>
          <w:sz w:val="24"/>
        </w:rPr>
        <w:t>. As a condition to the receipt of the RSUs, you expressly agree to the terms and conditions in the Confidentiality, Non-Competition, Non-Solicitation and Non-Disparagement Agreement attached hereto as Exhibit A. In addition to any remedies available to the Company under the first paragraph and Section 6 of Exhibit A, any violation of the terms and conditions of Exhibit A will result in a rescission of the RSUs made under this Award Agreement and a forfeiture of rights you have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Securities Law Compliance</w:t>
      </w:r>
      <w:r>
        <w:rPr>
          <w:rFonts w:ascii="Times New Roman;sans-serif" w:hAnsi="Times New Roman;sans-serif"/>
          <w:b w:val="false"/>
          <w:color w:val="000000"/>
          <w:sz w:val="24"/>
        </w:rPr>
        <w:t>. The grant of the RSUs and the issuance of Shares are subject to all applicable laws, rules and regulations and to such approvals by any governmental agencies or securities exchange as may be required. Notwithstanding any provision of this Award Agreement or the Plan, the Company has no liability to deliver any Shares under the Plan or make any payment unless such delivery or payment would comply with all laws and the applicable requirements of any governmental agency, securities exchange or similar entity, and unless and until you have taken all actions required by the Company in connection with the RSUs. The Company may impose such restrictions on any Shares issued under the Plan as the Company determines necessary or desirable to comply with all applicable laws, rules and regulations or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0520"/>
                <wp:effectExtent l="0" t="0" r="0" b="0"/>
                <wp:wrapNone/>
                <wp:docPr id="120" name="Frame1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xml:space="preserve">. The RSUs shall not be transferable in any manner (including without limitation, sale, alienation, anticipation, pledge, encumbrance, or assignment) other than transfer by will or by the laws of descent and distribution, unless otherwise determined by the Committee in accordance with the terms of the Plan. All rights with respect to the RSUs shall be exercisable during your lifetime only by you or your guardian or legal representative or permitted transferee.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Shareholder Rights</w:t>
      </w:r>
      <w:r>
        <w:rPr>
          <w:rFonts w:ascii="Times New Roman;sans-serif" w:hAnsi="Times New Roman;sans-serif"/>
          <w:b w:val="false"/>
          <w:color w:val="000000"/>
          <w:sz w:val="24"/>
        </w:rPr>
        <w:t xml:space="preserve">. You shall not have any voting rights or any other rights and privileges of a shareholder of the Company unless and until Shares (if any) are issued upon settlement of the RSUs. Prior to actual payment of any RSUs, such RSUs will represent an unsecured obligation of the Company, payable (if at all) only from the general assets of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Insider Trading and/or Market Abuse</w:t>
      </w:r>
      <w:r>
        <w:rPr>
          <w:rFonts w:ascii="Times New Roman;sans-serif" w:hAnsi="Times New Roman;sans-serif"/>
          <w:b w:val="false"/>
          <w:color w:val="000000"/>
          <w:sz w:val="24"/>
        </w:rPr>
        <w:t>.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which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You understand that third parties include fellow employees. Any restriction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Code Section 409A</w:t>
      </w:r>
      <w:r>
        <w:rPr>
          <w:rFonts w:ascii="Times New Roman;sans-serif" w:hAnsi="Times New Roman;sans-serif"/>
          <w:b w:val="false"/>
          <w:color w:val="000000"/>
          <w:sz w:val="24"/>
        </w:rPr>
        <w:t>. For U.S. taxpayers, it is the intent that the RSUs as set forth in this Award Agreement shall qualify for exemption from or comply with the requirements of Section 409A of the Code, and any ambiguities herein will be interpreted to so qualify or comply. Notwithstanding the foregoing, if it is determined that the RSUs fail to satisfy the requirements of the short-term deferral period exemption and are otherwise deferred compensation subject to Section 409A of the Code, and if you are a “specified employee” as of the date of your “separation from service” (as those terms are defined in the Plan or Section 409A of the Code), then the issuance of any Shares that would otherwise be made upon the date of your separation from service or within the first six (6) months thereafter will not be made on the originally scheduled date and will instead be issued in a lump sum on the date that is six (6) months and one day after the date of your separation from service, but only if such delay in the issuance of the Shares is necessary to avoid the imposition of additional taxation on you in respect of the Shares under Section 409A of the Code. The Company reserves the right, to the extent the Company deems necessary or advisable in its sole discretion, to unilaterally amend or modify this Award Agreement as may be necessary to ensure that all payments provided for under this Award Agreement are made in a manner that qualifies for exemption from or complies with Section 409A of the Code; provided, however, that the Company makes no representation that the grant, vesting, or settlement of RSUs provided for under this Award Agreement will be exempt from or comply with Section 409A of the Code and makes no undertaking to preclude Section 409A of the Code from applying to the grant, vesting or settlement of RSUs provided for under this Award Agreement. The Company will have no liability to you or any other party if the RSUs, the delivery of Shares upon settlement of the RSUs or other payment hereunder that is intended to be exempt from, or compliant with, Section 409A of the Code, is not so exempt or compliant or for any action taken by the Company with respect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21" name="Frame1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Electronic Delivery and Acceptance</w:t>
      </w:r>
      <w:r>
        <w:rPr>
          <w:rFonts w:ascii="Times New Roman;sans-serif" w:hAnsi="Times New Roman;sans-serif"/>
          <w:b w:val="false"/>
          <w:color w:val="000000"/>
          <w:sz w:val="24"/>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You also agree that all online acknowledgements shall have the same force and effect as a written signature.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In accepting the RSUs, you acknowledge and agree 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Plan is established voluntarily by the Company, it is discretionary in nature and it may be modified, amended, suspended or terminated by the Company, in its sole discretion, at any time (subject to any limitations set forth in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grant of RSUs is voluntary and occasional and does not create any contractual or other right to receive future grants of RSUs, or benefits in lieu of RSUs, even if RSUs or other awards have been granted in the past;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all decisions with respect to future awards, if any, will be at the sole discretion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your participation in the Plan is voluntary;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RSUs and your participation in the Plan shall not create a right to employment or be interpreted as forming an employment or service contract with the Company or any of its Affiliates and shall not interfere with the ability of the Company, any of its Affiliates or the Employer, as applicable, to terminate your employment or service relationship (as otherwise may be permitted under local law);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the RSUs and the Shares, and the income and value of the same, subject to the RSUs are not intended to replace any pension rights or compensation;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RSUs and any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for the Company, the Employer or any Affiliate;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 future value of the underlying Shares is unknown, indeterminable, and cannot be predicted with certainty;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no claim or entitlement to compensation or damages shall arise from forfeiture of the RSUs resulting from termination of your service (for any reason whatsoever and whether or not in breach of local labor laws or later found invalid), and in consideration of the grant of the RSUs to which you are otherwise not entitled, you irrevocably agree never to institute any claim against the Company, any of its Affiliates, or the Employer, waive your ability, if any, to bring any such claim, and release the Company, its Affiliates and the Employer, from any such claim;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the RSUs and the benefits evidenced by this Award Agreement do not create any entitlement not otherwise specifically provided for in the Plan or provided by the Company in its discretion, to have the RSUs or any such benefits transferred to, or assumed by, another company, nor to be exchanged, cashed out or substituted for, in connection with any corporate transaction affecting the Shares; and</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22"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 xml:space="preserve">if you are employed or providing services outside of the United States, neither the Company nor any of its Affiliates shall be liable for any foreign exchange rate fluctuation between your local currency and the U.S. dollar that may affect the value of the RSUs or any amounts due to you pursuant to the settlement of the RSUs or the subsequent sale of any Shares acquired upon settlement of the RSUs.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i/>
          <w:color w:val="000000"/>
          <w:sz w:val="24"/>
          <w:u w:val="single"/>
        </w:rPr>
        <w:t>Data Privacy</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You hereby explicitly and unambiguously consent to the collection, use and transfer, in electronic or other form, of your personal data as described in this Award Agreement, the Grant Notice and any other RSU grant materials by and among, as necessary and applicable, the Company or any of its Affiliates, for the exclusive purpose of implementing, administering and managing your participation in the Plan. If there is a conflict between this Section 17 and the Company’s existing policies and/or data protection charters, the terms of this Section 17 will prevail with respect to issues related to the RSUs and the Plan.</w:t>
      </w:r>
    </w:p>
    <w:p>
      <w:pPr>
        <w:pStyle w:val="TextBody"/>
        <w:bidi w:val="0"/>
        <w:spacing w:lineRule="auto" w:line="240" w:before="0" w:after="24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You understand that the Company and/or the Employer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exercised, vested, unvested or outstanding in your favor (“Data”), for the purpose of implementing, administering and managing the Plan.</w:t>
      </w:r>
    </w:p>
    <w:p>
      <w:pPr>
        <w:pStyle w:val="TextBody"/>
        <w:bidi w:val="0"/>
        <w:spacing w:lineRule="auto" w:line="240" w:before="0" w:after="0"/>
        <w:ind w:left="0" w:right="0" w:firstLine="720"/>
        <w:jc w:val="both"/>
        <w:rPr/>
      </w:pPr>
      <w:r>
        <w:rPr>
          <w:rFonts w:ascii="Times New Roman;sans-serif" w:hAnsi="Times New Roman;sans-serif"/>
          <w:b w:val="false"/>
          <w:i/>
          <w:color w:val="000000"/>
          <w:sz w:val="24"/>
        </w:rPr>
        <w:t>You understand that Data will be transferred to Fidelity Stock Plan Services or such other share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w:t>
      </w:r>
      <w:r>
        <w:rPr>
          <w:rFonts w:ascii="Times New Roman;sans-serif" w:hAnsi="Times New Roman;sans-serif"/>
          <w:b w:val="false"/>
          <w:color w:val="000000"/>
          <w:sz w:val="24"/>
        </w:rPr>
        <w:t>e.g.</w:t>
      </w:r>
      <w:r>
        <w:rPr>
          <w:rFonts w:ascii="Times New Roman;sans-serif" w:hAnsi="Times New Roman;sans-serif"/>
          <w:b w:val="false"/>
          <w:i/>
          <w:color w:val="000000"/>
          <w:sz w:val="24"/>
        </w:rPr>
        <w:t xml:space="preserve">,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Fidelity Stock Plan Services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If you are employed outside the United States,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service status and career will not be affected; the only consequence of refusing or withdrawing your consent is that the Company would not be able to grant you RSUs or other equity awards or administer or maintain such awards. Therefore, you understand that refusing or withdrawing your consent may affect your ability to participate in the Plan.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For more information on the consequences of your refusal to consent or withdrawal of consent, you understand that you may contact your local human resources representative.</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Finally, upon request of the Company or the Employer, you agree to provide an executed data privacy consent form to the Company and/or the Employer (or any other agreements or consents that may be required by the Company and/or the Employer) that the Company and/or the Employer may deem necessary to obtain from you for the purpose of administering your participation in the Plan in compliance with the data privacy laws in your country, either now or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3"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in the future. You understand and agree that you will not be able to participate in the Plan if you fail to provide any such consent or agreement requested by the Company and/or the Employer.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Not a Public Offering</w:t>
      </w:r>
      <w:r>
        <w:rPr>
          <w:rFonts w:ascii="Times New Roman;sans-serif" w:hAnsi="Times New Roman;sans-serif"/>
          <w:b w:val="false"/>
          <w:color w:val="000000"/>
          <w:sz w:val="24"/>
        </w:rPr>
        <w:t xml:space="preserve">. If you are a resident outside of the United States, the grant of the RSUs is not intended to be a public offering of securities in your country of residence (or country of service, if different). The Company has not submitted any registration statement, prospectus or other filings with the local securities authorities (unless otherwise required under local law), and the grant of the RSUs is not subject to the supervision of the local securities authorities.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If you are resident in a country where English is not an official language, you acknowledge and agree that it is your express intent that this Award Agreement and the Plan and all other documents, notices and legal proceedings entered into, given or instituted pursuant to the RSUs be drawn up in English. If you have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Repatriation; Compliance with Law</w:t>
      </w:r>
      <w:r>
        <w:rPr>
          <w:rFonts w:ascii="Times New Roman;sans-serif" w:hAnsi="Times New Roman;sans-serif"/>
          <w:b w:val="false"/>
          <w:color w:val="000000"/>
          <w:sz w:val="24"/>
        </w:rPr>
        <w:t>. If you are resident or provide services outside the United States, you agree to repatriate all payments attributable to Shares and/or cash acquired under the Plan in accordance with applicable foreign exchange rules and regulations in your country of residence (and country of service, if different). In addition, you agree to take any and all actions, and consent to any and all actions taken by the Company and its Affiliates, as may be required to allow the Company and its Affiliates to comply with local laws, rules and/or regulations in your country of residence (and country of service, if different). Finally, you agree to take any and all actions as may be required to comply with your personal obligations under local laws, rules and/or regulations in your country of residence and country of service, if different).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Addendum</w:t>
      </w:r>
      <w:r>
        <w:rPr>
          <w:rFonts w:ascii="Times New Roman;sans-serif" w:hAnsi="Times New Roman;sans-serif"/>
          <w:b w:val="false"/>
          <w:color w:val="000000"/>
          <w:sz w:val="24"/>
        </w:rPr>
        <w:t>. Notwithstanding any provisions in this Award Agreement, the RSUs shall be subject to any special terms and conditions set forth in the Addendum to this Award Agreement, as set forth in Exhibit B. Moreover, if you transfer to one of the countries included in such Addendum, the special terms and conditions for such country will apply to you, to the extent the Company determines that the application of such terms and conditions is necessary or advisable to comply with local law or facilitate the administration of the Plan (or the Company may establish alternative terms and conditions as may be necessary or advisable to accommodate your transfer). The Addendum constitutes part of this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xml:space="preserve">. The Company reserves the right to impose other requirements on your participation in the Plan, on the RSUs,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Any notices provided for in the Grant Notice, this Award Agreement or the Plan shall be given in writing (including electronically) and shall be deemed effectively given upon receipt or, in the case of notices delivered via post by the Company to you, five (5) days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4"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after deposit in the mail, postage prepaid, addressed to you at the last address you provided to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Governing Plan Document and Integration</w:t>
      </w:r>
      <w:r>
        <w:rPr>
          <w:rFonts w:ascii="Times New Roman;sans-serif" w:hAnsi="Times New Roman;sans-serif"/>
          <w:b w:val="false"/>
          <w:color w:val="000000"/>
          <w:sz w:val="24"/>
        </w:rPr>
        <w:t>. The RSUs are subject to the Grant Notice, this Award Agreement and all the provisions of the Plan, the provisions of which are hereby made a part of this Award Agreement, and is further subject to all interpretations, amendments, rules and regulations which may from time to time be promulgated and adopted pursuant to the Plan. In the event of any conflict between the provisions of the Grant Notice, this Award Agreement and those of the Plan, the provisions of the Plan shall control. This Award Agreement, including without limitation the Confidentiality, Non-Competition, Non-Solicitation and Non-Disparagement Agreement attached hereto as Exhibit A, contains the entire agreement between the parties regarding the matters covered within it; provided, however, that if the parties previously or contemporaneously entered into a separate written agreement containing confidentiality, non-disclosure, non-solicitation, and/or non-competition provisions, the provisions of the previously- or contemporaneously-executed agreement shall be read together with the provisions of this Award Agreement to afford the Company the greatest protections allowed by applicable law. By accepting the RSUs, you confirm that you have read and understood the Award Agreement, the Plan, the Plan prospectus and related information provided to you and that you accept the terms of those documents accordingly.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Administrator Authority</w:t>
      </w:r>
      <w:r>
        <w:rPr>
          <w:rFonts w:ascii="Times New Roman;sans-serif" w:hAnsi="Times New Roman;sans-serif"/>
          <w:b w:val="false"/>
          <w:color w:val="000000"/>
          <w:sz w:val="24"/>
        </w:rPr>
        <w:t>. You expressly understand that the Administrator is authorized to administer, construe, and make all determinations necessary or appropriate for the administration of the Award Agreement and the Plan, and that any interpretation or determination made by the Administrator under the Award Agreement or the Plan, will be final, binding and conclusive.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The RSUs and the provisions of this Award Agreement (but excluding the Confidentiality, Non-Competition, Non-Solicitation and Non-Disparagement Agreement attached hereto as Exhibit A) are governed by, and subject to, the laws of the state of Delaware, U.S.A. without regard to the conflict of law provisions. The provisions of the Confidentiality, Non-Competition, Non-Solicitation and Non-Disparagement Agreement attached hereto as Exhibit A are governed by, and subject to, the laws of the state of Minnesota, U.S.A. without regard to the conflict of law provisions. For purposes of any action, lawsuit or other proceedings brought to enforce this Award Agreement including without limitation the Confidentiality, Non-Competition, Non-Solicitation and Non-Disparagement Agreement attached hereto as Exhibit A, relating to it, or arising from it, the parties hereby submit to and consent to the sole and exclusive jurisdiction of the United States District Court for the District of Minnesota or any of the courts of the state of Minnesota, U.S.A., and waive any objections to such venue.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this Section, you acknowledge and agree that different governing law and venue provisions than those set forth in this Section with respect to the Confidentiality, Non-Competition, Non-Solicitation and Non-Disparagement Agreement may apply to you if you reside or work in certain jurisdictions. While you reside or work in such a jurisdiction, including on the final day of your employment, you agree that the governing law and venue provision set forth in this Section with respect to the Confidentiality, Non-Competition, Non-Solicitation and Non-Disparagement Agreement shall be superseded only as set forth in the applicable Appendix attached as Appendix A to the Confidentiality, Non-Competition, Non-Solicitation and Non-Disparagement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28.</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Award Agreement is held to be unenforceable for any reason, it shall be adjusted rather than voided, if possible, in order to achieve the intent of the parties to the extent possible. In any event, all other provisions of this Award Agreement shall be deemed valid and enforceable to the full extent possible.</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5"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29.</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waiver by the Company with respect to your (or any other Participant’s) compliance of any provision of this Award Agreement shall not operate or be construed as a waiver of any other provision of this Award Agreement, or of any subsequent breach by such party of a provision of this Award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0520"/>
                <wp:effectExtent l="0" t="0" r="0" b="0"/>
                <wp:wrapNone/>
                <wp:docPr id="126" name="Frame1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 xml:space="preserve">CONFIDENTIALITY, NON-COMPETITION, </w:t>
        <w:br/>
        <w:t>NON-SOLICITATION AND NON-DISPARAGEMENT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 result of your intimate familiarity with trade secrets, business strategies, marketing strategies, product development, proprietary and confidential information of the Company, the Award Agreement is subject to the restrictions set forth below in this Confidentiality, Non-Competition, Non-Solicitation and Non-Disparagement Agreement (the “Exhibit A”). Any violation of these provisions will result in a rescission of the RSU made under the Award Agreement and a forfeiture of any rights you have with respect thereto, as well as the remedies that are described in Section 6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You agree that you will treat during your employment and thereafter, as private and privileged, any information, data, figures, projections, estimates, marketing plans, customer lists, lists of contract workers, tax records, personnel records, accounting procedures, formulas, contracts, business partners, alliances, ventures and all other confidential information you acquire while working for the Company or any of its Affiliates. You agree that you will not release any such information to any person, firm, corporation or other entity at any time, except as may be required by law, or as agreed to in writing by the Company. You acknowledge that any violation of this non-disclosure provision shall entitle the Company to appropriate injunctive relief and to any damages which it may sustain due to the improper disclosure.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Employee Non-Solicitation</w:t>
      </w:r>
      <w:r>
        <w:rPr>
          <w:rFonts w:ascii="Times New Roman;sans-serif" w:hAnsi="Times New Roman;sans-serif"/>
          <w:b w:val="false"/>
          <w:color w:val="000000"/>
          <w:sz w:val="24"/>
        </w:rPr>
        <w:t>. To the fullest extent permitted under applicable law, you agree that during employment and for a twelve (12) month period (24 month period, if you are a Section 16 Participant at the time of your termination or during the last twelve (12) months of your employment), following your termination of service (whether voluntary or involuntary) from the Company or any of its Affiliates, you will not, for yourself or any third party, directly or indirectly, solicit any of Company’s employees who hold a position uniquely essential to the management, organization, or service of the Company’s business to leave employment at Company. You agree that engaging in any of the following activities will be a violation of this Section: (a) soliciting for a hire or soliciting for retainer as an independent consultant or as contingent worker an employee of the Company; (b) participating in the recruitment of an employee of the Company; (c) serving as a reference for an employee of the Company; (d) offering an opinion regarding the candidacy as a potential employee, independent consultant, or contingent worker of an individual employed by the Company; (e) assisting or encouraging any third party to pursue an employee of the Company for potential employment, independent consulting, or contingent worker opportunities; and/or (f) assisting or encouraging an employee of the Company to leave his/her current position in order to be an employee, independent consultant, or contingent worker for a third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Customer Non-Solicitation</w:t>
      </w:r>
      <w:r>
        <w:rPr>
          <w:rFonts w:ascii="Times New Roman;sans-serif" w:hAnsi="Times New Roman;sans-serif"/>
          <w:b w:val="false"/>
          <w:color w:val="000000"/>
          <w:sz w:val="24"/>
        </w:rPr>
        <w:t xml:space="preserve">. To the fullest extent permitted under applicable law, you agree that during employment and for a twelve (12) month period (24 month period, if you are a Section 16 Participant at the time of your termination or during the last twelve (12) months of your employment), following your termination of service (whether voluntary or involuntary) from the Company or any of its Affiliates, you will not, for yourself or any third party, directly or indirectly, solicit, contact, call upon, or attempt to solicit or call upon, any customer or prospective customer of the Company for the purpose of selling products or performing services which are substantially similar in nature to, such that they actually compete with, the products or services you sold to or performed for customers on behalf of Company during the last twenty-four (24) months of your relationship with Company. This restriction shall apply only to any customer or prospective customer of Company with whom you had contact during the last twenty-four (24) months of your relationship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01040"/>
                <wp:effectExtent l="0" t="0" r="0" b="0"/>
                <wp:wrapNone/>
                <wp:docPr id="127" name="Frame12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or any customer or prospective customer of Company concerning which you obtained trade secrets, know-how, customer lists, customer contracts, customer needs, business strategies, marketing strategies, product development, proprietary information and confidential information concerning the business of the Company or its Affiliates. For purposes of this Section, “contact” means interaction between you and the customer or prospective customer which takes place to further a business relationship with, or perform services for, the customer or prospective customer. The prohibitions in this Section apply regardless who initiates the contact.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To the fullest extent permitted under applicable law, you agree that during employment and for a twelve (12) month period (24 month period, if you are a Section 16 Participant at the time of your termination of employment or during the last twelve (12) months of your employment), following your termination of service (whether voluntary or involuntary) from the Company or any of its Affiliates, you will not engage in competition with the Company in the geographical location where you were assigned to perform services for the Company during the last twenty-four (24) months of your relationship with the Company, or, if you performed services for the Company during that period which had an impact on the Company’s products and/or services across the world, then anywhere in the world. You acknowledge that the Company does business across the world. For purposes of this Section, “engage in competition” means entering into the employ of, or rendering any services to, a competitor of the Company, whether in the capacity of principal, agent, partner, officer, director, employee, consultant, independent contractor, or the like, where you are performing or rendering similar services to the services you performed within the last twenty-four (24) months of your relationship with Company. A “competitor of the Company” is any entity that offers products and/or services which are substantially similar in nature to, such that they actually compete with, the products or services you worked on or about which, during the last twenty-four (24) months of your relationship with Company, you learned trade secrets, know-how, customer lists, customer contracts, customer needs, business strategies, marketing strategies, product development, proprietary information and/or confidential information concerning the business of the Company or its Affiliates. Nothing in this Exhibit A prohibits you from purchasing or owning less than five percent (5%) of the publicly traded securities of any corporation, provided that your ownership represents a passive investment and that you are not a controlling person of, or a member of a group that controls, the corporation.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Restrictive Covenant Appendix</w:t>
      </w:r>
      <w:r>
        <w:rPr>
          <w:rFonts w:ascii="Times New Roman;sans-serif" w:hAnsi="Times New Roman;sans-serif"/>
          <w:b w:val="false"/>
          <w:color w:val="000000"/>
          <w:sz w:val="24"/>
        </w:rPr>
        <w:t>. You acknowledge and agree that different restrictive covenant obligations than those set forth in this Exhibit A may apply to you if you reside or work in certain jurisdictions. While you reside or work in such a jurisdiction, including on the final day of your employment, you agree that the restricted activities set forth in this Exhibit A shall be superseded only as set forth in the applicable Appendix attached hereto as Appendix 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xml:space="preserve">. You agree that you will not make disparaging remarks of any sort or otherwise communicate any disparaging comments to any other person or entity, about the Company and any of its divisions, subsidiaries, predecessors and successors, and any affiliated entities and persons, and all of their respective past and present employees, agents, insurers, officials, officers and directors.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Protected Activity Not Prohibited</w:t>
      </w:r>
      <w:r>
        <w:rPr>
          <w:rFonts w:ascii="Times New Roman;sans-serif" w:hAnsi="Times New Roman;sans-serif"/>
          <w:b w:val="false"/>
          <w:color w:val="000000"/>
          <w:sz w:val="24"/>
        </w:rPr>
        <w:t xml:space="preserve">. You understand that nothing in this Exhibit A shall in any way limit or prohibit you from engaging in any Protected Activity. For purposes of this Exhibit A, “Protected Activity” means disclosing Company confidential information or trade secrets if permitted by applicable state or federal laws, and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8" name="Frame1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Opportunity Commission, the Occupational Safety and Health Administration, and the National Labor Relations Board (“Government Agencies”); enforcing your Section 7 rights under the National Labor Relations Act, participating in Section 7 activity (including the right to communicate with former coworkers and/or third parties about terms and conditions of employment or labor disputes or otherwise cooperating through investigation, testimony or otherwise with the NLRB or any other administrative agency or court, when the communication is not so disloyal, reckless or maliciously untrue as to lose the protection of the law); and discussing or disclosing conduct that you reasonably believe to be illegal discrimination, illegal harassment, illegal retaliation, a wage and hour violation, or sexual assault, or that is recognized as against a clear mandate of public policy; or filing or disclosing any facts necessary to receive unemployment insurance, Medicaid, or other public benefits to which you may be entitled. You understand that in connection with such Protected Activity, you are permitted to disclose documents or other information as permitted by law, and without giving notice to, or receiving authorization from, Company. Notwithstanding, in making any such disclosures or communications, you agree to take all reasonable precautions to prevent any unauthorized use or disclosure of any information that may constitute Company confidential information or trade secrets to any parties other than the Government Agencies. You further understand that “Protected Activity” does not include the disclosure of any Company attorney-client privileged communications. In addition, you understand that under the U.S. Defend Trade Secrets Act of 2016, you will not be held criminally or civilly liable under any U.S. federal or state trade secret law for the disclosure of a trade secret that is made in confidence to government officials, either directly or indirectly, or to an attorney, in each case solely for the purpose of reporting or investigating a suspected violation of law, or in a complaint or other document filed in a lawsuit or other proceeding, provided such filing is made under seal.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Effect of Breach</w:t>
      </w:r>
      <w:r>
        <w:rPr>
          <w:rFonts w:ascii="Times New Roman;sans-serif" w:hAnsi="Times New Roman;sans-serif"/>
          <w:b w:val="false"/>
          <w:color w:val="000000"/>
          <w:sz w:val="24"/>
        </w:rPr>
        <w:t>. By accepting the RSU, you agree that in light of the award conferred to you under the Award Agreement, the narrow restrictive covenants imposed in this Exhibit A are reasonable and will not result in any hardship to you. Further, you acknowledge and agree that a breach of any obligation under this Exhibit A will result in irreparable injury to the Company and that such harm may not be compensable entirely with monetary damages. The Company reserves all rights to seek any and all remedies and damages permitted under law, including, but not limited to, injunctive relief, equitable relief and compensatory damages. In connection with any suit at law or in equity under this Exhibit A, the Company shall be entitled to an accounting, and to the repayment of all profits, compensation, commissions, fees, or other remuneration which you or any other entity or person has either directly or indirectly realized on its behalf or on behalf of another and/or may realize, as a result of, growing out of, or in connection with the violation which is the subject of the suit. Further, in the event of your breach of the above sections, you shall disgorge the value of all payments and benefits conferred to you by virtue of the Award Agreement, including, but not limited to, the cash or Shares awarded. In addition to the foregoing, the Company shall be entitled to collect from you any reasonable attorney’s fees and costs occurred in bringing any action against you or otherwise to enforce the terms of the Award Agreement and/or this Exhibit A.</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agree that while the restrictive covenants imposed under this Exhibit A are in effect, you will give written notice to the Company within ten days after accepting any other employment, position, or ownership interest with any entity that has operations which compete with the operations of any of the Company or its affiliates. Such written notice shall be delivered to the Company c/o Pentair General Counsel &amp; Secretary, Pentair plc, Suite 900, 5500 Wayzata Boulevard, Golden Valley, MN 55416, by hand or by certified mail.  You agree that the Company may notify such new employer, company or corporate entity that you are bound by this Exhibit A and, at the Company’s election, furnish such employer, company or corporate entity with a copy of this Exhibit A.</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29"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APPENDIX A TO CONFIDENTIALITY, NON-COMPETITION, NON-SOLICITATION AND NON-DISPARAGEMENT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[STATE-SPECIFIC TERMS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0520"/>
                <wp:effectExtent l="0" t="0" r="0" b="0"/>
                <wp:wrapNone/>
                <wp:docPr id="130"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 xml:space="preserve">EXHIBIT B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ADDENDUM TO PENTAIR 2020 SHARE AND INCENTIVE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KEY TALENT AWARD AGREEMENT</w:t>
      </w:r>
    </w:p>
    <w:p>
      <w:pPr>
        <w:pStyle w:val="TextBody"/>
        <w:bidi w:val="0"/>
        <w:spacing w:lineRule="auto" w:line="240"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[COUNTRY-SPECIFIC TERMS AND CONDITIONS]</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10.24</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01040"/>
                <wp:effectExtent l="0" t="0" r="0" b="0"/>
                <wp:wrapNone/>
                <wp:docPr id="131" name="Frame12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 xml:space="preserve">PENTAIR PLC 2020 SHARE AND INCENTIVE PLAN </w:t>
      </w:r>
    </w:p>
    <w:p>
      <w:pPr>
        <w:pStyle w:val="TextBody"/>
        <w:bidi w:val="0"/>
        <w:spacing w:lineRule="auto" w:line="240" w:before="0" w:after="12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STOCK OPTION GRANT NOTICE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Pentair plc (the “Company”), pursuant to the Pentair plc 2020 Share Incentive Plan (the “Plan”), hereby grants you an option to purchase (“Option”) the number of ordinary shares of the Company (“Shares”) set forth below. If you are a U.S. taxpayer and the Option is designated as an Incentive Stock Option below, the Option is intended to qualify as an “incentive stock option” within the meaning of Section 422 of the Internal Revenue Code of 1986, as amended. The Option is subject to all of the terms and conditions as set forth herein and in the attached Stock Option Award Agreement (the “Award Agreement”) and the Plan, both of which are incorporated herein in their entirety. Capitalized terms not otherwise defined in this Grant Notice or the Award Agreement shall have the meaning set forth in the Plan.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4"/>
        <w:gridCol w:w="722"/>
        <w:gridCol w:w="725"/>
        <w:gridCol w:w="2320"/>
        <w:gridCol w:w="2320"/>
        <w:gridCol w:w="3294"/>
      </w:tblGrid>
      <w:tr>
        <w:trPr/>
        <w:tc>
          <w:tcPr>
            <w:tcW w:w="82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Participant:</w:t>
            </w:r>
          </w:p>
        </w:tc>
        <w:tc>
          <w:tcPr>
            <w:tcW w:w="7934"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Date of Grant:</w:t>
            </w:r>
          </w:p>
        </w:tc>
        <w:tc>
          <w:tcPr>
            <w:tcW w:w="7934"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Number of Shares Subject to Option:</w:t>
            </w:r>
          </w:p>
        </w:tc>
        <w:tc>
          <w:tcPr>
            <w:tcW w:w="7934"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Exercise Price per Share:</w:t>
            </w:r>
          </w:p>
        </w:tc>
        <w:tc>
          <w:tcPr>
            <w:tcW w:w="7934"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USD [</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Option Type:</w:t>
            </w:r>
          </w:p>
        </w:tc>
        <w:tc>
          <w:tcPr>
            <w:tcW w:w="7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Refer to the third party broker/administrator website for an indication as to whether the Option(s) granted constitute a nonqualified stock option or an Incentive Stock Option for U.S. tax purposes</w:t>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Expiration Date:</w:t>
            </w:r>
          </w:p>
        </w:tc>
        <w:tc>
          <w:tcPr>
            <w:tcW w:w="7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10th anniversary of the Date of Grant</w:t>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Vesting Schedule:</w:t>
            </w:r>
          </w:p>
        </w:tc>
        <w:tc>
          <w:tcPr>
            <w:tcW w:w="793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bl>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4"/>
        </w:rPr>
        <w:t>Unless you decline</w:t>
      </w:r>
      <w:r>
        <w:rPr>
          <w:color w:val="000000"/>
        </w:rPr>
        <w:t xml:space="preserve"> </w:t>
      </w:r>
      <w:r>
        <w:rPr>
          <w:rFonts w:ascii="Times New Roman;sans-serif" w:hAnsi="Times New Roman;sans-serif"/>
          <w:b/>
          <w:color w:val="000000"/>
          <w:sz w:val="24"/>
        </w:rPr>
        <w:t xml:space="preserve">the Option within 90 days following the Date of Grant through an electronic medium in accordance with procedures established by the Company, </w:t>
      </w:r>
      <w:r>
        <w:rPr>
          <w:rFonts w:ascii="Times New Roman;sans-serif" w:hAnsi="Times New Roman;sans-serif"/>
          <w:b w:val="false"/>
          <w:color w:val="000000"/>
          <w:sz w:val="24"/>
        </w:rPr>
        <w:t xml:space="preserve">you agree to be bound by all of the terms and conditions of the following: this Grant Notice, the Award Agreement, and the Plan.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5780"/>
                <wp:effectExtent l="0" t="0" r="0" b="0"/>
                <wp:wrapNone/>
                <wp:docPr id="132" name="Frame13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color w:val="000000"/>
                              </w:rPr>
                            </w:pP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color w:val="000000"/>
                        </w:rPr>
                      </w:pPr>
                      <w:r>
                        <w:rPr>
                          <w:color w:val="000000"/>
                        </w:rPr>
                        <w:t xml:space="preserve">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 xml:space="preserve">PENTAIR 2020 SHARE AND INCENTIVE PLAN </w: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STOCK OPTION AWARD AGREEMENT</w:t>
      </w:r>
    </w:p>
    <w:p>
      <w:pPr>
        <w:pStyle w:val="TextBody"/>
        <w:bidi w:val="0"/>
        <w:spacing w:before="0" w:after="120"/>
        <w:ind w:left="0" w:right="0" w:firstLine="72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notice of grant (the “Grant Notice”) and this Stock Option Award Agreement, including any exhibits hereto (collectively, this “Award Agreement”), Pentair plc (the “Company”) has granted to you an option to purchase (the “Option”) the number of ordinary shares of the Company (“Shares”) specified in the Grant Notice at the exercise price indicated in the Grant Notice. If the Option is designated as an Incentive Stock Option, additional terms are set forth in the Addendum for the United States. Capitalized terms not defined in this Award Agreement but defined in the Pentair plc 2020 Share and Incentive Plan, as may be amended or restated from time to time (the “Plan”), shall have the same definitions as in the Plan. Unless you decline this Award Agreement within 90 days, you agree to be bound by all of the provisions contained in this Award Agreement and the Plan.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Except as otherwise provided in the Plan or this Award Agreement, the Option will vest as provided in the Grant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Exercise of the Option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i/>
          <w:color w:val="000000"/>
          <w:sz w:val="24"/>
        </w:rPr>
        <w:t>2.1 Method of Exercise</w:t>
      </w:r>
      <w:r>
        <w:rPr>
          <w:rFonts w:ascii="Times New Roman;sans-serif" w:hAnsi="Times New Roman;sans-serif"/>
          <w:b w:val="false"/>
          <w:color w:val="000000"/>
          <w:sz w:val="24"/>
        </w:rPr>
        <w:t>. You may exercise the vested portion of the Option (provided the Fair Market Value of the Shares exercised exceeds the exercise price) at any time prior to the expiration of the Option (as described in Section 4 below) by delivering a notice of exercise in such form as may be designated by the Company from time to time, or making the required electronic election with the Company’s designated broker, and paying the exercise price and any Tax-Related Items (as defined in Section 5 below) to the Company’s share plan administrator or such other person as the Company may designate, together with such additional documents as the Company may then require pursuant to the terms of the Plan.</w:t>
      </w:r>
    </w:p>
    <w:p>
      <w:pPr>
        <w:pStyle w:val="TextBody"/>
        <w:bidi w:val="0"/>
        <w:spacing w:lineRule="auto" w:line="240" w:before="0" w:after="0"/>
        <w:ind w:left="0" w:right="0" w:firstLine="1440"/>
        <w:jc w:val="both"/>
        <w:rPr/>
      </w:pPr>
      <w:r>
        <w:rPr>
          <w:rFonts w:ascii="Times New Roman;sans-serif" w:hAnsi="Times New Roman;sans-serif"/>
          <w:b w:val="false"/>
          <w:i/>
          <w:color w:val="000000"/>
          <w:sz w:val="24"/>
        </w:rPr>
        <w:t>2.2 Method of Payment</w:t>
      </w:r>
      <w:r>
        <w:rPr>
          <w:rFonts w:ascii="Times New Roman;sans-serif" w:hAnsi="Times New Roman;sans-serif"/>
          <w:b w:val="false"/>
          <w:color w:val="000000"/>
          <w:sz w:val="24"/>
        </w:rPr>
        <w:t>. Payment of the exercise price may be made by one or a combination of the methods available under the Company’s exercise procedures, which may include: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Payment by cash or check.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Payment by transfer to the Company of whole Shares you already own having a Fair Market Value determined at the time of exercise of the Option equal to, but not exceeding, the exercise price and any Tax-Related Items.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 broker-assisted “cashless exercise” transaction pursuant to which a third party (engaged by you or the Company) loans funds to you to enable you to purchase Shares and pay any Tax-Related Items, and then sells a sufficient number of the exercised Shares on your behalf to enable you to repay the loan and any fees. The remaining Shares and/or cash are then delivered by the third party to you.</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 “net exercise” transaction, pursuant to which the Company delivers to you the net number of whole Shares remaining from the portion of the Option being exercised after deduction of a number of Shares with a Fair Market Value equal to the exercise price and any Tax-Related Items.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suspend, or eliminate, various forms of permissible payment of the exercise price from time to time in its sole discretion. Further, notwithstanding any provision within this Award Agreement to the contrary, if you are resident or provide services outside of the United States, the Administrator may require that you (or in the event of your death, your legal representative, as the case may be) exercise the Option in a method other than as specified above, may require you to exercise the Option only by means of a broker-assisted cashless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5780"/>
                <wp:effectExtent l="0" t="0" r="0" b="0"/>
                <wp:wrapNone/>
                <wp:docPr id="133" name="Frame13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left"/>
                              <w:rPr>
                                <w:color w:val="000000"/>
                              </w:rPr>
                            </w:pP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xml:space="preserve">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exercise procedure as it determines in its sole discretion, or may require you to sell any Shares you acquire under the Plan immediately or within a specified period following your termination of service from the Company or any of its Affiliates (in which case, you hereby agree that the Company shall have the authority to issue sale instructions in relation to such Shares on your behalf). </w:t>
      </w:r>
    </w:p>
    <w:p>
      <w:pPr>
        <w:pStyle w:val="TextBody"/>
        <w:bidi w:val="0"/>
        <w:spacing w:lineRule="auto" w:line="240" w:before="0" w:after="240"/>
        <w:ind w:left="0" w:right="0" w:firstLine="1440"/>
        <w:jc w:val="both"/>
        <w:rPr/>
      </w:pPr>
      <w:r>
        <w:rPr>
          <w:rFonts w:ascii="Times New Roman;sans-serif" w:hAnsi="Times New Roman;sans-serif"/>
          <w:b w:val="false"/>
          <w:i/>
          <w:color w:val="000000"/>
          <w:sz w:val="24"/>
        </w:rPr>
        <w:t>2.3 Responsibility for Exercise</w:t>
      </w:r>
      <w:r>
        <w:rPr>
          <w:rFonts w:ascii="Times New Roman;sans-serif" w:hAnsi="Times New Roman;sans-serif"/>
          <w:b w:val="false"/>
          <w:color w:val="000000"/>
          <w:sz w:val="24"/>
        </w:rPr>
        <w:t xml:space="preserve">. You are responsible for taking any and all actions as may be required to exercise the Option in a timely manner and for properly executing any such documents as may be required for exercise in accordance with such rules and procedures as may be established from time to time. By accepting the Option you acknowledge that information regarding the procedures and requirements for the exercise of the Option is available to you on request. Neither the Company nor any Affiliate shall have any duty or obligation to notify you of the expiration date of the Option. </w:t>
      </w:r>
    </w:p>
    <w:p>
      <w:pPr>
        <w:pStyle w:val="TextBody"/>
        <w:bidi w:val="0"/>
        <w:spacing w:lineRule="auto" w:line="240" w:before="0" w:after="240"/>
        <w:ind w:left="0" w:right="0" w:firstLine="1440"/>
        <w:jc w:val="both"/>
        <w:rPr/>
      </w:pPr>
      <w:r>
        <w:rPr>
          <w:rFonts w:ascii="Times New Roman;sans-serif" w:hAnsi="Times New Roman;sans-serif"/>
          <w:b w:val="false"/>
          <w:i/>
          <w:color w:val="000000"/>
          <w:sz w:val="24"/>
        </w:rPr>
        <w:t>2.4 No Fractional Shares</w:t>
      </w:r>
      <w:r>
        <w:rPr>
          <w:rFonts w:ascii="Times New Roman;sans-serif" w:hAnsi="Times New Roman;sans-serif"/>
          <w:b w:val="false"/>
          <w:color w:val="000000"/>
          <w:sz w:val="24"/>
        </w:rPr>
        <w:t>. Only whole Shares will be issuable pursuant to the Option; any fractional Share otherwise issuable under the Option will be rounded up to the nearest whole Share.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Effect of Termination of Service</w:t>
      </w:r>
      <w:r>
        <w:rPr>
          <w:rFonts w:ascii="Times New Roman;sans-serif" w:hAnsi="Times New Roman;sans-serif"/>
          <w:b w:val="false"/>
          <w:color w:val="000000"/>
          <w:sz w:val="24"/>
        </w:rPr>
        <w:t xml:space="preserve">. Subject to earlier termination of the Option as otherwise provided herein and unless otherwise provided in the Grant Notice or the Plan, the Option shall be exercisable after termination of your service (for any reason except for Cause) with the Company or any of its Affiliate, for up to 90 days after your termination date or, if earlier, the expiration of the Option. Exceptions are made for termination of service due to death, Retirement (provided that the Committee has determined you have ten years of service with the Company and its Affiliates based on your previous employment with the Company and its Affiliates for purposes of Sections 2(ii)(i) and 14(b) of the Plan, but not for purposes of Section 14(c) of the Plan), Disability or a Covered Termination in accordance with the terms of the Plan.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your service with the Company or any of its Affiliates terminates for Cause, the Option (whether or not then vested) shall terminate in its entirety no later than your last day of service. In addition, if after your service terminates, the Company determines that it or an Affiliate could have terminated your service for Cause had all relevant facts been known at the time of your termination, then the Company may terminate the Option (whether vested or unvested) immediately upon such determination, and you will be prohibited from exercising the Option thereafter. In such event, you will be notified of the termination of the Option.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For purposes of the Option, your service will be considered terminated as of the date you cease active service with the Company or any of its Affiliates (regardless of the reason for such termination and whether or not later found to be invalid or in breach of employment laws in the jurisdiction where you provide services or the terms of your employment or service agreement, if any), and unless otherwise expressly provided in this Award Agreement or determined by the Company in its sole discretion, (a) your right to vest in the Option under the Plan, if any, will terminate as of such date and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your period of service would not include any contractual notice period or any period of “garden leave” or similar period mandated under employment laws in the jurisdiction where you provide services or the terms of your employment or service agreement, if any); and (b) the period (if any) during which you may exercise the Option after such termination of service will commence on the date you cease active service and will not be extended by any notice period mandated under employment laws in the jurisdiction where you provide services or the terms of your employment or service agreement, if any; the Company shall have the exclusive discretion to determine when you have ceased active service for purposes of your Option grant (including whether you may still be considered to be providing services while on a leave of absence).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Term of the Option</w:t>
      </w:r>
      <w:r>
        <w:rPr>
          <w:rFonts w:ascii="Times New Roman;sans-serif" w:hAnsi="Times New Roman;sans-serif"/>
          <w:b w:val="false"/>
          <w:color w:val="000000"/>
          <w:sz w:val="24"/>
        </w:rPr>
        <w:t>. The term of the Option commences on the Date of Grant (as specified in the Grant Notice) and expires upon the earliest of:</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35915"/>
                <wp:effectExtent l="0" t="0" r="0" b="0"/>
                <wp:wrapNone/>
                <wp:docPr id="134" name="Frame13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Expiration Date indicated in the Grant Notice;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last day for exercising the Option following your termination of service as described in Section 3 above (the “Option Expiration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an administrative matter, the vested portion of the Option may be exercised only until the close of the New York Stock Exchange (“NYSE”) on the applicable date indicated in this Section 4 or, if such date is not a trading day on the NYSE, the last trading day before such date. The Option shall no longer be exercisable after the Option Expiration Date and any later attempt to exercise the Option will not be honored.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You acknowledge that, regardless of any action taken by the Company or, if different, the Affiliate that employs you (the “Employer”), the ultimate liability for all income tax, social insurance, payroll tax, fringe benefits tax, payment on account or other tax-related items related to your participation in the Plan and legally applicable to you or deemed by the Company or the Employer in their discretion to be an appropriate charge to you even if legally applicable to the Company or the Employer (“Tax-Related Items”), is and remains your responsibility and may exceed the amount actually withheld by the Company or the Employer, if any. You further acknowledge that the Company and/or the Employer (a) make no representations or undertakings regarding the treatment of any Tax-Related Items in connection with any aspect of the Option, including, but not limited to, the grant, vesting or exercise of the Option, the subsequent sale of Shares acquired pursuant to such exercise and the receipt of any dividends; and (b) do not commit to and are under no obligation to structure the terms of the grant or any aspect of the Option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 and/or the Employer (or former employer, as applicable) may be required to withhold or account for Tax-Related Items in more than one jurisdiction.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Prior to the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 (i) withholding from your wages or other cash compensation paid to you by the Company and/or the Employer; (ii) withholding from the proceeds of the sale of Shares acquired upon exercise of the Option either through a voluntary sale or through a mandatory sale arranged by the Company (on your behalf pursuant to this authorization without further consent); (iii) withholding from the Shares to be delivered upon exercise of the Option that number of Shares having a Fair Market Value equal to the amount required by law to be withheld; or (iv) permitting you to tender back to the Company a number of Shares delivered upon exercise of the Option or Shares previously owned by you having a Fair Market Value equal to the amount required by law to be withheld. For purposes of the foregoing, no fractional Share will be withheld or issued pursuant to the grant of the Option and the issuance of Shares hereunder.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will receive a refund of any over-withheld amount from the relevant taxing authority in cash and will have no entitlement to the share equivalent. If the obligation for Tax-Related Items is satisfied by withholding from the Shares to be delivered upon exercise of the Option, for tax purposes, you are deemed to have been issued the full number of Shares subject to the exercised Option, notwithstanding that a number of Shares are held back solely for the purpose of paying the Tax-Related Items.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35915"/>
                <wp:effectExtent l="0" t="0" r="0" b="0"/>
                <wp:wrapNone/>
                <wp:docPr id="135" name="Frame13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Shares or proceeds from the sale of Shares until arrangements satisfactory to the Administrator have been made in connection with the Tax-Related Items. You will have no further rights with respect to any Shares that are retained by the Company pursuant to this provision.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Recoupment</w:t>
      </w:r>
      <w:r>
        <w:rPr>
          <w:rFonts w:ascii="Times New Roman;sans-serif" w:hAnsi="Times New Roman;sans-serif"/>
          <w:b w:val="false"/>
          <w:color w:val="000000"/>
          <w:sz w:val="24"/>
        </w:rPr>
        <w:t>. The Option and any Shares issued under the Option are subject to recoupment in accordance with the Dodd-Frank Wall Street Reform and Consumer Protection Act and any implementing regulations thereunder, any clawback policy adopted by the Company and any compensation recovery policy or practice otherwise required by applicable law. The Company shall have the right to offset against any other amounts due from the Company to you the amount owed by you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Confidentiality, Non-Competition, Non-Solicitation and Non-Disparagement</w:t>
      </w:r>
      <w:r>
        <w:rPr>
          <w:rFonts w:ascii="Times New Roman;sans-serif" w:hAnsi="Times New Roman;sans-serif"/>
          <w:b w:val="false"/>
          <w:color w:val="000000"/>
          <w:sz w:val="24"/>
        </w:rPr>
        <w:t>. As a condition to the receipt of the Options, you expressly agree to the terms and conditions in the Confidentiality, Non-Competition, Non-Solicitation and Non-Disparagement Agreement attached hereto as Exhibit A. In addition to any remedies available to the Company under the first paragraph and Section 6 of Exhibit A, any violation of the terms and conditions of Exhibit A will result in a rescission of the Options made under this Award Agreement and a forfeiture of rights you have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Securities Law Compliance</w:t>
      </w:r>
      <w:r>
        <w:rPr>
          <w:rFonts w:ascii="Times New Roman;sans-serif" w:hAnsi="Times New Roman;sans-serif"/>
          <w:b w:val="false"/>
          <w:color w:val="000000"/>
          <w:sz w:val="24"/>
        </w:rPr>
        <w:t xml:space="preserve">. The grant of the Option and the issuance of Shares are subject to all applicable laws, rules and regulations and to such approvals by any governmental agencies or securities exchange as may be required. Notwithstanding any provision of this Award Agreement or the Plan, the Company has no liability to deliver any Shares under the Plan or make any payment unless such delivery or payment would comply with all laws and the applicable requirements of any governmental agency, securities exchange or similar entity, and unless and until you have taken all actions required by the Company in connection with the Option. The Company may impose such restrictions on any Shares issued under the Plan as the Company determines necessary or desirable to comply with all applicable laws, rules and regulations or requirements.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xml:space="preserve">. The Option shall not be transferable in any manner (including without limitation, sale, alienation, anticipation, pledge, encumbrance, or assignment) other than transfer by will or by the laws of descent and distribution, unless otherwise determined by the Committee in accordance with the terms of the Plan. All rights with respect to the Option shall be exercisable during your lifetime only by you or your guardian or legal representative or permitted transferee.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Shareholder Rights</w:t>
      </w:r>
      <w:r>
        <w:rPr>
          <w:rFonts w:ascii="Times New Roman;sans-serif" w:hAnsi="Times New Roman;sans-serif"/>
          <w:b w:val="false"/>
          <w:color w:val="000000"/>
          <w:sz w:val="24"/>
        </w:rPr>
        <w:t xml:space="preserve">. You shall not have any voting rights or any other rights and privileges of a shareholder of the Company unless and until Shares (if any) are issued upon exercise of the Option.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Insider Trading and/or Market Abuse</w:t>
      </w:r>
      <w:r>
        <w:rPr>
          <w:rFonts w:ascii="Times New Roman;sans-serif" w:hAnsi="Times New Roman;sans-serif"/>
          <w:b w:val="false"/>
          <w:color w:val="000000"/>
          <w:sz w:val="24"/>
        </w:rPr>
        <w:t xml:space="preserve">.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which may affect your ability to accept, acquire, sell or otherwise dispose of Shares, rights to Shares (e.g., Options)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35915"/>
                <wp:effectExtent l="0" t="0" r="0" b="0"/>
                <wp:wrapNone/>
                <wp:docPr id="136" name="Frame13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(other than on a “need to know” basis) and (ii) “tipping” third parties or causing them otherwise to buy or sell securities. You understand that third parties include fellow employees. Any restriction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Code Section 409A</w:t>
      </w:r>
      <w:r>
        <w:rPr>
          <w:rFonts w:ascii="Times New Roman;sans-serif" w:hAnsi="Times New Roman;sans-serif"/>
          <w:b w:val="false"/>
          <w:color w:val="000000"/>
          <w:sz w:val="24"/>
        </w:rPr>
        <w:t>. For U.S. taxpayers, it is the intent that the Option as set forth in this Award Agreement shall qualify for exemption from or comply with the requirements of Section 409A of the Code, and any ambiguities herein will be interpreted to so qualify or comply. The Company reserves the right, to the extent the Company deems necessary or advisable in its sole discretion, to unilaterally amend or modify this Award Agreement as may be necessary to ensure that all payments provided for under this Award Agreement are made in a manner that qualifies for exemption from or complies with Section 409A of the Code; provided, however, that the Company makes no representation that the grant, vesting or exercise of the Option provided for under this Award Agreement will be exempt from or comply with Section 409A of the Code and makes no undertaking to preclude Section 409A of the Code from applying to the grant, vesting or exercise of the Option. The Company will have no liability to you or any other party if the Option, the delivery of Shares upon exercise of the Option or other payment hereunder that is intended to be exempt from, or compliant with, Section 409A of the Code, is not so exempt or compliant or for any action taken by the Company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Electronic Delivery and Acceptance</w:t>
      </w:r>
      <w:r>
        <w:rPr>
          <w:rFonts w:ascii="Times New Roman;sans-serif" w:hAnsi="Times New Roman;sans-serif"/>
          <w:b w:val="false"/>
          <w:color w:val="000000"/>
          <w:sz w:val="24"/>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You also agree that all online acknowledgements shall have the same force and effect as a written signature.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In accepting the Option, you acknowledge and agree 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Plan is established voluntarily by the Company, it is discretionary in nature and it may be modified, amended, suspended or terminated by the Company, in its sole discretion, at any time (subject to any limitations set forth in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grant of the Option is voluntary and occasional and does not create any contractual or other right to receive future grants of Options, or benefits in lieu of Options, even if Options or other awards have been granted in the past;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all decisions with respect to future awards, if any, will be at the sole discretion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your participation in the Plan is voluntary;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Option and your participation in the Plan shall not create a right to employment or be interpreted as forming an employment or service contract with the Company or any of its Affiliates and shall not interfere with the ability of the Company, any of its Affiliates or the Employer, as applicable, to terminate your employment or service relationship (as otherwise may be permitted under local law);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the Option and the Shares and the income and value of the same subject to the Option are not intended to replace any pension rights or compensation;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the Option and any Shares acquired under the Plan and the income and value of same, are not part of normal or expected compensation for purposes of calculating any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35915"/>
                <wp:effectExtent l="0" t="0" r="0" b="0"/>
                <wp:wrapNone/>
                <wp:docPr id="137" name="Frame13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severance, resignation, termination, redundancy, dismissal, end-of-service payments, bonuses, long-service awards, pension or retirement or welfare benefits or similar payments and in no event should be considered as compensation for, or relating in any way to, past services for the Company, the Employer or any Affiliate;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the future value of the underlying Shares is unknown, indeterminable and cannot be predicted with certainty;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if the underlying Shares do not increase in value, the Option will have no value;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if you exercise the Option and acquire Shares, the value of such Shares may increase or decrease in value, even below the exercise price;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 xml:space="preserve">no claim or entitlement to compensation or damages shall arise from forfeiture of the Option resulting from termination of your service (for any reason whatsoever and whether or not in breach of local labor laws or later found invalid), and in consideration of the grant of the Option to which you are otherwise not entitled, you irrevocably agree never to institute any claim against the Company, any of its Affiliates, or the Employer, waive your ability, if any, to bring any such claim, and release the Company, its Affiliates and the Employer, from any such claim;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the Option and the benefits evidenced by this Award Agreement do not create any entitlement not otherwise specifically provided for in the Plan or provided by the Company in its discretion, to have the Option or any such benefits transferred to, or assumed by, another company, nor to be exchanged, cashed out or substituted for, in connection with any corporate transaction affecting the Shares;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 xml:space="preserve">if you are employed or providing services outside the United States, neither the Company nor any of its Affiliates shall be liable for any foreign exchange rate fluctuation between your local currency and the U.S. dollar that may affect the value of the Option or any amounts due to you pursuant to the settlement of the Option or the subsequent sale of any Shares acquired upon settlement of the Option.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Data Privacy</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You hereby explicitly and unambiguously consent to the collection, use and transfer, in electronic or other form, of your personal data as described in this Award Agreement, the Grant Notice and any other Option grant materials by and among, as necessary and applicable, the Company or any of its Affiliates, for the exclusive purpose of implementing, administering and managing your participation in the Plan. If there is a conflict between this Section 15 and the Company’s existing policies and/or data protection charters, the terms of this Section 15 will prevail with respect to issues related to the Option and the Plan.</w:t>
      </w:r>
    </w:p>
    <w:p>
      <w:pPr>
        <w:pStyle w:val="TextBody"/>
        <w:bidi w:val="0"/>
        <w:spacing w:lineRule="auto" w:line="240" w:before="0" w:after="24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You understand that the Company and/or the Employer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Option or any other entitlement to Shares canceled, exercised, vested, unvested or outstanding in your favor (“Data”) for the purpose of implementing, administering and managing the Plan.</w:t>
      </w:r>
    </w:p>
    <w:p>
      <w:pPr>
        <w:pStyle w:val="TextBody"/>
        <w:bidi w:val="0"/>
        <w:spacing w:lineRule="auto" w:line="240" w:before="0" w:after="24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You understand that Data will be transferred to Fidelity Stock Plan Services or such other share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35915"/>
                <wp:effectExtent l="0" t="0" r="0" b="0"/>
                <wp:wrapNone/>
                <wp:docPr id="138" name="Frame13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protections than your country. If you are employed outside the United States, you understand that you may request a list with the names and addresses of any potential recipients of Data by contacting your local human resources representative. You authorize the Company, Fidelity Stock Plan Services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If you are employed outside the United States,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service status and career will not be affected; the only consequence of refusing or withdrawing your consent is that the Company would not be able to grant you Options or other equity awards or administer or maintain such awards. Therefore, you understand that refusing or withdrawing your consent may affect your ability to participate in the Plan. </w:t>
      </w:r>
    </w:p>
    <w:p>
      <w:pPr>
        <w:pStyle w:val="TextBody"/>
        <w:bidi w:val="0"/>
        <w:spacing w:lineRule="auto" w:line="240" w:before="0" w:after="24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For more information on the consequences of your refusal to consent or withdrawal of consent, you understand that you may contact your local human resources representative.</w:t>
      </w:r>
    </w:p>
    <w:p>
      <w:pPr>
        <w:pStyle w:val="TextBody"/>
        <w:bidi w:val="0"/>
        <w:spacing w:lineRule="auto" w:line="240" w:before="0" w:after="24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Finally, upon request of the Company or the Employer, you agree to provide an executed data privacy consent form to the Company and/or the Employer (or any other agreements or consents that may be required by the Company and/or the Employer)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Not a Public Offering</w:t>
      </w:r>
      <w:r>
        <w:rPr>
          <w:rFonts w:ascii="Times New Roman;sans-serif" w:hAnsi="Times New Roman;sans-serif"/>
          <w:b w:val="false"/>
          <w:color w:val="000000"/>
          <w:sz w:val="24"/>
        </w:rPr>
        <w:t xml:space="preserve">. If you are a resident outside of the United States, the grant of the Option is not intended to be a public offering of securities in your country of residence (or country of service, if different). The Company has not submitted any registration statement, prospectus or other filings with the local securities authorities (unless otherwise required under local law), and the grant of the Option is not subject to the supervision of the local securities authorities.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If you are resident in a country where English is not an official language, you acknowledge and agree that it is your express intent that this Award Agreement and the Plan and all other documents, notices and legal proceedings entered into, given or instituted pursuant to the Option be drawn up in English. If you have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Repatriation; Compliance with Law</w:t>
      </w:r>
      <w:r>
        <w:rPr>
          <w:rFonts w:ascii="Times New Roman;sans-serif" w:hAnsi="Times New Roman;sans-serif"/>
          <w:b w:val="false"/>
          <w:color w:val="000000"/>
          <w:sz w:val="24"/>
        </w:rPr>
        <w:t xml:space="preserve">. If you are resident or provide services outside the United States, you agree to repatriate all payments attributable to Shares and/or cash acquired under the Plan in accordance with applicable foreign exchange rules and regulations in your country of residence (and country of service, if different). In addition, you agree to take any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35915"/>
                <wp:effectExtent l="0" t="0" r="0" b="0"/>
                <wp:wrapNone/>
                <wp:docPr id="139" name="Frame13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and all actions, and consent to any and all actions taken by the Company and its Affiliates, as may be required to allow the Company and its Affiliates to comply with local laws, rules and/or regulations in your country of residence (and country of service, if different). Finally, you agree to take any and all actions as may be required to comply with your personal obligations under local laws, rules and/or regulations in your country of residence and country of service, if different).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20.</w:t>
      </w:r>
      <w:r>
        <w:rPr>
          <w:color w:val="000000"/>
        </w:rPr>
        <w:t xml:space="preserve"> </w:t>
      </w:r>
      <w:r>
        <w:rPr>
          <w:rFonts w:ascii="Times New Roman;sans-serif" w:hAnsi="Times New Roman;sans-serif"/>
          <w:b w:val="false"/>
          <w:color w:val="000000"/>
          <w:sz w:val="24"/>
          <w:u w:val="single"/>
        </w:rPr>
        <w:t>Addendum</w:t>
      </w:r>
      <w:r>
        <w:rPr>
          <w:rFonts w:ascii="Times New Roman;sans-serif" w:hAnsi="Times New Roman;sans-serif"/>
          <w:b w:val="false"/>
          <w:color w:val="000000"/>
          <w:sz w:val="24"/>
        </w:rPr>
        <w:t>. Notwithstanding any provisions in this Award Agreement, the Option shall be subject to any special terms and conditions set forth in the Addendum to this Award Agreement, as set forth in Exhibit B. Moreover, if you transfer to one of the countries included in such Addendum, the special terms and conditions for such country will apply to you, to the extent the Company determines that the application of such terms and conditions is necessary or advisable to comply with local law or facilitate the administration of the Plan (or the Company may establish alternative terms and conditions as may be necessary or advisable to accommodate your transfer). The Addendum constitutes part of this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your participation in the Plan, on the Option,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provided for in the Grant Notice, this Award Agreement or the Plan shall be given in writing (including electronically) and shall be deemed effectively given upon receipt or, in the case of notices delivered via post by the Company to you, five (5) days after deposit in the mail, postage prepaid, addressed to you at the last address you provided to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Governing Plan Document and Integration</w:t>
      </w:r>
      <w:r>
        <w:rPr>
          <w:rFonts w:ascii="Times New Roman;sans-serif" w:hAnsi="Times New Roman;sans-serif"/>
          <w:b w:val="false"/>
          <w:color w:val="000000"/>
          <w:sz w:val="24"/>
        </w:rPr>
        <w:t>. The Options are subject to the Grant Notice, this Award Agreement and all the provisions of the Plan, the provisions of which are hereby made a part of this Award Agreement, and is further subject to all interpretations, amendments, rules and regulations which may from time to time be promulgated and adopted pursuant to the Plan. In the event of any conflict between the provisions of the Grant Notice, this Award Agreement and those of the Plan, the provisions of the Plan shall control. This Award Agreement, including without limitation the Confidentiality, Non-Competition, Non-Solicitation and Non-Disparagement Agreement attached hereto as Exhibit A, contains the entire agreement between the parties regarding the matters covered within it; provided, however, that if the parties previously or contemporaneously entered into a separate written agreement containing confidentiality, non-disclosure, non-solicitation, and/or non-competition provisions, the provisions of the previously- or contemporaneously-executed agreement shall be read together with the provisions of this Award Agreement to afford the Company the greatest protections allowed by applicable law. By accepting the Options, you confirm that you have read and understood the Award Agreement, the Plan, the Plan prospectus and related information provided to you and that you accept the terms of those documents accordingly.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Administrator Authority</w:t>
      </w:r>
      <w:r>
        <w:rPr>
          <w:rFonts w:ascii="Times New Roman;sans-serif" w:hAnsi="Times New Roman;sans-serif"/>
          <w:b w:val="false"/>
          <w:color w:val="000000"/>
          <w:sz w:val="24"/>
        </w:rPr>
        <w:t xml:space="preserve">. You expressly understand that the Administrator is authorized to administer, construe, and make all determinations necessary or appropriate for the administration of the Award Agreement and the Plan, and that any interpretation or determination made by the Administrator under the Award Agreement or the Plan, will be final, binding and conclusive.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xml:space="preserve">. The Options and the provisions of this Award Agreement (but excluding the Confidentiality, Non-Competition, Non-Solicitation and Non-Disparagement Agreement attached hereto as Exhibit A) are governed by, and subject to, the laws of the state of Delaware, U.S.A. without regard to the conflict of law provisions. The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35915"/>
                <wp:effectExtent l="0" t="0" r="0" b="0"/>
                <wp:wrapNone/>
                <wp:docPr id="140" name="Frame13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provisions of the Confidentiality, Non-Competition, Non-Solicitation and Non-Disparagement Agreement attached hereto as Exhibit A are governed by, and subject to, the laws of the state of Minnesota, U.S.A. without regard to the conflict of law provisions. For purposes of any action, lawsuit or other proceedings brought to enforce this Award Agreement including without limitation the Confidentiality, Non-Competition, Non-Solicitation and Non-Disparagement Agreement attached hereto as Exhibit A, relating to it, or arising from it, the parties hereby submit to and consent to the sole and exclusive jurisdiction of the United States District Court for the District of Minnesota or any of the courts of the state of Minnesota, U.S.A., and waive any objections to such venue.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this Section, you acknowledge and agree that different governing law and venue provisions than those set forth in this Section with respect to the Confidentiality, Non-Competition, Non-Solicitation and Non-Disparagement Agreement may apply to you if you reside or work in certain jurisdictions. While you reside or work in such a jurisdiction, including on the final day of your employment, you agree that the governing law and venue provision set forth in this Section with respect to the Confidentiality, Non-Competition, Non-Solicitation and Non-Disparagement Agreement shall be superseded only as set forth in the applicable Appendix attached as Appendix A to the Confidentiality, Non-Competition, Non-Solicitation and Non-Disparagement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Award Agreement is held to be unenforceable for any reason, it shall be adjusted rather than voided, if possible, in order to achieve the intent of the parties to the extent possible. In any event, all other provisions of this Award Agreement shall be deemed valid and enforceable to the full extent possible.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waiver by the Company with respect to your (or any other Participant’s) compliance of any provision of this Award Agreement shall not operate or be construed as a waiver of any other provision of this Award Agreement, or of any subsequent breach by such party of a provision of this Award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35915"/>
                <wp:effectExtent l="0" t="0" r="0" b="0"/>
                <wp:wrapNone/>
                <wp:docPr id="141" name="Frame13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CONFIDENTIALITY, NON-COMPETITION, </w:t>
        <w:br/>
        <w:t>NON-SOLICITATION AND NON-DISPARAGEMENT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 a result of your intimate familiarity with trade secrets, business strategies, marketing strategies, product development, proprietary and confidential information of the Company, the Award Agreement is subject to the restrictions set forth below in this Confidentiality, Non-Competition, Non-Solicitation and Non-Disparagement Agreement (the “Exhibit A”). Any violation of these provisions will result in a rescission of the Option made under the Award Agreement and a forfeiture of any rights you have with respect thereto, as well as the remedies that are described in Section 6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You agree that you will treat during your employment and thereafter, as private and privileged, any information, data, figures, projections, estimates, marketing plans, customer lists, lists of contract workers, tax records, personnel records, accounting procedures, formulas, contracts, business partners, alliances, ventures and all other confidential information you acquire while working for the Company or any of its Affiliates. You agree that you will not release any such information to any person, firm, corporation or other entity at any time, except as may be required by law, or as agreed to in writing by the Company. You acknowledge that any violation of this non-disclosure provision shall entitle the Company to appropriate injunctive relief and to any damages which it may sustain due to the improper disclosure.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Employee Non-Solicitation</w:t>
      </w:r>
      <w:r>
        <w:rPr>
          <w:rFonts w:ascii="Times New Roman;sans-serif" w:hAnsi="Times New Roman;sans-serif"/>
          <w:b w:val="false"/>
          <w:color w:val="000000"/>
          <w:sz w:val="24"/>
        </w:rPr>
        <w:t>. To the fullest extent permitted under applicable law, you agree that during employment and for a twelve (12) month period (24 month period, if you are a Section 16 Participant at the time of your termination or during the last twelve (12) months of your employment), following your termination of service (whether voluntary or involuntary) from the Company or any of its Affiliates, you will not, for yourself or any third party, directly or indirectly, solicit any of Company’s employees who hold a position uniquely essential to the management, organization, or service of the Company’s business to leave employment at Company. You agree that engaging in any of the following activities will be a violation of this Section: (a) soliciting for a hire or soliciting for retainer as an independent consultant or as contingent worker an employee of the Company; (b) participating in the recruitment of an employee of the Company; (c) serving as a reference for an employee of the Company; (d) offering an opinion regarding the candidacy as a potential employee, independent consultant, or contingent worker of an individual employed by the Company; (e) assisting or encouraging any third party to pursue an employee of the Company for potential employment, independent consulting, or contingent worker opportunities; and/or (f) assisting or encouraging an employee of the Company to leave his/her current position in order to be an employee, independent consultant, or contingent worker for a third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Customer Non-Solicitation</w:t>
      </w:r>
      <w:r>
        <w:rPr>
          <w:rFonts w:ascii="Times New Roman;sans-serif" w:hAnsi="Times New Roman;sans-serif"/>
          <w:b w:val="false"/>
          <w:color w:val="000000"/>
          <w:sz w:val="24"/>
        </w:rPr>
        <w:t xml:space="preserve">. To the fullest extent permitted under applicable law, you agree that during employment and for a twelve (12) month period (24 month period, if you are a Section 16 Participant at the time of your termination or during the last twelve (12) months of your employment), following your termination of service (whether voluntary or involuntary) from the Company or any of its Affiliates, you will not, for yourself or any third party, directly or indirectly, solicit, contact, call upon, or attempt to solicit or call upon, any customer or prospective customer of the Company for the purpose of selling products or performing services which are substantially similar in nature to, such that they actually compete with, the products or services you sold to or performed for customers on behalf of Company during the last twenty-four (24) months of your relationship with Company. This restriction shall apply only to any customer or prospective customer of Company with whom you had contact during the last twenty-four (24) months of your relationship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01040"/>
                <wp:effectExtent l="0" t="0" r="0" b="0"/>
                <wp:wrapNone/>
                <wp:docPr id="142" name="Frame14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or any customer or prospective customer of Company concerning which you obtained trade secrets, know-how, customer lists, customer contracts, customer needs, business strategies, marketing strategies, product development, proprietary information and confidential information concerning the business of the Company or its Affiliates. For purposes of this Section, “contact” means interaction between you and the customer or prospective customer which takes place to further a business relationship with, or perform services for, the customer or prospective customer. The prohibitions in this Section apply regardless who initiates the contact.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To the fullest extent permitted under applicable law, you agree that during employment and for a twelve (12) month period (24 month period, if you are a Section 16 Participant at the time of your termination of employment or during the last twelve (12) months of your employment), following your termination of service (whether voluntary or involuntary) from the Company or any of its Affiliates, you will not engage in competition with the Company in the geographical location where you were assigned to perform services for the Company during the last twenty-four (24) months of your relationship with the Company, or, if you performed services for the Company during that period which had an impact on the Company’s products and/or services across the world, then anywhere in the world. You acknowledge that the Company does business across the world. For purposes of this Section, “engage in competition” means entering into the employ of, or rendering any services to, a competitor of the Company, whether in the capacity of principal, agent, partner, officer, director, employee, consultant, independent contractor, or the like, where you are performing or rendering similar services to the services you performed within the last twenty-four (24) months of your relationship with Company. A “competitor of the Company” is any entity that offers products and/or services which are substantially similar in nature to, such that they actually compete with, the products or services you worked on or about which, during the last twenty-four (24) months of your relationship with Company, you learned trade secrets, know-how, customer lists, customer contracts, customer needs, business strategies, marketing strategies, product development, proprietary information and/or confidential information concerning the business of the Company or its Affiliates. Nothing in this Exhibit A prohibits you from purchasing or owning less than five percent (5%) of the publicly traded securities of any corporation, provided that your ownership represents a passive investment and that you are not a controlling person of, or a member of a group that controls, the corporation.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Restrictive Covenant Appendix</w:t>
      </w:r>
      <w:r>
        <w:rPr>
          <w:rFonts w:ascii="Times New Roman;sans-serif" w:hAnsi="Times New Roman;sans-serif"/>
          <w:b w:val="false"/>
          <w:color w:val="000000"/>
          <w:sz w:val="24"/>
        </w:rPr>
        <w:t>. You acknowledge and agree that different restrictive covenant obligations than those set forth in this Exhibit A may apply to you if you reside or work in certain jurisdictions. While you reside or work in such a jurisdiction, including on the final day of your employment, you agree that the restricted activities set forth in this Exhibit A shall be superseded only as set forth in the applicable Appendix attached hereto as Appendix 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xml:space="preserve">. You agree that you will not make disparaging remarks of any sort or otherwise communicate any disparaging comments to any other person or entity, about the Company and any of its divisions, subsidiaries, predecessors and successors, and any affiliated entities and persons, and all of their respective past and present employees, agents, insurers, officials, officers and directors.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Protected Activity Not Prohibited</w:t>
      </w:r>
      <w:r>
        <w:rPr>
          <w:rFonts w:ascii="Times New Roman;sans-serif" w:hAnsi="Times New Roman;sans-serif"/>
          <w:b w:val="false"/>
          <w:color w:val="000000"/>
          <w:sz w:val="24"/>
        </w:rPr>
        <w:t xml:space="preserve">. You understand that nothing in this Exhibit A shall in any way limit or prohibit you from engaging in any Protected Activity. For purposes of this Exhibit A, “Protected Activity” means disclosing Company confidential information or trade secrets if permitted by applicable state or federal laws, and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35915"/>
                <wp:effectExtent l="0" t="0" r="0" b="0"/>
                <wp:wrapNone/>
                <wp:docPr id="143" name="Frame14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Opportunity Commission, the Occupational Safety and Health Administration, and the National Labor Relations Board (“Government Agencies”); enforcing your Section 7 rights under the National Labor Relations Act, participating in Section 7 activity (including the right to communicate with former coworkers and/or third parties about terms and conditions of employment or labor disputes or otherwise cooperating through investigation, testimony or otherwise with the NLRB or any other administrative agency or court, when the communication is not so disloyal, reckless or maliciously untrue as to lose the protection of the law); and discussing or disclosing conduct that you reasonably believe to be illegal discrimination, illegal harassment, illegal retaliation, a wage and hour violation, or sexual assault, or that is recognized as against a clear mandate of public policy; or filing or disclosing any facts necessary to receive unemployment insurance, Medicaid, or other public benefits to which you may be entitled. You understand that in connection with such Protected Activity, you are permitted to disclose documents or other information as permitted by law, and without giving notice to, or receiving authorization from, Company. Notwithstanding, in making any such disclosures or communications, you agree to take all reasonable precautions to prevent any unauthorized use or disclosure of any information that may constitute Company confidential information or trade secrets to any parties other than the Government Agencies. You further understand that “Protected Activity” does not include the disclosure of any Company attorney-client privileged communications. In addition, you understand that under the U.S. Defend Trade Secrets Act of 2016, you will not be held criminally or civilly liable under any U.S. federal or state trade secret law for the disclosure of a trade secret that is made in confidence to government officials, either directly or indirectly, or to an attorney, in each case solely for the purpose of reporting or investigating a suspected violation of law, or in a complaint or other document filed in a lawsuit or other proceeding, provided such filing is made under seal.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Effect of Breach</w:t>
      </w:r>
      <w:r>
        <w:rPr>
          <w:rFonts w:ascii="Times New Roman;sans-serif" w:hAnsi="Times New Roman;sans-serif"/>
          <w:b w:val="false"/>
          <w:color w:val="000000"/>
          <w:sz w:val="24"/>
        </w:rPr>
        <w:t>. By accepting the Option, you agree that in light of the award conferred to you under the Award Agreement, the narrow restrictive covenants imposed in this Exhibit A are reasonable and will not result in any hardship to you. Further, you acknowledge and agree that a breach of any obligation under this Exhibit A will result in irreparable injury to the Company and that such harm may not be compensable entirely with monetary damages. The Company reserves all rights to seek any and all remedies and damages permitted under law, including, but not limited to, injunctive relief, equitable relief and compensatory damages. In connection with any suit at law or in equity under this Exhibit A, the Company shall be entitled to an accounting, and to the repayment of all profits, compensation, commissions, fees, or other remuneration which you or any other entity or person has either directly or indirectly realized on its behalf or on behalf of another and/or may realize, as a result of, growing out of, or in connection with the violation which is the subject of the suit. Further, in the event of your breach of the above sections, you shall disgorge the value of all payments and benefits conferred to you by virtue of the Award Agreement, including, but not limited to, the cash or Shares awarded. In addition to the foregoing, the Company shall be entitled to collect from you any reasonable attorney’s fees and costs occurred in bringing any action against you or otherwise to enforce the terms of the Award Agreement and/or this Exhibit A.</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agree that while the restrictive covenants imposed under this Exhibit A are in effect, you will give written notice to the Company within ten days after accepting any other employment, position, or ownership interest with any entity that has operations which compete with the operations of any of the Company or its affiliates. Such written notice shall be delivered to the Company c/o Pentair General Counsel &amp; Secretary, Pentair plc, Suite 900, 5500 Wayzata Boulevard, Golden Valley, MN 55416, by hand or by certified mail.  You agree that the Company may notify such new employer, company or corporate entity that you are bound by this Exhibit A and, at the Company’s election, furnish such employer, company or corporate entity with a copy of this Exhibit A.</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35915"/>
                <wp:effectExtent l="0" t="0" r="0" b="0"/>
                <wp:wrapNone/>
                <wp:docPr id="144" name="Frame14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APPENDIX A TO CONFIDENTIALITY, NON-COMPETITION, NON-SOLICITATION AND NON-DISPARAGEMENT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[STATE-SPECIFIC TERMS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35915"/>
                <wp:effectExtent l="0" t="0" r="0" b="0"/>
                <wp:wrapNone/>
                <wp:docPr id="145" name="Frame14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 xml:space="preserve">EXHIBIT B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ADDENDUM TO PENTAIR 2020 SHARE AND INCENTIVE PLAN</w: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STOCK OPTION AWARD AGREEMENT</w:t>
      </w:r>
    </w:p>
    <w:p>
      <w:pPr>
        <w:pStyle w:val="TextBody"/>
        <w:bidi w:val="0"/>
        <w:spacing w:lineRule="auto" w:line="240"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[COUNTRY-SPECIFIC TERMS AND CONDITIONS]</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10.25</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01040"/>
                <wp:effectExtent l="0" t="0" r="0" b="0"/>
                <wp:wrapNone/>
                <wp:docPr id="146" name="Frame14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 xml:space="preserve">PENTAIR PLC 2020 SHARE AND INCENTIVE PLAN </w:t>
      </w:r>
    </w:p>
    <w:p>
      <w:pPr>
        <w:pStyle w:val="TextBody"/>
        <w:bidi w:val="0"/>
        <w:spacing w:lineRule="auto" w:line="240" w:before="0" w:after="12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PERFORMANCE SHARE UNIT GRANT NOTICE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Pentair plc (the “Company”), pursuant to the Pentair plc 2020 Share and Incentive Plan (the “Plan”), hereby grants you Performance Share Units (“PSUs”) over the number of ordinary shares of the Company (“Shares”) set forth below. The PSUs are subject to all of the terms and conditions as set forth herein and in the attached Performance Share Unit Award Agreement (the “Award Agreement”) and the Plan, both of which are incorporated herein in their entirety. Capitalized terms not otherwise defined in this Grant Notice or the Award Agreement shall have the meaning set forth in the Plan.</w:t>
      </w:r>
    </w:p>
    <w:p>
      <w:pPr>
        <w:pStyle w:val="TextBody"/>
        <w:bidi w:val="0"/>
        <w:spacing w:before="0" w:after="0"/>
        <w:jc w:val="both"/>
        <w:rPr/>
      </w:pPr>
      <w:r>
        <w:rPr/>
      </w:r>
    </w:p>
    <w:tbl>
      <w:tblPr>
        <w:tblW w:w="4170" w:type="dxa"/>
        <w:jc w:val="left"/>
        <w:tblInd w:w="0" w:type="dxa"/>
        <w:tblLayout w:type="fixed"/>
        <w:tblCellMar>
          <w:top w:w="28" w:type="dxa"/>
          <w:left w:w="28" w:type="dxa"/>
          <w:bottom w:w="28" w:type="dxa"/>
          <w:right w:w="28" w:type="dxa"/>
        </w:tblCellMar>
      </w:tblPr>
      <w:tblGrid>
        <w:gridCol w:w="1361"/>
        <w:gridCol w:w="1192"/>
        <w:gridCol w:w="1197"/>
        <w:gridCol w:w="123"/>
        <w:gridCol w:w="123"/>
        <w:gridCol w:w="174"/>
      </w:tblGrid>
      <w:tr>
        <w:trPr/>
        <w:tc>
          <w:tcPr>
            <w:tcW w:w="136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Participant:</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Date of Grant:</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Number of Shares Subject to PSUs:</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Performance Period:</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w:t>
            </w:r>
            <w:r>
              <w:rPr>
                <w:rFonts w:ascii="Times New Roman;sans-serif" w:hAnsi="Times New Roman;sans-serif"/>
                <w:b w:val="false"/>
                <w:color w:val="000000"/>
                <w:sz w:val="24"/>
                <w:shd w:fill="FFFF00" w:val="clear"/>
              </w:rPr>
              <w:t>x</w:t>
            </w:r>
            <w:r>
              <w:rPr>
                <w:rFonts w:ascii="Times New Roman;sans-serif" w:hAnsi="Times New Roman;sans-serif"/>
                <w:b w:val="false"/>
                <w:color w:val="000000"/>
                <w:sz w:val="24"/>
              </w:rPr>
              <w:t>]</w:t>
            </w:r>
          </w:p>
        </w:tc>
      </w:tr>
    </w:tbl>
    <w:p>
      <w:pPr>
        <w:pStyle w:val="TextBody"/>
        <w:bidi w:val="0"/>
        <w:spacing w:lineRule="auto" w:line="240" w:before="0" w:after="240"/>
        <w:jc w:val="both"/>
        <w:rPr/>
      </w:pPr>
      <w:r>
        <w:rPr>
          <w:rFonts w:ascii="Times New Roman;sans-serif" w:hAnsi="Times New Roman;sans-serif"/>
          <w:b/>
          <w:color w:val="000000"/>
          <w:sz w:val="24"/>
        </w:rPr>
        <w:t>Unless you decline</w:t>
      </w:r>
      <w:r>
        <w:rPr>
          <w:color w:val="000000"/>
        </w:rPr>
        <w:t xml:space="preserve"> </w:t>
      </w:r>
      <w:r>
        <w:rPr>
          <w:rFonts w:ascii="Times New Roman;sans-serif" w:hAnsi="Times New Roman;sans-serif"/>
          <w:b/>
          <w:color w:val="000000"/>
          <w:sz w:val="24"/>
        </w:rPr>
        <w:t xml:space="preserve">the PSUs within 90 days following the Date of Grant through an electronic medium in accordance with procedures established by the Company, </w:t>
      </w:r>
      <w:r>
        <w:rPr>
          <w:rFonts w:ascii="Times New Roman;sans-serif" w:hAnsi="Times New Roman;sans-serif"/>
          <w:b w:val="false"/>
          <w:color w:val="000000"/>
          <w:sz w:val="24"/>
        </w:rPr>
        <w:t xml:space="preserve">you agree to be bound by all of the terms and conditions of the following: this Grant Notice, the Award Agreement, and the Plan.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25780"/>
                <wp:effectExtent l="0" t="0" r="0" b="0"/>
                <wp:wrapNone/>
                <wp:docPr id="147" name="Frame14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PENTAIR 2020 SHARE AND INCENTIVE PLAN</w: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PERFORMANCE SHARE UNIT AWARD AGREEMENT</w:t>
      </w:r>
    </w:p>
    <w:p>
      <w:pPr>
        <w:pStyle w:val="TextBody"/>
        <w:bidi w:val="0"/>
        <w:spacing w:before="0" w:after="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notice of grant (the “Grant Notice”) and this Performance Share Unit Award Agreement, including any exhibits hereto (collectively, this “Award Agreement”), Pentair plc (the “Company”) has granted to you Performance Share Units (“PSUs”) with respect to the number of ordinary shares of the Company (“Shares”) specified in the Grant Notice. Capitalized terms not defined in this Award Agreement but defined in the Pentair plc 2020 Share and Incentive Plan, as may be amended or restated from time to time (the “Plan”), shall have the same definitions as in the Plan. Unless you decline this Award Agreement within 90 days, you agree to be bound by all of the provisions contained in this Award Agreement and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Except as otherwise provided in the Plan or this Award Agreement, the PSUs will vest as provided in Exhibit B.</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Settlement of PSUs</w:t>
      </w:r>
      <w:r>
        <w:rPr>
          <w:rFonts w:ascii="Times New Roman;sans-serif" w:hAnsi="Times New Roman;sans-serif"/>
          <w:b w:val="false"/>
          <w:color w:val="000000"/>
          <w:sz w:val="24"/>
        </w:rPr>
        <w:t xml:space="preserve">. The Company shall deliver to you a whole number of Shares equal to the number of PSUs (if any) that vest pursuant to this Award Agreement, subject to withholding of any Tax-Related Items (as defined in Section 6 below) if required by applicable law. Such delivery shall take place (i) as soon as administratively practicable following the date the Committee certifies the achievement of the performance goal(s) described in the Grant Notice (or other communication to you), if applicable, but in no event more than 75 days after the end of the performance period, or (ii) within 30 days after the vesting date if such certification is not necessary.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you are resident or provide services outside of the United States, the Company, in its sole discretion, may provide for the settlement of the PSUs in the form of:</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 cash payment in an amount equal to the Fair Market Value of the Shares as of the vesting date that correspond to the number of vested PSUs, to the extent that settlement in Shares (i) is prohibited under local law, (ii) would require you, the Company or any of its Affiliates to obtain the approval of any governmental or regulatory body in your country of residence (or country of employment, if different), (iii) would result in adverse tax consequences for you, the Company or any of its Affiliates or (iv) is administratively burdensome;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Shares, but require you to sell such Shares immediately or within a specified period following your termination of service (in which case, you hereby agree that the Company shall have the authority to issue sale instructions in relation to such Shares on your behalf).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No Fractional Shares</w:t>
      </w:r>
      <w:r>
        <w:rPr>
          <w:rFonts w:ascii="Times New Roman;sans-serif" w:hAnsi="Times New Roman;sans-serif"/>
          <w:b w:val="false"/>
          <w:color w:val="000000"/>
          <w:sz w:val="24"/>
        </w:rPr>
        <w:t xml:space="preserve">. Only whole Shares will be issuable pursuant to the PSUs; any fractional Share otherwise issuable under the PSUs will be rounded up to the nearest whole Share.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Effect of Termination of Service</w:t>
      </w:r>
      <w:r>
        <w:rPr>
          <w:rFonts w:ascii="Times New Roman;sans-serif" w:hAnsi="Times New Roman;sans-serif"/>
          <w:b w:val="false"/>
          <w:color w:val="000000"/>
          <w:sz w:val="24"/>
        </w:rPr>
        <w:t xml:space="preserve">. Unless otherwise provided in the Grant Notice or the Plan, in the event of termination of your service with the Company or any of its Affiliates for any reason (whether voluntarily or involuntarily), all your unvested PSUs will be cancelled and forfeited. Exceptions are made for termination of service due to death, Retirement (provided that the Committee has determined you have ten years of service with the Company and its Affiliates based on your previous employment with the Company and its Affiliates for purposes of Sections 2(ii)(i) and 14(b) of the Plan, but not for purposes of Section 14(c) of the Plan), Disability or a Covered Termination in accordance with the terms of the Plan.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the PSUs, your service will be considered terminated as of the date you cease active service with the Company or any of its Affiliates (regardless of the reason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8" name="Frame1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and whether or not later found to be invalid or in breach of employment laws in the jurisdiction where you provide services or the terms of your employment or service agreement, if any), and unless otherwise expressly provided in this Award Agreement or determined by the Company in its sole discretion, your right to vest in the PSUs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provide services or the terms of your employment or service agreement, if any). The Company shall have the exclusive discretion to determine when you have ceased active service for purposes of your PSU grant (including whether you may still be considered to be providing services while on a leave of absence).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Dividend Equivalent Units</w:t>
      </w:r>
      <w:r>
        <w:rPr>
          <w:rFonts w:ascii="Times New Roman;sans-serif" w:hAnsi="Times New Roman;sans-serif"/>
          <w:b w:val="false"/>
          <w:color w:val="000000"/>
          <w:sz w:val="24"/>
        </w:rPr>
        <w:t>. Any cash dividends paid with respect to record dates occurring from and after the Date of Grant until the date that the PSUs are settled will be automatically reinvested on the date the dividend is paid as additional PSUs that are subject to the same terms and conditions (including vesting and forfeiture provisions) as the underlying PSUs to which they relate.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You acknowledge that, regardless of any action taken by the Company</w:t>
      </w:r>
      <w:r>
        <w:rPr>
          <w:color w:val="000000"/>
        </w:rPr>
        <w:t xml:space="preserve"> </w:t>
      </w:r>
      <w:r>
        <w:rPr>
          <w:rFonts w:ascii="Times New Roman;sans-serif" w:hAnsi="Times New Roman;sans-serif"/>
          <w:b w:val="false"/>
          <w:color w:val="000000"/>
          <w:sz w:val="24"/>
        </w:rPr>
        <w:t>or, if different, the Affiliate that employs you (the “Employer”), the ultimate liability for all income tax, social insurance, payroll tax, fringe benefits tax, payment on account or other tax-related items related to your participation in the Plan and legally applicable to you or deemed by the Company or the Employer in their discretion to be an appropriate charge to you even if legally applicable to the Company or the Employer (“Tax-Related Items”), is and remains your responsibility and may exceed the amount actually withheld by the Company or the Employer, if any. You further acknowledge that the Company and/or the Employer (a) make no representations or undertakings regarding the treatment of any Tax-Related Items in connection with any aspect of the PSUs, including, but not limited to, the grant, vesting or settlement of the PSUs, the subsequent sale of Shares acquired pursuant to such settlement and the receipt of any dividends or dividend equivalents; and (b) do not commit to and are under no obligation to structure the terms of the grant or any aspect of the PSUs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w:t>
      </w:r>
      <w:r>
        <w:rPr>
          <w:color w:val="000000"/>
        </w:rPr>
        <w:t xml:space="preserve"> </w:t>
      </w:r>
      <w:r>
        <w:rPr>
          <w:rFonts w:ascii="Times New Roman;sans-serif" w:hAnsi="Times New Roman;sans-serif"/>
          <w:b w:val="false"/>
          <w:color w:val="000000"/>
          <w:sz w:val="24"/>
        </w:rPr>
        <w:t>and/or the Employer (or former employer, as applicable) may be required to withhold or account for Tax-Related Items in more than one jurisdiction.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Prior to the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 (i) withholding from your wages or other cash compensation paid to you by the Company and/or the Employer; (ii) withholding from the proceeds of the sale of Shares acquired upon vesting of the PSUs either through a voluntary sale or through a mandatory sale arranged by the Company (on your behalf pursuant to this authorization without further consent); (iii) withholding from the Shares to be delivered upon settlement of the PSUs that number of Shares having a Fair Market Value equal to the amount required by law to be withheld; or (iv) permitting you to tender back to the Company a number of Shares delivered upon settlement of the PSUs or Shares previously owned by you having a Fair Market Value equal to the amount required by law to be withheld. For purposes of the foregoing, no fractional Share will be withheld or issued pursuant to the grant of the PSUs and the issuance of Shares hereunder. Notwithstanding the foregoing, if you are a Section 16 Participant, your withholding obligations shall be satisfied as described in clause (iii) above, unless the Committee approves another form of payment for such Tax-Related Items.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49"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will receive a refund of any over-withheld amount from the relevant taxing authority in cash and will have no entitlement to the share equivalent. If the obligation for Tax-Related Items is satisfied by withholding from the Shares to be delivered upon vesting of the PSUs, for tax purposes, you are deemed to have been issued the full number of Shares subject to the vested PSUs, notwithstanding that a number of Shares are held back solely for the purpose of paying the Tax-Related Items.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Shares or proceeds from the sale of Shares until arrangements satisfactory to the Administrator have been made in connection with the Tax-Related Items. You will have no further rights with respect to any Shares that are retained by the Company pursuant to this provision.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Recoupment</w:t>
      </w:r>
      <w:r>
        <w:rPr>
          <w:rFonts w:ascii="Times New Roman;sans-serif" w:hAnsi="Times New Roman;sans-serif"/>
          <w:b w:val="false"/>
          <w:color w:val="000000"/>
          <w:sz w:val="24"/>
        </w:rPr>
        <w:t>. The PSUs (and any compensation paid or Shares issued under the PSUs) are subject to recoupment in accordance with the Dodd-Frank Wall Street Reform and Consumer Protection Act and any implementing regulations thereunder, any clawback policy adopted by the Company and any compensation recovery policy or practice otherwise required by applicable law. The Company shall have the right to offset against any other amounts due from the Company to you the amount owed by you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Confidentiality, Non-Competition, Non-Solicitation and Non-Disparagement</w:t>
      </w:r>
      <w:r>
        <w:rPr>
          <w:rFonts w:ascii="Times New Roman;sans-serif" w:hAnsi="Times New Roman;sans-serif"/>
          <w:b w:val="false"/>
          <w:color w:val="000000"/>
          <w:sz w:val="24"/>
        </w:rPr>
        <w:t>. As a condition to the receipt of the PSUs, you expressly agree to the terms and conditions in the Confidentiality, Non-Competition, Non-Solicitation and Non-Disparagement Agreement attached hereto as Exhibit A. In addition to any remedies available to the Company under the first paragraph and Section 6 of Exhibit A, any violation of the terms and conditions of Exhibit A will result in a rescission of the PSUs made under this Award Agreement and a forfeiture of rights you have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Securities Law Compliance</w:t>
      </w:r>
      <w:r>
        <w:rPr>
          <w:rFonts w:ascii="Times New Roman;sans-serif" w:hAnsi="Times New Roman;sans-serif"/>
          <w:b w:val="false"/>
          <w:color w:val="000000"/>
          <w:sz w:val="24"/>
        </w:rPr>
        <w:t>. The grant of the PSUs and the issuance of Shares are subject to all applicable laws, rules and regulations and to such approvals by any governmental agencies or securities exchange as may be required. Notwithstanding any provision of this Award Agreement or the Plan, the Company has no liability to deliver any Shares under the Plan or make any payment unless such delivery or payment would comply with all laws and the applicable requirements of any governmental agency, securities exchange or similar entity, and unless and until you have taken all actions required by the Company in connection with the PSUs. The Company may impose such restrictions on any Shares issued under the Plan as the Company determines necessary or desirable to comply with all applicable laws, rules and regulations or requirements.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xml:space="preserve">. The PSUs shall not be transferable in any manner (including without limitation, sale, alienation, anticipation, pledge, encumbrance, or assignment) other than transfer by will or by the laws of descent and distribution, unless otherwise determined by the Committee in accordance with the terms of the Plan. All rights with respect to the PSUs shall be exercisable during your lifetime only by you or your guardian or legal representative or permitted transferee.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Shareholder Rights</w:t>
      </w:r>
      <w:r>
        <w:rPr>
          <w:rFonts w:ascii="Times New Roman;sans-serif" w:hAnsi="Times New Roman;sans-serif"/>
          <w:b w:val="false"/>
          <w:color w:val="000000"/>
          <w:sz w:val="24"/>
        </w:rPr>
        <w:t xml:space="preserve">. You shall not have any voting rights or any other rights and privileges of a shareholder of the Company unless and until Shares (if any) are issued upon settlement of the PSUs. Prior to actual payment of any PSUs, such PSUs will represent an unsecured obligation of the Company, payable (if at all) only from the general assets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0520"/>
                <wp:effectExtent l="0" t="0" r="0" b="0"/>
                <wp:wrapNone/>
                <wp:docPr id="150" name="Frame1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Insider Trading and/or Market Abuse</w:t>
      </w:r>
      <w:r>
        <w:rPr>
          <w:rFonts w:ascii="Times New Roman;sans-serif" w:hAnsi="Times New Roman;sans-serif"/>
          <w:b w:val="false"/>
          <w:color w:val="000000"/>
          <w:sz w:val="24"/>
        </w:rPr>
        <w:t>.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which may affect your ability to accept, acquire, sell or otherwise dispose of Shares, rights to Shares (e.g., PSUs)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You understand that third parties include fellow employees. Any restriction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Code Section 409A</w:t>
      </w:r>
      <w:r>
        <w:rPr>
          <w:rFonts w:ascii="Times New Roman;sans-serif" w:hAnsi="Times New Roman;sans-serif"/>
          <w:b w:val="false"/>
          <w:color w:val="000000"/>
          <w:sz w:val="24"/>
        </w:rPr>
        <w:t>. For U.S. taxpayers, it is the intent that the PSUs as set forth in this Award Agreement shall qualify for exemption from or comply with the requirements of Section 409A of the Code, and any ambiguities herein will be interpreted to so qualify or comply. Notwithstanding the foregoing, if it is determined that the PSUs fail to satisfy the requirements of the short-term deferral period exemption and are otherwise deferred compensation subject to Section 409A of the Code, and if you are a “specified employee” as of the date of your “separation from service” (as those terms are defined in the Plan or Section 409A of the Code), then the issuance of any Shares that would otherwise be made upon the date of your separation from service or within the first six (6) months thereafter will not be made on the originally scheduled date and will instead be issued in a lump sum on the date that is six (6) months and one day after the date of your separation from service, but only if such delay in the issuance of the Shares is necessary to avoid the imposition of additional taxation on you in respect of the Shares under Section 409A of the Code. The Company reserves the right, to the extent the Company deems necessary or advisable in its sole discretion, to unilaterally amend or modify this Award Agreement as may be necessary to ensure that all payments provided for under this Award Agreement are made in a manner that qualifies for exemption from or complies with Section 409A of the Code; provided, however, that the Company makes no representation that the grant, vesting, or settlement of PSUs provided for under this Award Agreement will be exempt from or comply with Section 409A of the Code and makes no undertaking to preclude Section 409A of the Code from applying to the grant, vesting or settlement of PSUs provided for under this Award Agreement. The Company will have no liability to you or any other party if the PSUs, the delivery of Shares upon settlement of the PSUs or other payment hereunder that is intended to be exempt from, or compliant with, Section 409A of the Code, is not so exempt or compliant or for any action taken by the Company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Electronic Delivery and Acceptance</w:t>
      </w:r>
      <w:r>
        <w:rPr>
          <w:rFonts w:ascii="Times New Roman;sans-serif" w:hAnsi="Times New Roman;sans-serif"/>
          <w:b w:val="false"/>
          <w:color w:val="000000"/>
          <w:sz w:val="24"/>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You also agree that all online acknowledgements shall have the same force and effect as a written signature.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In accepting the PSUs, you acknowledge and agree 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Plan is established voluntarily by the Company, it is discretionary in nature and it may be modified, amended, suspended or terminated by the Company, in its sole discretion, at any time (subject to any limitations set forth in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0520"/>
                <wp:effectExtent l="0" t="0" r="0" b="0"/>
                <wp:wrapNone/>
                <wp:docPr id="151" name="Frame1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grant of PSUs is voluntary and occasional and does not create any contractual or other right to receive future grants of PSUs, or benefits in lieu of PSUs, even if PSUs or other awards have been granted in the past;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all decisions with respect to future awards, if any, will be at the sole discretion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your participation in the Plan is voluntary;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PSUs and your participation in the Plan shall not create a right to employment or be interpreted as forming an employment or service contract with the Company or any of its Affiliates and shall not interfere with the ability of the Company, any of its Affiliates or the Employer, as applicable, to terminate your employment or service relationship (as otherwise may be permitted under local law);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the PSUs and the Shares, and the income and value of the same, subject to the PSUs are not intended to replace any pension rights or compensation;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PSUs and any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for the Company, the Employer or any Affiliate;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 future value of the underlying Shares is unknown, indeterminable, and cannot be predicted with certainty;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no claim or entitlement to compensation or damages shall arise from forfeiture of the PSUs resulting from termination of your service (for any reason whatsoever and whether or not in breach of local labor laws or later found invalid), and in consideration of the grant of the PSUs to which you are otherwise not entitled, you irrevocably agree never to institute any claim against the Company, any of its Affiliates, or the Employer, waive your ability, if any, to bring any such claim, and release the Company, its Affiliates and the Employer, from any such claim;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the PSUs and the benefits evidenced by this Award Agreement do not create any entitlement not otherwise specifically provided for in the Plan or provided by the Company in its discretion, to have the PSUs or any such benefits transferred to, or assumed by, another company, nor to be exchanged, cashed out or substituted for, in connection with any corporate transaction affecting the Shares;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 xml:space="preserve">if you are employed or providing services outside of the United States, neither the Company nor any of its Affiliates shall be liable for any foreign exchange rate fluctuation between your local currency and the U.S. dollar that may affect the value of the PSUs or any amounts due to you pursuant to the settlement of the PSUs or the subsequent sale of any Shares acquired upon settlement of the PSUs.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i/>
          <w:color w:val="000000"/>
          <w:sz w:val="24"/>
          <w:u w:val="single"/>
        </w:rPr>
        <w:t>Data Privacy</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You hereby explicitly and unambiguously consent to the collection, use and transfer, in electronic or other form, of your personal data as described in this Award Agreement, the Grant Notice and any other PSU grant materials by and among, as necessary and applicable, the Company or any of its Affiliates, for the exclusive purpose of implementing, administering and managing your participation in the Plan. If there is a conflict between this Section 16 and the Company’s existing policies and/or data protection charters, the terms of this Section 16 will prevail with respect to issues related to the PSUs and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0520"/>
                <wp:effectExtent l="0" t="0" r="0" b="0"/>
                <wp:wrapNone/>
                <wp:docPr id="152" name="Frame1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You understand that the Company and/or the Employer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PSUs or any other entitlement to Shares, canceled, exercised, vested, unvested or outstanding in your favor (“Data”), for the purpose of implementing, administering and managing the Plan.</w:t>
      </w:r>
    </w:p>
    <w:p>
      <w:pPr>
        <w:pStyle w:val="TextBody"/>
        <w:bidi w:val="0"/>
        <w:spacing w:lineRule="auto" w:line="240" w:before="0" w:after="0"/>
        <w:ind w:left="0" w:right="0" w:firstLine="720"/>
        <w:jc w:val="both"/>
        <w:rPr/>
      </w:pPr>
      <w:r>
        <w:rPr>
          <w:rFonts w:ascii="Times New Roman;sans-serif" w:hAnsi="Times New Roman;sans-serif"/>
          <w:b w:val="false"/>
          <w:i/>
          <w:color w:val="000000"/>
          <w:sz w:val="24"/>
        </w:rPr>
        <w:t>You understand that Data will be transferred to Fidelity Stock Plan Services or such other share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w:t>
      </w:r>
      <w:r>
        <w:rPr>
          <w:rFonts w:ascii="Times New Roman;sans-serif" w:hAnsi="Times New Roman;sans-serif"/>
          <w:b w:val="false"/>
          <w:color w:val="000000"/>
          <w:sz w:val="24"/>
        </w:rPr>
        <w:t>e.g.</w:t>
      </w:r>
      <w:r>
        <w:rPr>
          <w:rFonts w:ascii="Times New Roman;sans-serif" w:hAnsi="Times New Roman;sans-serif"/>
          <w:b w:val="false"/>
          <w:i/>
          <w:color w:val="000000"/>
          <w:sz w:val="24"/>
        </w:rPr>
        <w:t xml:space="preserve">,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Fidelity Stock Plan Services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If you are employed outside the United States,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service status and career will not be affected; the only consequence of refusing or withdrawing your consent is that the Company would not be able to grant you PSUs or other equity awards or administer or maintain such awards. Therefore, you understand that refusing or withdrawing your consent may affect your ability to participate in the Plan.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For more information on the consequences of your refusal to consent or withdrawal of consent, you understand that you may contact your local human resources representative.</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Finally, upon request of the Company or the Employer, you agree to provide an executed data privacy consent form to the Company and/or the Employer (or any other agreements or consents that may be required by the Company and/or the Employer)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Not a Public Offering</w:t>
      </w:r>
      <w:r>
        <w:rPr>
          <w:rFonts w:ascii="Times New Roman;sans-serif" w:hAnsi="Times New Roman;sans-serif"/>
          <w:b w:val="false"/>
          <w:color w:val="000000"/>
          <w:sz w:val="24"/>
        </w:rPr>
        <w:t xml:space="preserve">. If you are a resident outside of the United States, the grant of the PSUs is not intended to be a public offering of securities in your country of residence (or country of service, if different). The Company has not submitted any registration statement, prospectus or other filings with the local securities authorities (unless otherwise required under local law), and the grant of the PSUs is not subject to the supervision of the local securities authorities.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xml:space="preserve">. If you are resident in a country where English is not an official language, you acknowledge and agree that it is your express intent that this Award Agreement and the Plan and all other documents, notices and legal proceedings entered into, given or instituted pursuant to the PSUs be drawn up in English. If you have received this Award Agreement or any other document related to the Plan translated into a language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0520"/>
                <wp:effectExtent l="0" t="0" r="0" b="0"/>
                <wp:wrapNone/>
                <wp:docPr id="153" name="Frame1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English and if the meaning of the translated version is different than the English version, the English version will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Repatriation; Compliance with Law</w:t>
      </w:r>
      <w:r>
        <w:rPr>
          <w:rFonts w:ascii="Times New Roman;sans-serif" w:hAnsi="Times New Roman;sans-serif"/>
          <w:b w:val="false"/>
          <w:color w:val="000000"/>
          <w:sz w:val="24"/>
        </w:rPr>
        <w:t>. If you are resident or provide services outside the United States, you agree to repatriate all payments attributable to Shares and/or cash acquired under the Plan in accordance with applicable foreign exchange rules and regulations in your country of residence (and country of service, if different). In addition, you agree to take any and all actions, and consent to any and all actions taken by the Company and its Affiliates, as may be required to allow the Company and its Affiliates to comply with local laws, rules and/or regulations in your country of residence (and country of service, if different). Finally, you agree to take any and all actions as may be required to comply with your personal obligations under local laws, rules and/or regulations in your country of residence and country of service, if different).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Addendum</w:t>
      </w:r>
      <w:r>
        <w:rPr>
          <w:rFonts w:ascii="Times New Roman;sans-serif" w:hAnsi="Times New Roman;sans-serif"/>
          <w:b w:val="false"/>
          <w:color w:val="000000"/>
          <w:sz w:val="24"/>
        </w:rPr>
        <w:t>. Notwithstanding any provisions in this Award Agreement, the PSUs shall be subject to any special terms and conditions set forth in the Addendum to this Award Agreement, as set forth in Exhibit C. Moreover, if you transfer to one of the countries included in such Addendum, the special terms and conditions for such country will apply to you, to the extent the Company determines that the application of such terms and conditions is necessary or advisable to comply with local law or facilitate the administration of the Plan (or the Company may establish alternative terms and conditions as may be necessary or advisable to accommodate your transfer). The Addendum constitutes part of this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xml:space="preserve">. The Company reserves the right to impose other requirements on your participation in the Plan, on the PSUs,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provided for in the Grant Notice, this Award Agreement or the Plan shall be given in writing (including electronically) and shall be deemed effectively given upon receipt or, in the case of notices delivered via post by the Company to you, five (5) days after deposit in the mail, postage prepaid, addressed to you at the last address you provided to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Governing Plan Document and Integration</w:t>
      </w:r>
      <w:r>
        <w:rPr>
          <w:rFonts w:ascii="Times New Roman;sans-serif" w:hAnsi="Times New Roman;sans-serif"/>
          <w:b w:val="false"/>
          <w:color w:val="000000"/>
          <w:sz w:val="24"/>
        </w:rPr>
        <w:t xml:space="preserve">. The PSUs are subject to the Grant Notice, this Award Agreement and all the provisions of the Plan, the provisions of which are hereby made a part of this Award Agreement, and is further subject to all interpretations, amendments, rules and regulations which may from time to time be promulgated and adopted pursuant to the Plan. In the event of any conflict between the provisions of the Grant Notice, this Award Agreement and those of the Plan, the provisions of the Plan shall control. This Award Agreement, including without limitation the Confidentiality, Non-Competition, Non-Solicitation and Non-Disparagement Agreement attached hereto as Exhibit A, contains the entire agreement between the parties regarding the matters covered within it; provided, however, that if the parties previously or contemporaneously entered into a separate written agreement containing confidentiality, non-disclosure, non-solicitation, and/or non-competition provisions, the provisions of the previously- or contemporaneously-executed agreement shall be read together with the provisions of this Award Agreement to afford the Company the greatest protections allowed by applicable law. By accepting the PSUs, you confirm that you have read and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0520"/>
                <wp:effectExtent l="0" t="0" r="0" b="0"/>
                <wp:wrapNone/>
                <wp:docPr id="154" name="Frame1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understood the Award Agreement, the Plan, the Plan prospectus and related information provided to you and that you accept the terms of those documents accordingly.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Administrator Authority</w:t>
      </w:r>
      <w:r>
        <w:rPr>
          <w:rFonts w:ascii="Times New Roman;sans-serif" w:hAnsi="Times New Roman;sans-serif"/>
          <w:b w:val="false"/>
          <w:color w:val="000000"/>
          <w:sz w:val="24"/>
        </w:rPr>
        <w:t>. You expressly understand that the Administrator is authorized to administer, construe, and make all determinations necessary or appropriate for the administration of the Award Agreement and the Plan, and that any interpretation or determination made by the Administrator under the Award Agreement or the Plan, will be final, binding and conclusive.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xml:space="preserve">. The PSUs and the provisions of this Award Agreement (but excluding the Confidentiality, Non-Competition, Non-Solicitation and Non-Disparagement Agreement attached hereto as Exhibit A) are governed by, and subject to, the laws of the state of Delaware, U.S.A. without regard to the conflict of law provisions. The provisions of the Confidentiality, Non-Competition, Non-Solicitation and Non-Disparagement Agreement attached hereto as Exhibit A are governed by, and subject to, the laws of the state of Minnesota, U.S.A. without regard to the conflict of law provisions. For purposes of any action, lawsuit or other proceedings brought to enforce this Award Agreement including without limitation the Confidentiality, Non-Competition, Non-Solicitation and Non-Disparagement Agreement attached hereto as Exhibit A, relating to it, or arising from it, the parties hereby submit to and consent to the sole and exclusive jurisdiction of the United States District Court for the District of Minnesota or any of the courts of the state of Minnesota, U.S.A., and waive any objections to such venue.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this Section, you acknowledge and agree that different governing law and venue provisions than those set forth in this Section with respect to the Confidentiality, Non-Competition, Non-Solicitation and Non-Disparagement Agreement may apply to you if you reside or work in certain jurisdictions. While you reside or work in such a jurisdiction, including on the final day of your employment, you agree that the governing law and venue provision set forth in this Section with respect to the Confidentiality, Non-Competition, Non-Solicitation and Non-Disparagement Agreement shall be superseded only as set forth in the applicable Appendix attached as Appendix A to the Confidentiality, Non-Competition, Non-Solicitation and Non-Disparagement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Award Agreement is held to be unenforceable for any reason, it shall be adjusted rather than voided, if possible, in order to achieve the intent of the parties to the extent possible. In any event, all other provisions of this Award Agreement shall be deemed valid and enforceable to the full extent possible.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28.</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waiver by the Company with respect to your (or any other Participant’s) compliance of any provision of this Award Agreement shall not operate or be construed as a waiver of any other provision of this Award Agreement, or of any subsequent breach by such party of a provision of this Award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0520"/>
                <wp:effectExtent l="0" t="0" r="0" b="0"/>
                <wp:wrapNone/>
                <wp:docPr id="155" name="Frame1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 xml:space="preserve">CONFIDENTIALITY, NON-COMPETITION, </w:t>
        <w:br/>
        <w:t>NON-SOLICITATION AND NON-DISPARAGEMENT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 result of your intimate familiarity with trade secrets, business strategies, marketing strategies, product development, proprietary and confidential information of the Company, the Award Agreement is subject to the restrictions set forth below in this Confidentiality, Non-Competition, Non-Solicitation and Non-Disparagement Agreement (the “Exhibit A”). Any violation of these provisions will result in a rescission of the PSU made under the Award Agreement and a forfeiture of any rights you have with respect thereto, as well as the remedies that are described in Section 6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You agree that you will treat during your employment and thereafter, as private and privileged, any information, data, figures, projections, estimates, marketing plans, customer lists, lists of contract workers, tax records, personnel records, accounting procedures, formulas, contracts, business partners, alliances, ventures and all other confidential information you acquire while working for the Company or any of its Affiliates. You agree that you will not release any such information to any person, firm, corporation or other entity at any time, except as may be required by law, or as agreed to in writing by the Company. You acknowledge that any violation of this non-disclosure provision shall entitle the Company to appropriate injunctive relief and to any damages which it may sustain due to the improper disclosure.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Employee Non-Solicitation</w:t>
      </w:r>
      <w:r>
        <w:rPr>
          <w:rFonts w:ascii="Times New Roman;sans-serif" w:hAnsi="Times New Roman;sans-serif"/>
          <w:b w:val="false"/>
          <w:color w:val="000000"/>
          <w:sz w:val="24"/>
        </w:rPr>
        <w:t>. To the fullest extent permitted under applicable law, you agree that during employment and for a twelve (12) month period (24 month period, if you are a Section 16 Participant at the time of your termination or during the last twelve (12) months of your employment), following your termination of service (whether voluntary or involuntary) from the Company or any of its Affiliates, you will not, for yourself or any third party, directly or indirectly, solicit any of Company’s employees who hold a position uniquely essential to the management, organization, or service of the Company’s business to leave employment at Company. You agree that engaging in any of the following activities will be a violation of this Section: (a) soliciting for a hire or soliciting for retainer as an independent consultant or as contingent worker an employee of the Company; (b) participating in the recruitment of an employee of the Company; (c) serving as a reference for an employee of the Company; (d) offering an opinion regarding the candidacy as a potential employee, independent consultant, or contingent worker of an individual employed by the Company; (e) assisting or encouraging any third party to pursue an employee of the Company for potential employment, independent consulting, or contingent worker opportunities; and/or (f) assisting or encouraging an employee of the Company to leave his/her current position in order to be an employee, independent consultant, or contingent worker for a third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Customer Non-Solicitation</w:t>
      </w:r>
      <w:r>
        <w:rPr>
          <w:rFonts w:ascii="Times New Roman;sans-serif" w:hAnsi="Times New Roman;sans-serif"/>
          <w:b w:val="false"/>
          <w:color w:val="000000"/>
          <w:sz w:val="24"/>
        </w:rPr>
        <w:t xml:space="preserve">. To the fullest extent permitted under applicable law, you agree that during employment and for a twelve (12) month period (24 month period, if you are a Section 16 Participant at the time of your termination or during the last twelve (12) months of your employment), following your termination of service (whether voluntary or involuntary) from the Company or any of its Affiliates, you will not, for yourself or any third party, directly or indirectly, solicit, contact, call upon, or attempt to solicit or call upon, any customer or prospective customer of the Company for the purpose of selling products or performing services which are substantially similar in nature to, such that they actually compete with, the products or services you sold to or performed for customers on behalf of Company during the last twenty-four (24) months of your relationship with Company. This restriction shall apply only to any customer or prospective customer of Company with whom you had contact during the last twenty-four (24) months of your relationship with the Company, or any customer or prospective customer of Company concerning which you obtained trade secrets, know-how, customer lists, customer contracts, customer needs,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50520"/>
                <wp:effectExtent l="0" t="0" r="0" b="0"/>
                <wp:wrapNone/>
                <wp:docPr id="156" name="Frame1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strategies, marketing strategies, product development, proprietary information and confidential information concerning the business of the Company or its Affiliates. For purposes of this Section, “contact” means interaction between you and the customer or prospective customer which takes place to further a business relationship with, or perform services for, the customer or prospective customer. The prohibitions in this Section apply regardless who initiates the contact.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To the fullest extent permitted under applicable law, you agree that during employment and for a twelve (12) month period (24 month period, if you are a Section 16 Participant at the time of your termination of employment or during the last twelve (12) months of your employment), following your termination of service (whether voluntary or involuntary) from the Company or any of its Affiliates, you will not engage in competition with the Company in the geographical location where you were assigned to perform services for the Company during the last twenty-four (24) months of your relationship with the Company, or, if you performed services for the Company during that period which had an impact on the Company’s products and/or services across the world, then anywhere in the world. You acknowledge that the Company does business across the world. For purposes of this Section, “engage in competition” means entering into the employ of, or rendering any services to, a competitor of the Company, whether in the capacity of principal, agent, partner, officer, director, employee, consultant, independent contractor, or the like, where you are performing or rendering similar services to the services you performed within the last twenty-four (24) months of your relationship with Company. A “competitor of the Company” is any entity that offers products and/or services which are substantially similar in nature to, such that they actually compete with, the products or services you worked on or about which, during the last twenty-four (24) months of your relationship with Company, you learned trade secrets, know-how, customer lists, customer contracts, customer needs, business strategies, marketing strategies, product development, proprietary information and/or confidential information concerning the business of the Company or its Affiliates. Nothing in this Exhibit A prohibits you from purchasing or owning less than five percent (5%) of the publicly traded securities of any corporation, provided that your ownership represents a passive investment and that you are not a controlling person of, or a member of a group that controls, the corporation.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Restrictive Covenant Appendix</w:t>
      </w:r>
      <w:r>
        <w:rPr>
          <w:rFonts w:ascii="Times New Roman;sans-serif" w:hAnsi="Times New Roman;sans-serif"/>
          <w:b w:val="false"/>
          <w:color w:val="000000"/>
          <w:sz w:val="24"/>
        </w:rPr>
        <w:t>. You acknowledge and agree that different restrictive covenant obligations than those set forth in this Exhibit A may apply to you if you reside or work in certain jurisdictions. While you reside or work in such a jurisdiction, including on the final day of your employment, you agree that the restricted activities set forth in this Exhibit A shall be superseded only as set forth in the applicable Appendix attached hereto as Appendix 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xml:space="preserve">. You agree that you will not make disparaging remarks of any sort or otherwise communicate any disparaging comments to any other person or entity, about the Company and any of its divisions, subsidiaries, predecessors and successors, and any affiliated entities and persons, and all of their respective past and present employees, agents, insurers, officials, officers and directors.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Protected Activity Not Prohibited</w:t>
      </w:r>
      <w:r>
        <w:rPr>
          <w:rFonts w:ascii="Times New Roman;sans-serif" w:hAnsi="Times New Roman;sans-serif"/>
          <w:b w:val="false"/>
          <w:color w:val="000000"/>
          <w:sz w:val="24"/>
        </w:rPr>
        <w:t xml:space="preserve">. You understand that nothing in this Exhibit A shall in any way limit or prohibit you from engaging in any Protected Activity. For purposes of this Exhibit A, “Protected Activity” means disclosing Company confidential information or trade secrets if permitted by applicable state or federal laws, and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enforcing your Section 7 rights under the National Labor Relations Act, participating in Section 7 activity (including the right to communicate with former coworkers and/or third parties about terms and conditions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50520"/>
                <wp:effectExtent l="0" t="0" r="0" b="0"/>
                <wp:wrapNone/>
                <wp:docPr id="157" name="Frame1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or labor disputes or otherwise cooperating through investigation, testimony or otherwise with the NLRB or any other administrative agency or court, when the communication is not so disloyal, reckless or maliciously untrue as to lose the protection of the law); and discussing or disclosing conduct that you reasonably believe to be illegal discrimination, illegal harassment, illegal retaliation, a wage and hour violation, or sexual assault, or that is recognized as against a clear mandate of public policy; or filing or disclosing any facts necessary to receive unemployment insurance, Medicaid, or other public benefits to which you may be entitled. You understand that in connection with such Protected Activity, you are permitted to disclose documents or other information as permitted by law, and without giving notice to, or receiving authorization from, Company. Notwithstanding, in making any such disclosures or communications, you agree to take all reasonable precautions to prevent any unauthorized use or disclosure of any information that may constitute Company confidential information or trade secrets to any parties other than the Government Agencies. You further understand that “Protected Activity” does not include the disclosure of any Company attorney-client privileged communications. In addition, you understand that under the U.S. Defend Trade Secrets Act of 2016, you will not be held criminally or civilly liable under any U.S. federal or state trade secret law for the disclosure of a trade secret that is made in confidence to government officials, either directly or indirectly, or to an attorney, in each case solely for the purpose of reporting or investigating a suspected violation of law, or in a complaint or other document filed in a lawsuit or other proceeding, provided such filing is made under seal.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Effect of Breach</w:t>
      </w:r>
      <w:r>
        <w:rPr>
          <w:rFonts w:ascii="Times New Roman;sans-serif" w:hAnsi="Times New Roman;sans-serif"/>
          <w:b w:val="false"/>
          <w:color w:val="000000"/>
          <w:sz w:val="24"/>
        </w:rPr>
        <w:t>. By accepting the PSU, you agree that in light of the award conferred to you under the Award Agreement, the narrow restrictive covenants imposed in this Exhibit A are reasonable and will not result in any hardship to you. Further, you acknowledge and agree that a breach of any obligation under this Exhibit A will result in irreparable injury to the Company and that such harm may not be compensable entirely with monetary damages. The Company reserves all rights to seek any and all remedies and damages permitted under law, including, but not limited to, injunctive relief, equitable relief and compensatory damages. In connection with any suit at law or in equity under this Exhibit A, the Company shall be entitled to an accounting, and to the repayment of all profits, compensation, commissions, fees, or other remuneration which you or any other entity or person has either directly or indirectly realized on its behalf or on behalf of another and/or may realize, as a result of, growing out of, or in connection with the violation which is the subject of the suit. Further, in the event of your breach of the above sections, you shall disgorge the value of all payments and benefits conferred to you by virtue of the Award Agreement, including, but not limited to, the cash or Shares awarded. In addition to the foregoing, the Company shall be entitled to collect from you any reasonable attorney’s fees and costs occurred in bringing any action against you or otherwise to enforce the terms of the Award Agreement and/or this Exhibit A.</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agree that while the restrictive covenants imposed under this Exhibit A are in effect, you will give written notice to the Company within ten days after accepting any other employment, position, or ownership interest with any entity that has operations which compete with the operations of any of the Company or its affiliates. Such written notice shall be delivered to the Company c/o Pentair General Counsel &amp; Secretary, Pentair plc, Suite 900, 5500 Wayzata Boulevard, Golden Valley, MN 55416, by hand or by certified mail.  You agree that the Company may notify such new employer, company or corporate entity that you are bound by this Exhibit A and, at the Company’s election, furnish such employer, company or corporate entity with a copy of this Exhibit A.</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50520"/>
                <wp:effectExtent l="0" t="0" r="0" b="0"/>
                <wp:wrapNone/>
                <wp:docPr id="158" name="Frame1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APPENDIX A TO CONFIDENTIALITY, NON-COMPETITION, NON-SOLICITATION AND NON-DISPARAGEMENT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[STATE-SPECIFIC TERMS AND CONDITIONS]</w:t>
      </w:r>
    </w:p>
    <w:p>
      <w:pPr>
        <w:pStyle w:val="TextBody"/>
        <w:bidi w:val="0"/>
        <w:spacing w:before="0" w:after="24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50520"/>
                <wp:effectExtent l="0" t="0" r="0" b="0"/>
                <wp:wrapNone/>
                <wp:docPr id="159" name="Frame1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GOALS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Performance Goals and Performance Period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50520"/>
                <wp:effectExtent l="0" t="0" r="0" b="0"/>
                <wp:wrapNone/>
                <wp:docPr id="160" name="Frame1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EXHIBIT 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ADDENDUM TO PENTAIR 2020 SHARE AND INCENTIVE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PERFORMANCE SHARE UNIT AWARD AGREEMENT</w:t>
      </w:r>
    </w:p>
    <w:p>
      <w:pPr>
        <w:pStyle w:val="TextBody"/>
        <w:bidi w:val="0"/>
        <w:spacing w:lineRule="auto" w:line="240"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[COUNTRY-SPECIFIC TERMS AND CONDITIONS]</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50520"/>
                <wp:effectExtent l="0" t="0" r="0" b="0"/>
                <wp:wrapNone/>
                <wp:docPr id="161" name="Frame1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Pentair plc and subsidiaries as of December 31, 2023</w:t>
      </w:r>
    </w:p>
    <w:tbl>
      <w:tblPr>
        <w:tblW w:w="6970" w:type="dxa"/>
        <w:jc w:val="center"/>
        <w:tblInd w:w="0" w:type="dxa"/>
        <w:tblLayout w:type="fixed"/>
        <w:tblCellMar>
          <w:top w:w="28" w:type="dxa"/>
          <w:left w:w="28" w:type="dxa"/>
          <w:bottom w:w="28" w:type="dxa"/>
          <w:right w:w="28" w:type="dxa"/>
        </w:tblCellMar>
      </w:tblPr>
      <w:tblGrid>
        <w:gridCol w:w="1542"/>
        <w:gridCol w:w="1356"/>
        <w:gridCol w:w="1361"/>
        <w:gridCol w:w="109"/>
        <w:gridCol w:w="109"/>
        <w:gridCol w:w="109"/>
        <w:gridCol w:w="697"/>
        <w:gridCol w:w="697"/>
        <w:gridCol w:w="990"/>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Jurisdiction of Incorporation</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APEL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Aplex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Aqua Membranes, Inc. </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Aquion (Xi'an) Water Treatment Equipment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Aquion Hong Kong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Hong Kong</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Aquion,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 the Change Labs,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ClearWater Tech,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 Water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ETE Coliban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Everpure Japan Kabushiki Kaisha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FARADYNE Motors (Suzhou) Co., Ltd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Faradyne Motors LLC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FilterDeal,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Fleck Controls,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Goyen Controls Co.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Goyen Valve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Greenspan Environmental Technology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Haffmans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Haffmans North America,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Hawley Group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Hypro EU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Jung Pumpen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Lincoln Automotive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Manitowoc Foodservice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Manitowoc FSG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Manitowoc FSG Manufactura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Mexico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McNeil (Ohio)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MECAIR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Italy</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Milperra Developments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Milton Acquisition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Mobile Pool Builder,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Moraine Properties,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Nano Terra, Inc. </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Nijhuis Pompen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Panthro Acquisition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Pelican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Aquatic Eco-Systems,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Australia Holdings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Clean Process Technologies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Commercial Ice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Commercial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Denmark Holding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Denmark</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Filtration Sales &amp; Service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Filtration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Finance Group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Finance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Luxembourg</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Finance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Flow Control International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Flow Services 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252" w:type="dxa"/>
        <w:jc w:val="center"/>
        <w:tblInd w:w="0" w:type="dxa"/>
        <w:tblLayout w:type="fixed"/>
        <w:tblCellMar>
          <w:top w:w="28" w:type="dxa"/>
          <w:left w:w="28" w:type="dxa"/>
          <w:bottom w:w="28" w:type="dxa"/>
          <w:right w:w="28" w:type="dxa"/>
        </w:tblCellMar>
      </w:tblPr>
      <w:tblGrid>
        <w:gridCol w:w="1532"/>
        <w:gridCol w:w="1345"/>
        <w:gridCol w:w="1353"/>
        <w:gridCol w:w="109"/>
        <w:gridCol w:w="109"/>
        <w:gridCol w:w="109"/>
        <w:gridCol w:w="494"/>
        <w:gridCol w:w="494"/>
        <w:gridCol w:w="707"/>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Flow Technologies de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Mexico</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Flow Technologies Pacific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Flow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Global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Global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Luxembourg</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Pentair Group (Thailand) Limited </w:t>
            </w:r>
            <w:r>
              <w:rPr>
                <w:rFonts w:ascii="Times New Roman;sans-serif" w:hAnsi="Times New 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Thailand</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Holdings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Luxembourg</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International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International Holding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Luxembourg</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International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Investments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Ireland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Ireland</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Luxembourg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Luxembourg</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Management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Manufacturing Belgium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Belgium</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Manufacturing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Italy</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Middle East FZE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Arab Emirates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Nanosoft US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Netherlands Euro Finance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Netherlands Holding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Pacific Rim (Water)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Hong Kong</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Pacific Rim,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Hong Kong</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Pentair Philippines, Inc. </w:t>
            </w:r>
            <w:r>
              <w:rPr>
                <w:rFonts w:ascii="Times New Roman;sans-serif" w:hAnsi="Times New 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Pleatco Acquisition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Residential Filtration,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Sales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Sudmo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Trading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UK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Pentair US LLC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US LLC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US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(Suzhou) Company,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Asia Pacific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Singapore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Belgium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Belgium</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Brazil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do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Italy</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Latinamerica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Argentina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Operations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Polska Sp.zoo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Poland</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Pool and Spa,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Proces Technologie Holding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Process Technology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Purification Systems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Solutions (Hangzhou) Company,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Spain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3"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65" w:type="dxa"/>
        <w:jc w:val="center"/>
        <w:tblInd w:w="0" w:type="dxa"/>
        <w:tblLayout w:type="fixed"/>
        <w:tblCellMar>
          <w:top w:w="28" w:type="dxa"/>
          <w:left w:w="28" w:type="dxa"/>
          <w:bottom w:w="28" w:type="dxa"/>
          <w:right w:w="28" w:type="dxa"/>
        </w:tblCellMar>
      </w:tblPr>
      <w:tblGrid>
        <w:gridCol w:w="1118"/>
        <w:gridCol w:w="983"/>
        <w:gridCol w:w="988"/>
        <w:gridCol w:w="109"/>
        <w:gridCol w:w="109"/>
        <w:gridCol w:w="109"/>
        <w:gridCol w:w="393"/>
        <w:gridCol w:w="393"/>
        <w:gridCol w:w="563"/>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Treatment (OH)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Treatment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Treatment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Water-Mexico,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Mexico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Pentair,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Penwald Insurance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PES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Pleatco Mexican Holding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Pleatco Mexicana,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Mexico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Pleatco,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Plymouth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Seneca Enterprises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Sta-Rite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Surface Logix LLC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Union Engineering (NingBo)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Union Engineering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Denmark</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Union Engineering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Union Engineering Latam Ltda </w:t>
            </w:r>
            <w:r>
              <w:rPr>
                <w:rFonts w:ascii="Times New Roman;sans-serif" w:hAnsi="Times New Roman;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Union Engineering North America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Voltea Ltd. </w:t>
            </w:r>
            <w:r>
              <w:rPr>
                <w:rFonts w:ascii="Times New Roman;sans-serif" w:hAnsi="Times New Roman;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Water Ingenuity Holdings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Webster Electric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X-Flow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r>
    </w:tbl>
    <w:tbl>
      <w:tblPr>
        <w:tblW w:w="1572" w:type="dxa"/>
        <w:jc w:val="center"/>
        <w:tblInd w:w="0" w:type="dxa"/>
        <w:tblLayout w:type="fixed"/>
        <w:tblCellMar>
          <w:top w:w="28" w:type="dxa"/>
          <w:left w:w="28" w:type="dxa"/>
          <w:bottom w:w="28" w:type="dxa"/>
          <w:right w:w="28" w:type="dxa"/>
        </w:tblCellMar>
      </w:tblPr>
      <w:tblGrid>
        <w:gridCol w:w="124"/>
        <w:gridCol w:w="109"/>
        <w:gridCol w:w="109"/>
        <w:gridCol w:w="359"/>
        <w:gridCol w:w="359"/>
        <w:gridCol w:w="5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10.37%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50%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4.81%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99.99%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99%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1.69% owned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4"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CONSENT OF INDEPENDENT REGISTERED PUBLIC ACCOUNTING FIRM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We consent to the incorporation by reference in Registration Statement Nos. 333-184151, 333-184152, and 333-238544 on Form S-8 and Registration Statement No. 333-265317 on Form S-3 of our reports dated</w:t>
      </w:r>
      <w:r>
        <w:rPr>
          <w:color w:val="000000"/>
        </w:rPr>
        <w:t xml:space="preserve"> </w:t>
      </w:r>
      <w:r>
        <w:rPr>
          <w:rFonts w:ascii="Times New Roman;sans-serif" w:hAnsi="Times New Roman;sans-serif"/>
          <w:b w:val="false"/>
          <w:color w:val="000000"/>
          <w:sz w:val="20"/>
        </w:rPr>
        <w:t>February 20, 2024, relating to the financial statements of Pentair plc and the effectiveness of Pentair plc’s internal control over financial reporting appearing in this Annual Report on Form 10-K for the year ended December 31, 2023.</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Minneapolis, Minnesota</w:t>
      </w:r>
    </w:p>
    <w:p>
      <w:pPr>
        <w:pStyle w:val="TextBody"/>
        <w:bidi w:val="0"/>
        <w:spacing w:lineRule="auto" w:line="288" w:before="0" w:after="0"/>
        <w:jc w:val="left"/>
        <w:rPr/>
      </w:pPr>
      <w:r>
        <w:rPr>
          <w:rFonts w:ascii="Times New Roman;sans-serif" w:hAnsi="Times New Roman;sans-serif"/>
          <w:b w:val="false"/>
          <w:color w:val="000000"/>
          <w:sz w:val="20"/>
        </w:rPr>
        <w:t>February 20, 2024</w:t>
      </w:r>
      <w:r>
        <w:rPr>
          <w:color w:val="FF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5"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KNOW ALL MEN BY THESE PRESENTS that the undersigned directors of Pentair plc, an entity organized under the laws of Ireland, hereby constitute and appoint John L. Stauch and Karla C. Robertson, or either of them, his/her attorney-in-fact and agent, with full power of substitution, for the purpose of signing on his/her behalf as a director of Pentair plc the Annual Report on Form 10-K, to be filed with the Securities and Exchange Commission within the next sixty days, and to file the same, with all exhibits thereto and other supporting documents, with the Commission, granting unto such attorney-in-fact, full power and authority to do and perform any and all acts necessary or incidental to the performance and execution of the powers herein expressly granted.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20, 2024 </w:t>
      </w:r>
    </w:p>
    <w:p>
      <w:pPr>
        <w:pStyle w:val="TextBody"/>
        <w:bidi w:val="0"/>
        <w:spacing w:lineRule="auto" w:line="288" w:before="0" w:after="0"/>
        <w:jc w:val="left"/>
        <w:rPr>
          <w:color w:val="000000"/>
        </w:rPr>
      </w:pPr>
      <w:r>
        <w:rPr>
          <w:color w:val="000000"/>
        </w:rPr>
        <w:t> </w:t>
      </w:r>
    </w:p>
    <w:tbl>
      <w:tblPr>
        <w:tblW w:w="3763" w:type="dxa"/>
        <w:jc w:val="left"/>
        <w:tblInd w:w="0" w:type="dxa"/>
        <w:tblLayout w:type="fixed"/>
        <w:tblCellMar>
          <w:top w:w="28" w:type="dxa"/>
          <w:left w:w="28" w:type="dxa"/>
          <w:bottom w:w="28" w:type="dxa"/>
          <w:right w:w="28" w:type="dxa"/>
        </w:tblCellMar>
      </w:tblPr>
      <w:tblGrid>
        <w:gridCol w:w="948"/>
        <w:gridCol w:w="835"/>
        <w:gridCol w:w="842"/>
        <w:gridCol w:w="109"/>
        <w:gridCol w:w="109"/>
        <w:gridCol w:w="109"/>
        <w:gridCol w:w="236"/>
        <w:gridCol w:w="236"/>
        <w:gridCol w:w="339"/>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Mona Abutaleb Stephenson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Mona Abutaleb Stephenson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Barra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Barra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Tracey Doi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Tracey Doi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 Michael Glenn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 Michael Glenn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Theodore L. Harris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Theodore L. Harris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A. Jones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Jones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E. Knight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E. Knight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T. Speetzen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T. Speetzen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Billie I. Williamson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Billie I. Williamson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6"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John L. Stauch, certify that: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report on Form 10-K of Pentair plc;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354" w:type="dxa"/>
        <w:jc w:val="left"/>
        <w:tblInd w:w="0" w:type="dxa"/>
        <w:tblLayout w:type="fixed"/>
        <w:tblCellMar>
          <w:top w:w="28" w:type="dxa"/>
          <w:left w:w="28" w:type="dxa"/>
          <w:bottom w:w="28" w:type="dxa"/>
          <w:right w:w="28" w:type="dxa"/>
        </w:tblCellMar>
      </w:tblPr>
      <w:tblGrid>
        <w:gridCol w:w="201"/>
        <w:gridCol w:w="177"/>
        <w:gridCol w:w="177"/>
        <w:gridCol w:w="529"/>
        <w:gridCol w:w="529"/>
        <w:gridCol w:w="531"/>
        <w:gridCol w:w="937"/>
        <w:gridCol w:w="937"/>
        <w:gridCol w:w="133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ind w:left="0" w:right="0" w:hanging="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Robert P. Fishman, certify that: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report on Form 10-K of Pentair plc;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8728" w:type="dxa"/>
        <w:jc w:val="left"/>
        <w:tblInd w:w="0" w:type="dxa"/>
        <w:tblLayout w:type="fixed"/>
        <w:tblCellMar>
          <w:top w:w="28" w:type="dxa"/>
          <w:left w:w="28" w:type="dxa"/>
          <w:bottom w:w="28" w:type="dxa"/>
          <w:right w:w="28" w:type="dxa"/>
        </w:tblCellMar>
      </w:tblPr>
      <w:tblGrid>
        <w:gridCol w:w="201"/>
        <w:gridCol w:w="177"/>
        <w:gridCol w:w="177"/>
        <w:gridCol w:w="529"/>
        <w:gridCol w:w="529"/>
        <w:gridCol w:w="531"/>
        <w:gridCol w:w="1925"/>
        <w:gridCol w:w="1925"/>
        <w:gridCol w:w="273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CEO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Pentair plc (the “Company”) on Form 10-K for the period ended December 31, 2023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tbl>
      <w:tblPr>
        <w:tblW w:w="5354" w:type="dxa"/>
        <w:jc w:val="left"/>
        <w:tblInd w:w="0" w:type="dxa"/>
        <w:tblLayout w:type="fixed"/>
        <w:tblCellMar>
          <w:top w:w="28" w:type="dxa"/>
          <w:left w:w="28" w:type="dxa"/>
          <w:bottom w:w="28" w:type="dxa"/>
          <w:right w:w="28" w:type="dxa"/>
        </w:tblCellMar>
      </w:tblPr>
      <w:tblGrid>
        <w:gridCol w:w="201"/>
        <w:gridCol w:w="177"/>
        <w:gridCol w:w="177"/>
        <w:gridCol w:w="529"/>
        <w:gridCol w:w="529"/>
        <w:gridCol w:w="531"/>
        <w:gridCol w:w="937"/>
        <w:gridCol w:w="937"/>
        <w:gridCol w:w="133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9"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Pentair plc (the “Company”) on Form 10-K for the period ended December 31, 2023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tbl>
      <w:tblPr>
        <w:tblW w:w="8728" w:type="dxa"/>
        <w:jc w:val="left"/>
        <w:tblInd w:w="0" w:type="dxa"/>
        <w:tblLayout w:type="fixed"/>
        <w:tblCellMar>
          <w:top w:w="28" w:type="dxa"/>
          <w:left w:w="28" w:type="dxa"/>
          <w:bottom w:w="28" w:type="dxa"/>
          <w:right w:w="28" w:type="dxa"/>
        </w:tblCellMar>
      </w:tblPr>
      <w:tblGrid>
        <w:gridCol w:w="201"/>
        <w:gridCol w:w="177"/>
        <w:gridCol w:w="177"/>
        <w:gridCol w:w="529"/>
        <w:gridCol w:w="529"/>
        <w:gridCol w:w="531"/>
        <w:gridCol w:w="1925"/>
        <w:gridCol w:w="1925"/>
        <w:gridCol w:w="273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97</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0"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41" w:type="dxa"/>
        <w:jc w:val="left"/>
        <w:tblInd w:w="0" w:type="dxa"/>
        <w:tblLayout w:type="fixed"/>
        <w:tblCellMar>
          <w:top w:w="28" w:type="dxa"/>
          <w:left w:w="28" w:type="dxa"/>
          <w:bottom w:w="28" w:type="dxa"/>
          <w:right w:w="28" w:type="dxa"/>
        </w:tblCellMar>
      </w:tblPr>
      <w:tblGrid>
        <w:gridCol w:w="1200"/>
        <w:gridCol w:w="1055"/>
        <w:gridCol w:w="1056"/>
        <w:gridCol w:w="1854"/>
        <w:gridCol w:w="1854"/>
        <w:gridCol w:w="2622"/>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bottom w:val="single" w:sz="12" w:space="0" w:color="000000"/>
            </w:tcBorders>
            <w:tcMar>
              <w:top w:w="0" w:type="dxa"/>
              <w:left w:w="0" w:type="dxa"/>
              <w:right w:w="0" w:type="dxa"/>
            </w:tcMar>
            <w:vAlign w:val="center"/>
          </w:tcPr>
          <w:p>
            <w:pPr>
              <w:pStyle w:val="TableContents"/>
              <w:bidi w:val="0"/>
              <w:spacing w:before="240" w:after="283"/>
              <w:jc w:val="left"/>
              <w:rPr/>
            </w:pPr>
            <w:r>
              <w:rPr/>
              <w:drawing>
                <wp:inline distT="0" distB="0" distL="0" distR="0">
                  <wp:extent cx="2038350" cy="704850"/>
                  <wp:effectExtent l="0" t="0" r="0" b="0"/>
                  <wp:docPr id="17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3" descr=""/>
                          <pic:cNvPicPr>
                            <a:picLocks noChangeAspect="1" noChangeArrowheads="1"/>
                          </pic:cNvPicPr>
                        </pic:nvPicPr>
                        <pic:blipFill>
                          <a:blip r:embed="rId36"/>
                          <a:stretch>
                            <a:fillRect/>
                          </a:stretch>
                        </pic:blipFill>
                        <pic:spPr bwMode="auto">
                          <a:xfrm>
                            <a:off x="0" y="0"/>
                            <a:ext cx="2038350" cy="704850"/>
                          </a:xfrm>
                          <a:prstGeom prst="rect">
                            <a:avLst/>
                          </a:prstGeom>
                        </pic:spPr>
                      </pic:pic>
                    </a:graphicData>
                  </a:graphic>
                </wp:inline>
              </w:drawing>
            </w:r>
          </w:p>
        </w:tc>
        <w:tc>
          <w:tcPr>
            <w:tcW w:w="6330" w:type="dxa"/>
            <w:gridSpan w:val="3"/>
            <w:tcBorders>
              <w:left w:val="single" w:sz="12" w:space="0" w:color="000000"/>
              <w:bottom w:val="single" w:sz="12" w:space="0" w:color="000000"/>
            </w:tcBorders>
            <w:tcMar>
              <w:top w:w="0" w:type="dxa"/>
              <w:bottom w:w="30" w:type="dxa"/>
              <w:right w:w="0" w:type="dxa"/>
            </w:tcMar>
            <w:vAlign w:val="center"/>
          </w:tcPr>
          <w:p>
            <w:pPr>
              <w:pStyle w:val="TableContents"/>
              <w:bidi w:val="0"/>
              <w:spacing w:lineRule="auto" w:line="240" w:before="0" w:after="283"/>
              <w:jc w:val="right"/>
              <w:rPr>
                <w:rFonts w:ascii="Calibri Light;sans-serif" w:hAnsi="Calibri Light;sans-serif"/>
                <w:b/>
                <w:color w:val="000000"/>
                <w:sz w:val="32"/>
              </w:rPr>
            </w:pPr>
            <w:r>
              <w:rPr>
                <w:rFonts w:ascii="Calibri Light;sans-serif" w:hAnsi="Calibri Light;sans-serif"/>
                <w:b/>
                <w:color w:val="000000"/>
                <w:sz w:val="32"/>
              </w:rPr>
              <w:t>COMPENSATION RECOVERY POLICY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40" w:before="0" w:after="0"/>
        <w:jc w:val="center"/>
        <w:rPr>
          <w:rFonts w:ascii="Calibri;sans-serif" w:hAnsi="Calibri;sans-serif"/>
          <w:b/>
          <w:color w:val="000000"/>
          <w:sz w:val="24"/>
          <w:u w:val="single"/>
        </w:rPr>
      </w:pPr>
      <w:r>
        <w:rPr>
          <w:rFonts w:ascii="Calibri;sans-serif" w:hAnsi="Calibri;sans-serif"/>
          <w:b/>
          <w:color w:val="000000"/>
          <w:sz w:val="24"/>
          <w:u w:val="single"/>
        </w:rPr>
        <w:t>COMPENSATION RECOVERY POLICY</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color w:val="000000"/>
          <w:sz w:val="24"/>
        </w:rPr>
      </w:pPr>
      <w:r>
        <w:rPr>
          <w:rFonts w:ascii="Calibri;sans-serif" w:hAnsi="Calibri;sans-serif"/>
          <w:b/>
          <w:color w:val="000000"/>
          <w:sz w:val="24"/>
        </w:rPr>
        <w:t>Adopted November 30, 2023</w:t>
      </w:r>
    </w:p>
    <w:p>
      <w:pPr>
        <w:pStyle w:val="TextBody"/>
        <w:bidi w:val="0"/>
        <w:spacing w:before="0" w:after="0"/>
        <w:jc w:val="center"/>
        <w:rPr/>
      </w:pPr>
      <w:r>
        <w:rPr/>
      </w:r>
    </w:p>
    <w:p>
      <w:pPr>
        <w:pStyle w:val="TextBody"/>
        <w:bidi w:val="0"/>
        <w:spacing w:lineRule="auto" w:line="240" w:before="0" w:after="160"/>
        <w:jc w:val="left"/>
        <w:rPr>
          <w:rFonts w:ascii="Calibri;sans-serif" w:hAnsi="Calibri;sans-serif"/>
          <w:b/>
          <w:color w:val="000000"/>
          <w:sz w:val="24"/>
          <w:u w:val="single"/>
        </w:rPr>
      </w:pPr>
      <w:r>
        <w:rPr>
          <w:rFonts w:ascii="Calibri;sans-serif" w:hAnsi="Calibri;sans-serif"/>
          <w:b/>
          <w:color w:val="000000"/>
          <w:sz w:val="24"/>
          <w:u w:val="single"/>
        </w:rPr>
        <w:t>Policy</w:t>
      </w:r>
    </w:p>
    <w:p>
      <w:pPr>
        <w:pStyle w:val="TextBody"/>
        <w:bidi w:val="0"/>
        <w:spacing w:lineRule="auto" w:line="240" w:before="0" w:after="160"/>
        <w:jc w:val="left"/>
        <w:rPr/>
      </w:pPr>
      <w:r>
        <w:rPr>
          <w:rFonts w:ascii="Calibri;sans-serif" w:hAnsi="Calibri;sans-serif"/>
          <w:b w:val="false"/>
          <w:color w:val="000000"/>
          <w:sz w:val="24"/>
        </w:rPr>
        <w:t>The Board of Directors (the “</w:t>
      </w:r>
      <w:r>
        <w:rPr>
          <w:rFonts w:ascii="Calibri;sans-serif" w:hAnsi="Calibri;sans-serif"/>
          <w:b w:val="false"/>
          <w:color w:val="000000"/>
          <w:sz w:val="24"/>
          <w:u w:val="single"/>
        </w:rPr>
        <w:t>Board</w:t>
      </w:r>
      <w:r>
        <w:rPr>
          <w:color w:val="000000"/>
        </w:rPr>
        <w:t>”</w:t>
      </w:r>
      <w:r>
        <w:rPr>
          <w:rFonts w:ascii="Calibri;sans-serif" w:hAnsi="Calibri;sans-serif"/>
          <w:b w:val="false"/>
          <w:color w:val="000000"/>
          <w:sz w:val="24"/>
        </w:rPr>
        <w:t>) of Pentair plc (the “</w:t>
      </w:r>
      <w:r>
        <w:rPr>
          <w:rFonts w:ascii="Calibri;sans-serif" w:hAnsi="Calibri;sans-serif"/>
          <w:b w:val="false"/>
          <w:color w:val="000000"/>
          <w:sz w:val="24"/>
          <w:u w:val="single"/>
        </w:rPr>
        <w:t>Company</w:t>
      </w:r>
      <w:r>
        <w:rPr>
          <w:color w:val="000000"/>
        </w:rPr>
        <w:t>”</w:t>
      </w:r>
      <w:r>
        <w:rPr>
          <w:rFonts w:ascii="Calibri;sans-serif" w:hAnsi="Calibri;sans-serif"/>
          <w:b w:val="false"/>
          <w:color w:val="000000"/>
          <w:sz w:val="24"/>
        </w:rPr>
        <w:t>) has adopted this Compensation Recovery Policy (this “</w:t>
      </w:r>
      <w:r>
        <w:rPr>
          <w:rFonts w:ascii="Calibri;sans-serif" w:hAnsi="Calibri;sans-serif"/>
          <w:b w:val="false"/>
          <w:color w:val="000000"/>
          <w:sz w:val="24"/>
          <w:u w:val="single"/>
        </w:rPr>
        <w:t>Policy</w:t>
      </w:r>
      <w:r>
        <w:rPr>
          <w:color w:val="000000"/>
        </w:rPr>
        <w:t>”</w:t>
      </w:r>
      <w:r>
        <w:rPr>
          <w:rFonts w:ascii="Calibri;sans-serif" w:hAnsi="Calibri;sans-serif"/>
          <w:b w:val="false"/>
          <w:color w:val="000000"/>
          <w:sz w:val="24"/>
        </w:rPr>
        <w:t>) pursuant to Rule 10D-1 of the Securities and Exchange Act of 1934, as amended (the “</w:t>
      </w:r>
      <w:r>
        <w:rPr>
          <w:rFonts w:ascii="Calibri;sans-serif" w:hAnsi="Calibri;sans-serif"/>
          <w:b w:val="false"/>
          <w:color w:val="000000"/>
          <w:sz w:val="24"/>
          <w:u w:val="single"/>
        </w:rPr>
        <w:t>Exchange Act</w:t>
      </w:r>
      <w:r>
        <w:rPr>
          <w:color w:val="000000"/>
        </w:rPr>
        <w:t>”</w:t>
      </w:r>
      <w:r>
        <w:rPr>
          <w:rFonts w:ascii="Calibri;sans-serif" w:hAnsi="Calibri;sans-serif"/>
          <w:b w:val="false"/>
          <w:color w:val="000000"/>
          <w:sz w:val="24"/>
        </w:rPr>
        <w:t>), the Securities and Exchange Commission (“SEC”) regulations promulgated thereunder, and applicable New York Stock Exchange (the “</w:t>
      </w:r>
      <w:r>
        <w:rPr>
          <w:rFonts w:ascii="Calibri;sans-serif" w:hAnsi="Calibri;sans-serif"/>
          <w:b w:val="false"/>
          <w:color w:val="000000"/>
          <w:sz w:val="24"/>
          <w:u w:val="single"/>
        </w:rPr>
        <w:t>NYSE</w:t>
      </w:r>
      <w:r>
        <w:rPr>
          <w:color w:val="000000"/>
        </w:rPr>
        <w:t>”</w:t>
      </w:r>
      <w:r>
        <w:rPr>
          <w:rFonts w:ascii="Calibri;sans-serif" w:hAnsi="Calibri;sans-serif"/>
          <w:b w:val="false"/>
          <w:color w:val="000000"/>
          <w:sz w:val="24"/>
        </w:rPr>
        <w:t>) listing standards. Subject to and in accordance with the terms of this Policy, upon a Recoupment Event, each Covered Executive shall be obligated to return to the Company, reasonably promptly, the amount of Erroneously Awarded Compensation that was received by such Covered Executive during the Lookback Period.</w:t>
      </w:r>
    </w:p>
    <w:p>
      <w:pPr>
        <w:pStyle w:val="TextBody"/>
        <w:bidi w:val="0"/>
        <w:spacing w:lineRule="auto" w:line="240" w:before="0" w:after="160"/>
        <w:jc w:val="left"/>
        <w:rPr>
          <w:rFonts w:ascii="Calibri;sans-serif" w:hAnsi="Calibri;sans-serif"/>
          <w:b/>
          <w:color w:val="000000"/>
          <w:sz w:val="24"/>
          <w:u w:val="single"/>
        </w:rPr>
      </w:pPr>
      <w:r>
        <w:rPr>
          <w:rFonts w:ascii="Calibri;sans-serif" w:hAnsi="Calibri;sans-serif"/>
          <w:b/>
          <w:color w:val="000000"/>
          <w:sz w:val="24"/>
          <w:u w:val="single"/>
        </w:rPr>
        <w:t>Administration</w:t>
      </w:r>
    </w:p>
    <w:p>
      <w:pPr>
        <w:pStyle w:val="TextBody"/>
        <w:bidi w:val="0"/>
        <w:spacing w:lineRule="auto" w:line="240" w:before="0" w:after="160"/>
        <w:jc w:val="left"/>
        <w:rPr/>
      </w:pPr>
      <w:r>
        <w:rPr>
          <w:rFonts w:ascii="Calibri;sans-serif" w:hAnsi="Calibri;sans-serif"/>
          <w:b w:val="false"/>
          <w:color w:val="000000"/>
          <w:sz w:val="24"/>
        </w:rPr>
        <w:t>This Policy will be administered by the Compensation Committee of the Board (the “</w:t>
      </w:r>
      <w:r>
        <w:rPr>
          <w:rFonts w:ascii="Calibri;sans-serif" w:hAnsi="Calibri;sans-serif"/>
          <w:b w:val="false"/>
          <w:color w:val="000000"/>
          <w:sz w:val="24"/>
          <w:u w:val="single"/>
        </w:rPr>
        <w:t>Committee</w:t>
      </w:r>
      <w:r>
        <w:rPr>
          <w:color w:val="000000"/>
        </w:rPr>
        <w:t>”</w:t>
      </w:r>
      <w:r>
        <w:rPr>
          <w:rFonts w:ascii="Calibri;sans-serif" w:hAnsi="Calibri;sans-serif"/>
          <w:b w:val="false"/>
          <w:color w:val="000000"/>
          <w:sz w:val="24"/>
        </w:rPr>
        <w:t>). Any determinations made by the Committee will be final and binding on all affected individuals.</w:t>
      </w:r>
    </w:p>
    <w:p>
      <w:pPr>
        <w:pStyle w:val="TextBody"/>
        <w:bidi w:val="0"/>
        <w:spacing w:lineRule="auto" w:line="240" w:before="0" w:after="160"/>
        <w:jc w:val="left"/>
        <w:rPr>
          <w:rFonts w:ascii="Calibri;sans-serif" w:hAnsi="Calibri;sans-serif"/>
          <w:b/>
          <w:color w:val="000000"/>
          <w:sz w:val="24"/>
          <w:u w:val="single"/>
        </w:rPr>
      </w:pPr>
      <w:r>
        <w:rPr>
          <w:rFonts w:ascii="Calibri;sans-serif" w:hAnsi="Calibri;sans-serif"/>
          <w:b/>
          <w:color w:val="000000"/>
          <w:sz w:val="24"/>
          <w:u w:val="single"/>
        </w:rPr>
        <w:t>Definitions</w:t>
      </w:r>
    </w:p>
    <w:p>
      <w:pPr>
        <w:pStyle w:val="TextBody"/>
        <w:bidi w:val="0"/>
        <w:spacing w:lineRule="auto" w:line="240" w:before="0" w:after="160"/>
        <w:jc w:val="left"/>
        <w:rPr/>
      </w:pPr>
      <w:r>
        <w:rPr>
          <w:color w:val="000000"/>
        </w:rPr>
        <w:t>“</w:t>
      </w:r>
      <w:r>
        <w:rPr>
          <w:rFonts w:ascii="Calibri;sans-serif" w:hAnsi="Calibri;sans-serif"/>
          <w:b w:val="false"/>
          <w:color w:val="000000"/>
          <w:sz w:val="24"/>
          <w:u w:val="single"/>
        </w:rPr>
        <w:t>Accounting Restatement</w:t>
      </w:r>
      <w:r>
        <w:rPr>
          <w:color w:val="000000"/>
        </w:rPr>
        <w:t xml:space="preserve">” </w:t>
      </w:r>
      <w:r>
        <w:rPr>
          <w:rFonts w:ascii="Calibri;sans-serif" w:hAnsi="Calibri;sans-serif"/>
          <w:b w:val="false"/>
          <w:color w:val="000000"/>
          <w:sz w:val="24"/>
        </w:rPr>
        <w:t xml:space="preserve">means an accounting restatement due to the material noncompliance of the Company with any financial reporting requirement under the securities laws, including any required accounting restatement to correct an error in previously issued financial statements that is (a) material to the previously issued financial statements (commonly referred to as a “Big R” restatement), or (b) would result in a material misstatement if the error were corrected in the current period or left uncorrected in the current period (commonly referred to as a “little r” restatement). </w:t>
      </w:r>
    </w:p>
    <w:p>
      <w:pPr>
        <w:pStyle w:val="TextBody"/>
        <w:bidi w:val="0"/>
        <w:spacing w:lineRule="auto" w:line="240" w:before="0" w:after="160"/>
        <w:jc w:val="left"/>
        <w:rPr/>
      </w:pPr>
      <w:r>
        <w:rPr>
          <w:color w:val="000000"/>
        </w:rPr>
        <w:t>“</w:t>
      </w:r>
      <w:r>
        <w:rPr>
          <w:rFonts w:ascii="Calibri;sans-serif" w:hAnsi="Calibri;sans-serif"/>
          <w:b w:val="false"/>
          <w:color w:val="000000"/>
          <w:sz w:val="24"/>
          <w:u w:val="single"/>
        </w:rPr>
        <w:t>Covered Executive</w:t>
      </w:r>
      <w:r>
        <w:rPr>
          <w:color w:val="000000"/>
        </w:rPr>
        <w:t xml:space="preserve">” </w:t>
      </w:r>
      <w:r>
        <w:rPr>
          <w:rFonts w:ascii="Calibri;sans-serif" w:hAnsi="Calibri;sans-serif"/>
          <w:b w:val="false"/>
          <w:color w:val="000000"/>
          <w:sz w:val="24"/>
        </w:rPr>
        <w:t>means each of the Company’s current and former Section 16 Officers.</w:t>
      </w:r>
      <w:r>
        <w:rPr>
          <w:color w:val="000000"/>
        </w:rPr>
        <w:t xml:space="preserve"> </w:t>
      </w:r>
    </w:p>
    <w:p>
      <w:pPr>
        <w:pStyle w:val="TextBody"/>
        <w:bidi w:val="0"/>
        <w:spacing w:lineRule="auto" w:line="240" w:before="0" w:after="160"/>
        <w:jc w:val="left"/>
        <w:rPr/>
      </w:pPr>
      <w:r>
        <w:rPr>
          <w:color w:val="000000"/>
        </w:rPr>
        <w:t>“</w:t>
      </w:r>
      <w:r>
        <w:rPr>
          <w:rFonts w:ascii="Calibri;sans-serif" w:hAnsi="Calibri;sans-serif"/>
          <w:b w:val="false"/>
          <w:color w:val="000000"/>
          <w:sz w:val="24"/>
          <w:u w:val="single"/>
        </w:rPr>
        <w:t>Erroneously Awarded Compensation</w:t>
      </w:r>
      <w:r>
        <w:rPr>
          <w:color w:val="000000"/>
        </w:rPr>
        <w:t xml:space="preserve">” </w:t>
      </w:r>
      <w:r>
        <w:rPr>
          <w:rFonts w:ascii="Calibri;sans-serif" w:hAnsi="Calibri;sans-serif"/>
          <w:b w:val="false"/>
          <w:color w:val="000000"/>
          <w:sz w:val="24"/>
        </w:rPr>
        <w:t>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the NYSE.</w:t>
      </w:r>
    </w:p>
    <w:p>
      <w:pPr>
        <w:pStyle w:val="TextBody"/>
        <w:bidi w:val="0"/>
        <w:spacing w:lineRule="auto" w:line="240" w:before="0" w:after="160"/>
        <w:jc w:val="left"/>
        <w:rPr/>
      </w:pPr>
      <w:r>
        <w:rPr>
          <w:color w:val="000000"/>
        </w:rPr>
        <w:t>“</w:t>
      </w:r>
      <w:r>
        <w:rPr>
          <w:rFonts w:ascii="Calibri;sans-serif" w:hAnsi="Calibri;sans-serif"/>
          <w:b w:val="false"/>
          <w:color w:val="000000"/>
          <w:sz w:val="24"/>
          <w:u w:val="single"/>
        </w:rPr>
        <w:t>Financial Reporting Measures</w:t>
      </w:r>
      <w:r>
        <w:rPr>
          <w:color w:val="000000"/>
        </w:rPr>
        <w:t xml:space="preserve">” </w:t>
      </w:r>
      <w:r>
        <w:rPr>
          <w:rFonts w:ascii="Calibri;sans-serif" w:hAnsi="Calibri;sans-serif"/>
          <w:b w:val="false"/>
          <w:color w:val="000000"/>
          <w:sz w:val="24"/>
        </w:rPr>
        <w:t xml:space="preserve">are any measures that are determined and presented in accordance with the accounting principles used in preparing the Company’s financial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055370"/>
                <wp:effectExtent l="0" t="0" r="0" b="0"/>
                <wp:wrapNone/>
                <wp:docPr id="172" name="Frame169"/>
                <a:graphic xmlns:a="http://schemas.openxmlformats.org/drawingml/2006/main">
                  <a:graphicData uri="http://schemas.microsoft.com/office/word/2010/wordprocessingShape">
                    <wps:wsp>
                      <wps:cNvSpPr txBox="1"/>
                      <wps:spPr>
                        <a:xfrm>
                          <a:off x="0" y="0"/>
                          <a:ext cx="6480175" cy="1055370"/>
                        </a:xfrm>
                        <a:prstGeom prst="rect"/>
                        <a:solidFill>
                          <a:srgbClr val="FFFFFF"/>
                        </a:solidFill>
                      </wps:spPr>
                      <wps:txbx>
                        <w:txbxContent>
                          <w:tbl>
                            <w:tblPr>
                              <w:tblW w:w="4245" w:type="dxa"/>
                              <w:jc w:val="left"/>
                              <w:tblInd w:w="0" w:type="dxa"/>
                              <w:tblLayout w:type="fixed"/>
                              <w:tblCellMar>
                                <w:top w:w="28" w:type="dxa"/>
                                <w:left w:w="28" w:type="dxa"/>
                                <w:bottom w:w="28" w:type="dxa"/>
                                <w:right w:w="28" w:type="dxa"/>
                              </w:tblCellMar>
                            </w:tblPr>
                            <w:tblGrid>
                              <w:gridCol w:w="476"/>
                              <w:gridCol w:w="418"/>
                              <w:gridCol w:w="425"/>
                              <w:gridCol w:w="484"/>
                              <w:gridCol w:w="484"/>
                              <w:gridCol w:w="487"/>
                              <w:gridCol w:w="315"/>
                              <w:gridCol w:w="315"/>
                              <w:gridCol w:w="316"/>
                              <w:gridCol w:w="153"/>
                              <w:gridCol w:w="153"/>
                              <w:gridCol w:w="219"/>
                            </w:tblGrid>
                            <w:tr>
                              <w:trPr/>
                              <w:tc>
                                <w:tcPr>
                                  <w:tcW w:w="476" w:type="dxa"/>
                                  <w:tcBorders/>
                                  <w:vAlign w:val="center"/>
                                </w:tcPr>
                                <w:p>
                                  <w:pPr>
                                    <w:pStyle w:val="TableContents"/>
                                    <w:bidi w:val="0"/>
                                    <w:spacing w:before="0" w:after="283"/>
                                    <w:jc w:val="left"/>
                                    <w:rPr>
                                      <w:sz w:val="4"/>
                                      <w:szCs w:val="4"/>
                                    </w:rPr>
                                  </w:pPr>
                                  <w:r>
                                    <w:rPr>
                                      <w:sz w:val="4"/>
                                      <w:szCs w:val="4"/>
                                    </w:rPr>
                                  </w:r>
                                  <w:r>
                                    <w:br w:type="page"/>
                                  </w:r>
                                </w:p>
                              </w:tc>
                              <w:tc>
                                <w:tcPr>
                                  <w:tcW w:w="4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ISSUED BY</w:t>
                                  </w:r>
                                </w:p>
                              </w:tc>
                              <w:tc>
                                <w:tcPr>
                                  <w:tcW w:w="14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EFFECTIVE DATE</w:t>
                                  </w:r>
                                </w:p>
                              </w:tc>
                              <w:tc>
                                <w:tcPr>
                                  <w:tcW w:w="9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SUPERSEDES</w:t>
                                  </w:r>
                                </w:p>
                              </w:tc>
                              <w:tc>
                                <w:tcPr>
                                  <w:tcW w:w="5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PAGE</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Legal Department</w:t>
                                  </w:r>
                                </w:p>
                              </w:tc>
                              <w:tc>
                                <w:tcPr>
                                  <w:tcW w:w="145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November 30, 2023</w:t>
                                  </w:r>
                                </w:p>
                              </w:tc>
                              <w:tc>
                                <w:tcPr>
                                  <w:tcW w:w="94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120"/>
                                    <w:jc w:val="center"/>
                                    <w:rPr>
                                      <w:rFonts w:ascii="Calibri;sans-serif" w:hAnsi="Calibri;sans-serif"/>
                                      <w:b w:val="false"/>
                                      <w:color w:val="000000"/>
                                      <w:sz w:val="16"/>
                                    </w:rPr>
                                  </w:pPr>
                                  <w:r>
                                    <w:rPr>
                                      <w:rFonts w:ascii="Calibri;sans-serif" w:hAnsi="Calibri;sans-serif"/>
                                      <w:b w:val="false"/>
                                      <w:color w:val="000000"/>
                                      <w:sz w:val="16"/>
                                    </w:rPr>
                                    <w:t>1 of 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1pt;mso-wrap-distance-left:0pt;mso-wrap-distance-right:0pt;mso-wrap-distance-top:0pt;mso-wrap-distance-bottom:0pt;margin-top:0pt;mso-position-vertical:top;mso-position-vertical-relative:text;margin-left:0pt;mso-position-horizontal:left;mso-position-horizontal-relative:text">
                <v:textbox>
                  <w:txbxContent>
                    <w:tbl>
                      <w:tblPr>
                        <w:tblW w:w="4245" w:type="dxa"/>
                        <w:jc w:val="left"/>
                        <w:tblInd w:w="0" w:type="dxa"/>
                        <w:tblLayout w:type="fixed"/>
                        <w:tblCellMar>
                          <w:top w:w="28" w:type="dxa"/>
                          <w:left w:w="28" w:type="dxa"/>
                          <w:bottom w:w="28" w:type="dxa"/>
                          <w:right w:w="28" w:type="dxa"/>
                        </w:tblCellMar>
                      </w:tblPr>
                      <w:tblGrid>
                        <w:gridCol w:w="476"/>
                        <w:gridCol w:w="418"/>
                        <w:gridCol w:w="425"/>
                        <w:gridCol w:w="484"/>
                        <w:gridCol w:w="484"/>
                        <w:gridCol w:w="487"/>
                        <w:gridCol w:w="315"/>
                        <w:gridCol w:w="315"/>
                        <w:gridCol w:w="316"/>
                        <w:gridCol w:w="153"/>
                        <w:gridCol w:w="153"/>
                        <w:gridCol w:w="219"/>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ISSUED BY</w:t>
                            </w:r>
                          </w:p>
                        </w:tc>
                        <w:tc>
                          <w:tcPr>
                            <w:tcW w:w="14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EFFECTIVE DATE</w:t>
                            </w:r>
                          </w:p>
                        </w:tc>
                        <w:tc>
                          <w:tcPr>
                            <w:tcW w:w="9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SUPERSEDES</w:t>
                            </w:r>
                          </w:p>
                        </w:tc>
                        <w:tc>
                          <w:tcPr>
                            <w:tcW w:w="5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PAGE</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Legal Department</w:t>
                            </w:r>
                          </w:p>
                        </w:tc>
                        <w:tc>
                          <w:tcPr>
                            <w:tcW w:w="145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November 30, 2023</w:t>
                            </w:r>
                          </w:p>
                        </w:tc>
                        <w:tc>
                          <w:tcPr>
                            <w:tcW w:w="94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120"/>
                              <w:jc w:val="center"/>
                              <w:rPr>
                                <w:rFonts w:ascii="Calibri;sans-serif" w:hAnsi="Calibri;sans-serif"/>
                                <w:b w:val="false"/>
                                <w:color w:val="000000"/>
                                <w:sz w:val="16"/>
                              </w:rPr>
                            </w:pPr>
                            <w:r>
                              <w:rPr>
                                <w:rFonts w:ascii="Calibri;sans-serif" w:hAnsi="Calibri;sans-serif"/>
                                <w:b w:val="false"/>
                                <w:color w:val="000000"/>
                                <w:sz w:val="16"/>
                              </w:rPr>
                              <w:t>1 of 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and any measures derived wholly or in part from such measures. Stock price and total shareholder return are also Financial Reporting Measures. A Financial Reporting Measure need not be presented within the financial statements or included in a filing with the SEC.</w:t>
      </w:r>
    </w:p>
    <w:p>
      <w:pPr>
        <w:pStyle w:val="TextBody"/>
        <w:bidi w:val="0"/>
        <w:spacing w:lineRule="auto" w:line="240" w:before="0" w:after="160"/>
        <w:jc w:val="left"/>
        <w:rPr/>
      </w:pPr>
      <w:r>
        <w:rPr>
          <w:color w:val="000000"/>
        </w:rPr>
        <w:t>“</w:t>
      </w:r>
      <w:r>
        <w:rPr>
          <w:rFonts w:ascii="Calibri;sans-serif" w:hAnsi="Calibri;sans-serif"/>
          <w:b w:val="false"/>
          <w:color w:val="000000"/>
          <w:sz w:val="24"/>
          <w:u w:val="single"/>
        </w:rPr>
        <w:t>Incentive-Based Compensation</w:t>
      </w:r>
      <w:r>
        <w:rPr>
          <w:color w:val="000000"/>
        </w:rPr>
        <w:t xml:space="preserve">” </w:t>
      </w:r>
      <w:r>
        <w:rPr>
          <w:rFonts w:ascii="Calibri;sans-serif" w:hAnsi="Calibri;sans-serif"/>
          <w:b w:val="false"/>
          <w:color w:val="000000"/>
          <w:sz w:val="24"/>
        </w:rPr>
        <w:t xml:space="preserve">is any compensation that is granted, earned, or vested based wholly or in part upon the attainment of a Financial Reporting Measure. </w:t>
      </w:r>
    </w:p>
    <w:p>
      <w:pPr>
        <w:pStyle w:val="TextBody"/>
        <w:bidi w:val="0"/>
        <w:spacing w:lineRule="auto" w:line="240" w:before="0" w:after="160"/>
        <w:jc w:val="left"/>
        <w:rPr/>
      </w:pPr>
      <w:r>
        <w:rPr>
          <w:color w:val="000000"/>
        </w:rPr>
        <w:t>“</w:t>
      </w:r>
      <w:r>
        <w:rPr>
          <w:rFonts w:ascii="Calibri;sans-serif" w:hAnsi="Calibri;sans-serif"/>
          <w:b w:val="false"/>
          <w:color w:val="000000"/>
          <w:sz w:val="24"/>
          <w:u w:val="single"/>
        </w:rPr>
        <w:t>Lookback Period</w:t>
      </w:r>
      <w:r>
        <w:rPr>
          <w:color w:val="000000"/>
        </w:rPr>
        <w:t xml:space="preserve">” </w:t>
      </w:r>
      <w:r>
        <w:rPr>
          <w:rFonts w:ascii="Calibri;sans-serif" w:hAnsi="Calibri;sans-serif"/>
          <w:b w:val="false"/>
          <w:color w:val="000000"/>
          <w:sz w:val="24"/>
        </w:rPr>
        <w:t xml:space="preserve">means the three completed fiscal years immediately preceding the Required Restatement Date and any transition period (that results from a change in the Company’s fiscal year) of less than nine months within or immediately following those three completed fiscal years. </w:t>
      </w:r>
    </w:p>
    <w:p>
      <w:pPr>
        <w:pStyle w:val="TextBody"/>
        <w:bidi w:val="0"/>
        <w:spacing w:lineRule="auto" w:line="240" w:before="0" w:after="160"/>
        <w:jc w:val="left"/>
        <w:rPr/>
      </w:pPr>
      <w:r>
        <w:rPr>
          <w:rFonts w:ascii="Calibri;sans-serif" w:hAnsi="Calibri;sans-serif"/>
          <w:b w:val="false"/>
          <w:color w:val="000000"/>
          <w:sz w:val="24"/>
        </w:rPr>
        <w:t>A “</w:t>
      </w:r>
      <w:r>
        <w:rPr>
          <w:rFonts w:ascii="Calibri;sans-serif" w:hAnsi="Calibri;sans-serif"/>
          <w:b w:val="false"/>
          <w:color w:val="000000"/>
          <w:sz w:val="24"/>
          <w:u w:val="single"/>
        </w:rPr>
        <w:t>Recoupment Event</w:t>
      </w:r>
      <w:r>
        <w:rPr>
          <w:color w:val="000000"/>
        </w:rPr>
        <w:t xml:space="preserve">” </w:t>
      </w:r>
      <w:r>
        <w:rPr>
          <w:rFonts w:ascii="Calibri;sans-serif" w:hAnsi="Calibri;sans-serif"/>
          <w:b w:val="false"/>
          <w:color w:val="000000"/>
          <w:sz w:val="24"/>
        </w:rPr>
        <w:t xml:space="preserve">occurs when the Company is required to prepare an Accounting Restatement. </w:t>
      </w:r>
    </w:p>
    <w:p>
      <w:pPr>
        <w:pStyle w:val="TextBody"/>
        <w:bidi w:val="0"/>
        <w:spacing w:lineRule="auto" w:line="240" w:before="0" w:after="160"/>
        <w:jc w:val="left"/>
        <w:rPr/>
      </w:pPr>
      <w:r>
        <w:rPr>
          <w:color w:val="000000"/>
        </w:rPr>
        <w:t>“</w:t>
      </w:r>
      <w:r>
        <w:rPr>
          <w:rFonts w:ascii="Calibri;sans-serif" w:hAnsi="Calibri;sans-serif"/>
          <w:b w:val="false"/>
          <w:color w:val="000000"/>
          <w:sz w:val="24"/>
          <w:u w:val="single"/>
        </w:rPr>
        <w:t>Required Restatement Date</w:t>
      </w:r>
      <w:r>
        <w:rPr>
          <w:color w:val="000000"/>
        </w:rPr>
        <w:t xml:space="preserve">” </w:t>
      </w:r>
      <w:r>
        <w:rPr>
          <w:rFonts w:ascii="Calibri;sans-serif" w:hAnsi="Calibri;sans-serif"/>
          <w:b w:val="false"/>
          <w:color w:val="000000"/>
          <w:sz w:val="24"/>
        </w:rPr>
        <w:t xml:space="preserve">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w:t>
      </w:r>
    </w:p>
    <w:p>
      <w:pPr>
        <w:pStyle w:val="TextBody"/>
        <w:bidi w:val="0"/>
        <w:spacing w:lineRule="auto" w:line="240" w:before="0" w:after="160"/>
        <w:jc w:val="left"/>
        <w:rPr/>
      </w:pPr>
      <w:r>
        <w:rPr>
          <w:color w:val="000000"/>
        </w:rPr>
        <w:t>“</w:t>
      </w:r>
      <w:r>
        <w:rPr>
          <w:rFonts w:ascii="Calibri;sans-serif" w:hAnsi="Calibri;sans-serif"/>
          <w:b w:val="false"/>
          <w:color w:val="000000"/>
          <w:sz w:val="24"/>
          <w:u w:val="single"/>
        </w:rPr>
        <w:t>Section 16 Officer</w:t>
      </w:r>
      <w:r>
        <w:rPr>
          <w:color w:val="000000"/>
        </w:rPr>
        <w:t xml:space="preserve">” </w:t>
      </w:r>
      <w:r>
        <w:rPr>
          <w:rFonts w:ascii="Calibri;sans-serif" w:hAnsi="Calibri;sans-serif"/>
          <w:b w:val="false"/>
          <w:color w:val="000000"/>
          <w:sz w:val="24"/>
        </w:rPr>
        <w:t>is defined as an “officer” of the Company within the meaning of Rule 16a-1(f) of the Exchange Act.</w:t>
      </w:r>
    </w:p>
    <w:p>
      <w:pPr>
        <w:pStyle w:val="TextBody"/>
        <w:bidi w:val="0"/>
        <w:spacing w:lineRule="auto" w:line="240" w:before="0" w:after="160"/>
        <w:jc w:val="left"/>
        <w:rPr/>
      </w:pPr>
      <w:r>
        <w:rPr>
          <w:color w:val="000000"/>
        </w:rPr>
        <w:t>“</w:t>
      </w:r>
      <w:r>
        <w:rPr>
          <w:rFonts w:ascii="Calibri;sans-serif" w:hAnsi="Calibri;sans-serif"/>
          <w:b w:val="false"/>
          <w:color w:val="000000"/>
          <w:sz w:val="24"/>
          <w:u w:val="single"/>
        </w:rPr>
        <w:t>Section 409A</w:t>
      </w:r>
      <w:r>
        <w:rPr>
          <w:color w:val="000000"/>
        </w:rPr>
        <w:t xml:space="preserve">” </w:t>
      </w:r>
      <w:r>
        <w:rPr>
          <w:rFonts w:ascii="Calibri;sans-serif" w:hAnsi="Calibri;sans-serif"/>
          <w:b w:val="false"/>
          <w:color w:val="000000"/>
          <w:sz w:val="24"/>
        </w:rPr>
        <w:t>means Section 409A of the Internal Revenue Code and the regulations and guidance promulgated thereunder.</w:t>
      </w:r>
    </w:p>
    <w:p>
      <w:pPr>
        <w:pStyle w:val="TextBody"/>
        <w:bidi w:val="0"/>
        <w:spacing w:lineRule="auto" w:line="240" w:before="0" w:after="160"/>
        <w:jc w:val="left"/>
        <w:rPr>
          <w:rFonts w:ascii="Calibri;sans-serif" w:hAnsi="Calibri;sans-serif"/>
          <w:b/>
          <w:color w:val="000000"/>
          <w:sz w:val="24"/>
          <w:u w:val="single"/>
        </w:rPr>
      </w:pPr>
      <w:r>
        <w:rPr>
          <w:rFonts w:ascii="Calibri;sans-serif" w:hAnsi="Calibri;sans-serif"/>
          <w:b/>
          <w:color w:val="000000"/>
          <w:sz w:val="24"/>
          <w:u w:val="single"/>
        </w:rPr>
        <w:t>Amount Subject to Recovery</w: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 xml:space="preserve">The Incentive-Based Compensation that is subject to recovery under this Policy includes such compensation that is received by a Covered Executive (i) on or after October 2, 2023 (even if such Incentive-Based Compensation was approved, awarded or granted prior to this date), (ii) after the individual began service as a Covered Executive, (iii) if the individual served as a Section 16 Officer at any time during the performance period for such Incentive-Based Compensation, and (iv) while the Company has a class of securities listed on a national securities exchange or national securities association. </w: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 xml:space="preserve">The amount of Incentive-Based Compensation subject to recovery from a Covered Executive upon a Recoupment Event is the Erroneously Awarded Compensation, which amount shall be determined by the Committee. </w: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lineRule="auto" w:line="240" w:before="0" w:after="160"/>
        <w:jc w:val="left"/>
        <w:rPr>
          <w:rFonts w:ascii="Calibri;sans-serif" w:hAnsi="Calibri;sans-serif"/>
          <w:b/>
          <w:color w:val="000000"/>
          <w:sz w:val="24"/>
          <w:u w:val="single"/>
        </w:rPr>
      </w:pPr>
      <w:r>
        <w:rPr>
          <w:rFonts w:ascii="Calibri;sans-serif" w:hAnsi="Calibri;sans-serif"/>
          <w:b/>
          <w:color w:val="000000"/>
          <w:sz w:val="24"/>
          <w:u w:val="single"/>
        </w:rPr>
        <w:t>Recovery of Erroneously Awarded Compensation</w: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 xml:space="preserve">Promptly following a Recoupment Event, the Committee will determine the amount of Erroneously Awarded Compensation for each Covered Executive, and the Company will provide each such Covered Executive with a written notice of such amount and a demand for repayment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055370"/>
                <wp:effectExtent l="0" t="0" r="0" b="0"/>
                <wp:wrapNone/>
                <wp:docPr id="173" name="Frame170"/>
                <a:graphic xmlns:a="http://schemas.openxmlformats.org/drawingml/2006/main">
                  <a:graphicData uri="http://schemas.microsoft.com/office/word/2010/wordprocessingShape">
                    <wps:wsp>
                      <wps:cNvSpPr txBox="1"/>
                      <wps:spPr>
                        <a:xfrm>
                          <a:off x="0" y="0"/>
                          <a:ext cx="6480175" cy="1055370"/>
                        </a:xfrm>
                        <a:prstGeom prst="rect"/>
                        <a:solidFill>
                          <a:srgbClr val="FFFFFF"/>
                        </a:solidFill>
                      </wps:spPr>
                      <wps:txbx>
                        <w:txbxContent>
                          <w:tbl>
                            <w:tblPr>
                              <w:tblW w:w="4245" w:type="dxa"/>
                              <w:jc w:val="left"/>
                              <w:tblInd w:w="0" w:type="dxa"/>
                              <w:tblLayout w:type="fixed"/>
                              <w:tblCellMar>
                                <w:top w:w="28" w:type="dxa"/>
                                <w:left w:w="28" w:type="dxa"/>
                                <w:bottom w:w="28" w:type="dxa"/>
                                <w:right w:w="28" w:type="dxa"/>
                              </w:tblCellMar>
                            </w:tblPr>
                            <w:tblGrid>
                              <w:gridCol w:w="476"/>
                              <w:gridCol w:w="418"/>
                              <w:gridCol w:w="425"/>
                              <w:gridCol w:w="484"/>
                              <w:gridCol w:w="484"/>
                              <w:gridCol w:w="487"/>
                              <w:gridCol w:w="315"/>
                              <w:gridCol w:w="315"/>
                              <w:gridCol w:w="316"/>
                              <w:gridCol w:w="153"/>
                              <w:gridCol w:w="153"/>
                              <w:gridCol w:w="219"/>
                            </w:tblGrid>
                            <w:tr>
                              <w:trPr/>
                              <w:tc>
                                <w:tcPr>
                                  <w:tcW w:w="476" w:type="dxa"/>
                                  <w:tcBorders/>
                                  <w:vAlign w:val="center"/>
                                </w:tcPr>
                                <w:p>
                                  <w:pPr>
                                    <w:pStyle w:val="TableContents"/>
                                    <w:bidi w:val="0"/>
                                    <w:spacing w:before="0" w:after="283"/>
                                    <w:jc w:val="left"/>
                                    <w:rPr>
                                      <w:sz w:val="4"/>
                                      <w:szCs w:val="4"/>
                                    </w:rPr>
                                  </w:pPr>
                                  <w:r>
                                    <w:rPr>
                                      <w:sz w:val="4"/>
                                      <w:szCs w:val="4"/>
                                    </w:rPr>
                                  </w:r>
                                  <w:r>
                                    <w:br w:type="page"/>
                                  </w:r>
                                </w:p>
                              </w:tc>
                              <w:tc>
                                <w:tcPr>
                                  <w:tcW w:w="4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ISSUED BY</w:t>
                                  </w:r>
                                </w:p>
                              </w:tc>
                              <w:tc>
                                <w:tcPr>
                                  <w:tcW w:w="14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EFFECTIVE DATE</w:t>
                                  </w:r>
                                </w:p>
                              </w:tc>
                              <w:tc>
                                <w:tcPr>
                                  <w:tcW w:w="9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SUPERSEDES</w:t>
                                  </w:r>
                                </w:p>
                              </w:tc>
                              <w:tc>
                                <w:tcPr>
                                  <w:tcW w:w="5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PAGE</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Legal Department</w:t>
                                  </w:r>
                                </w:p>
                              </w:tc>
                              <w:tc>
                                <w:tcPr>
                                  <w:tcW w:w="145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November 30, 2023</w:t>
                                  </w:r>
                                </w:p>
                              </w:tc>
                              <w:tc>
                                <w:tcPr>
                                  <w:tcW w:w="94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120"/>
                                    <w:jc w:val="center"/>
                                    <w:rPr>
                                      <w:rFonts w:ascii="Calibri;sans-serif" w:hAnsi="Calibri;sans-serif"/>
                                      <w:b w:val="false"/>
                                      <w:color w:val="000000"/>
                                      <w:sz w:val="16"/>
                                    </w:rPr>
                                  </w:pPr>
                                  <w:r>
                                    <w:rPr>
                                      <w:rFonts w:ascii="Calibri;sans-serif" w:hAnsi="Calibri;sans-serif"/>
                                      <w:b w:val="false"/>
                                      <w:color w:val="000000"/>
                                      <w:sz w:val="16"/>
                                    </w:rPr>
                                    <w:t>2 of 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1pt;mso-wrap-distance-left:0pt;mso-wrap-distance-right:0pt;mso-wrap-distance-top:0pt;mso-wrap-distance-bottom:0pt;margin-top:0pt;mso-position-vertical:top;mso-position-vertical-relative:text;margin-left:0pt;mso-position-horizontal:left;mso-position-horizontal-relative:text">
                <v:textbox>
                  <w:txbxContent>
                    <w:tbl>
                      <w:tblPr>
                        <w:tblW w:w="4245" w:type="dxa"/>
                        <w:jc w:val="left"/>
                        <w:tblInd w:w="0" w:type="dxa"/>
                        <w:tblLayout w:type="fixed"/>
                        <w:tblCellMar>
                          <w:top w:w="28" w:type="dxa"/>
                          <w:left w:w="28" w:type="dxa"/>
                          <w:bottom w:w="28" w:type="dxa"/>
                          <w:right w:w="28" w:type="dxa"/>
                        </w:tblCellMar>
                      </w:tblPr>
                      <w:tblGrid>
                        <w:gridCol w:w="476"/>
                        <w:gridCol w:w="418"/>
                        <w:gridCol w:w="425"/>
                        <w:gridCol w:w="484"/>
                        <w:gridCol w:w="484"/>
                        <w:gridCol w:w="487"/>
                        <w:gridCol w:w="315"/>
                        <w:gridCol w:w="315"/>
                        <w:gridCol w:w="316"/>
                        <w:gridCol w:w="153"/>
                        <w:gridCol w:w="153"/>
                        <w:gridCol w:w="219"/>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ISSUED BY</w:t>
                            </w:r>
                          </w:p>
                        </w:tc>
                        <w:tc>
                          <w:tcPr>
                            <w:tcW w:w="14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EFFECTIVE DATE</w:t>
                            </w:r>
                          </w:p>
                        </w:tc>
                        <w:tc>
                          <w:tcPr>
                            <w:tcW w:w="9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SUPERSEDES</w:t>
                            </w:r>
                          </w:p>
                        </w:tc>
                        <w:tc>
                          <w:tcPr>
                            <w:tcW w:w="5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PAGE</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Legal Department</w:t>
                            </w:r>
                          </w:p>
                        </w:tc>
                        <w:tc>
                          <w:tcPr>
                            <w:tcW w:w="145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November 30, 2023</w:t>
                            </w:r>
                          </w:p>
                        </w:tc>
                        <w:tc>
                          <w:tcPr>
                            <w:tcW w:w="94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120"/>
                              <w:jc w:val="center"/>
                              <w:rPr>
                                <w:rFonts w:ascii="Calibri;sans-serif" w:hAnsi="Calibri;sans-serif"/>
                                <w:b w:val="false"/>
                                <w:color w:val="000000"/>
                                <w:sz w:val="16"/>
                              </w:rPr>
                            </w:pPr>
                            <w:r>
                              <w:rPr>
                                <w:rFonts w:ascii="Calibri;sans-serif" w:hAnsi="Calibri;sans-serif"/>
                                <w:b w:val="false"/>
                                <w:color w:val="000000"/>
                                <w:sz w:val="16"/>
                              </w:rPr>
                              <w:t>2 of 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 xml:space="preserve">or return. Upon receipt of such notice, each affected Covered Executive shall promptly repay or return such Erroneously Awarded Compensation to the Company. </w:t>
      </w:r>
    </w:p>
    <w:p>
      <w:pPr>
        <w:pStyle w:val="TextBody"/>
        <w:bidi w:val="0"/>
        <w:spacing w:lineRule="auto" w:line="240" w:before="0" w:after="120"/>
        <w:jc w:val="left"/>
        <w:rPr>
          <w:rFonts w:ascii="Calibri;sans-serif" w:hAnsi="Calibri;sans-serif"/>
          <w:b w:val="false"/>
          <w:color w:val="000000"/>
          <w:sz w:val="24"/>
        </w:rPr>
      </w:pPr>
      <w:r>
        <w:rPr>
          <w:rFonts w:ascii="Calibri;sans-serif" w:hAnsi="Calibri;sans-serif"/>
          <w:b w:val="false"/>
          <w:color w:val="000000"/>
          <w:sz w:val="24"/>
        </w:rPr>
        <w:t xml:space="preserve">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 </w:t>
      </w:r>
    </w:p>
    <w:p>
      <w:pPr>
        <w:pStyle w:val="TextBody"/>
        <w:bidi w:val="0"/>
        <w:spacing w:lineRule="auto" w:line="240" w:before="0" w:after="160"/>
        <w:jc w:val="left"/>
        <w:rPr>
          <w:rFonts w:ascii="Calibri;sans-serif" w:hAnsi="Calibri;sans-serif"/>
          <w:b/>
          <w:color w:val="000000"/>
          <w:sz w:val="24"/>
          <w:u w:val="single"/>
        </w:rPr>
      </w:pPr>
      <w:r>
        <w:rPr>
          <w:rFonts w:ascii="Calibri;sans-serif" w:hAnsi="Calibri;sans-serif"/>
          <w:b/>
          <w:color w:val="000000"/>
          <w:sz w:val="24"/>
          <w:u w:val="single"/>
        </w:rPr>
        <w:t>Limited Exceptions</w: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Erroneously Awarded Compensation will be recovered in accordance with this Policy unless the Committee determines that recovery would be impracticable and one of the following conditions is met:</w:t>
      </w:r>
    </w:p>
    <w:p>
      <w:pPr>
        <w:pStyle w:val="TextBody"/>
        <w:bidi w:val="0"/>
        <w:spacing w:lineRule="auto" w:line="240" w:before="0" w:after="120"/>
        <w:ind w:left="0" w:right="0" w:hanging="360"/>
        <w:jc w:val="left"/>
        <w:rPr/>
      </w:pPr>
      <w:r>
        <w:rPr>
          <w:color w:val="000000"/>
        </w:rPr>
        <w:t>•</w:t>
      </w:r>
      <w:r>
        <w:rPr>
          <w:rFonts w:ascii="Calibri;sans-serif" w:hAnsi="Calibri;sans-serif"/>
          <w:b w:val="false"/>
          <w:color w:val="000000"/>
          <w:sz w:val="24"/>
        </w:rPr>
        <w:t>the direct expense paid to a third party to assist in enforcing this Policy would exceed the amount to be recovered, provided the Company has first made a reasonable effort to recover the Erroneously Awarded Compensation;</w:t>
      </w:r>
    </w:p>
    <w:p>
      <w:pPr>
        <w:pStyle w:val="TextBody"/>
        <w:bidi w:val="0"/>
        <w:spacing w:lineRule="auto" w:line="240" w:before="0" w:after="120"/>
        <w:ind w:left="0" w:right="0" w:hanging="360"/>
        <w:jc w:val="left"/>
        <w:rPr/>
      </w:pPr>
      <w:r>
        <w:rPr>
          <w:color w:val="000000"/>
        </w:rPr>
        <w:t>•</w:t>
      </w:r>
      <w:r>
        <w:rPr>
          <w:rFonts w:ascii="Calibri;sans-serif" w:hAnsi="Calibri;sans-serif"/>
          <w:b w:val="false"/>
          <w:color w:val="000000"/>
          <w:sz w:val="24"/>
        </w:rPr>
        <w:t>the recovery would likely cause a U.S. tax-qualified retirement plan to fail to meet the requirements of Internal Revenue Code Sections 401(a)(13) and 411(a) and the regulations thereunder; or</w:t>
      </w:r>
    </w:p>
    <w:p>
      <w:pPr>
        <w:pStyle w:val="TextBody"/>
        <w:bidi w:val="0"/>
        <w:spacing w:lineRule="auto" w:line="240" w:before="0" w:after="120"/>
        <w:ind w:left="0" w:right="0" w:hanging="360"/>
        <w:jc w:val="left"/>
        <w:rPr/>
      </w:pPr>
      <w:r>
        <w:rPr>
          <w:color w:val="000000"/>
        </w:rPr>
        <w:t>•</w:t>
      </w:r>
      <w:r>
        <w:rPr>
          <w:rFonts w:ascii="Calibri;sans-serif" w:hAnsi="Calibri;sans-serif"/>
          <w:b w:val="false"/>
          <w:color w:val="000000"/>
          <w:sz w:val="24"/>
        </w:rPr>
        <w:t>the recovery would violate a home country law that was in effect before November 28, 2022.</w: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Reliance on any of the above exemptions will further comply with applicable listing standards, including without limitation, documenting the reason for the impracticability and providing required documentation to the NYSE.</w:t>
      </w:r>
    </w:p>
    <w:p>
      <w:pPr>
        <w:pStyle w:val="TextBody"/>
        <w:bidi w:val="0"/>
        <w:spacing w:lineRule="auto" w:line="240" w:before="0" w:after="160"/>
        <w:jc w:val="left"/>
        <w:rPr>
          <w:rFonts w:ascii="Calibri;sans-serif" w:hAnsi="Calibri;sans-serif"/>
          <w:b/>
          <w:color w:val="000000"/>
          <w:sz w:val="24"/>
          <w:u w:val="single"/>
        </w:rPr>
      </w:pPr>
      <w:r>
        <w:rPr>
          <w:rFonts w:ascii="Calibri;sans-serif" w:hAnsi="Calibri;sans-serif"/>
          <w:b/>
          <w:color w:val="000000"/>
          <w:sz w:val="24"/>
          <w:u w:val="single"/>
        </w:rPr>
        <w:t>No Insurance or Indemnification</w: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Neither the Company nor any of its affiliates or subsidiaries may indemnify any Covered Executive against the loss of any Erroneously Awarded Compensation (or related expenses incurred by the Covered Executive) pursuant to a recovery of Erroneously Awarded Compensation under this Policy, nor will the Company nor any of its affiliates or subsidiaries pay or reimburse a Covered Executive for any insurance premiums on any insurance policy obtained by the Covered Executive to protect against the forfeiture or recovery of any compensation pursuant to this Policy.</w:t>
      </w:r>
    </w:p>
    <w:p>
      <w:pPr>
        <w:pStyle w:val="TextBody"/>
        <w:bidi w:val="0"/>
        <w:spacing w:lineRule="auto" w:line="240" w:before="0" w:after="160"/>
        <w:jc w:val="left"/>
        <w:rPr>
          <w:rFonts w:ascii="Calibri;sans-serif" w:hAnsi="Calibri;sans-serif"/>
          <w:b/>
          <w:color w:val="000000"/>
          <w:sz w:val="24"/>
          <w:u w:val="single"/>
        </w:rPr>
      </w:pPr>
      <w:r>
        <w:rPr>
          <w:rFonts w:ascii="Calibri;sans-serif" w:hAnsi="Calibri;sans-serif"/>
          <w:b/>
          <w:color w:val="000000"/>
          <w:sz w:val="24"/>
          <w:u w:val="single"/>
        </w:rPr>
        <w:t>Interpretation</w: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The Committee is authorized to interpret and construe this Policy and to make all determinations necessary, appropriate, or advisable for the administration of this Policy. This Policy shall be applied and interpreted in a manner that is consistent with the requirements of Rule 10D-1 and any applicable regulations, rules or standards adopted by SEC or the rules of any national securities exchange or national securities association on which the Company’s securities are listed. In the event that this Policy does not meet the requirements of Rule 10D-1, the SEC regulations promulgated thereunder, or the rules of any national securities exchange or national securities association on which the Company’s securities are listed, this Policy shall be deemed to be amended to meet such requirements.</w:t>
      </w:r>
    </w:p>
    <w:p>
      <w:pPr>
        <w:pStyle w:val="TextBody"/>
        <w:bidi w:val="0"/>
        <w:spacing w:lineRule="auto" w:line="240" w:before="0" w:after="160"/>
        <w:jc w:val="left"/>
        <w:rPr>
          <w:rFonts w:ascii="Calibri;sans-serif" w:hAnsi="Calibri;sans-serif"/>
          <w:b/>
          <w:color w:val="000000"/>
          <w:sz w:val="24"/>
          <w:u w:val="single"/>
        </w:rPr>
      </w:pPr>
      <w:r>
        <w:rPr>
          <w:rFonts w:ascii="Calibri;sans-serif" w:hAnsi="Calibri;sans-serif"/>
          <w:b/>
          <w:color w:val="000000"/>
          <w:sz w:val="24"/>
          <w:u w:val="single"/>
        </w:rPr>
        <w:t>Amendment;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055370"/>
                <wp:effectExtent l="0" t="0" r="0" b="0"/>
                <wp:wrapNone/>
                <wp:docPr id="174" name="Frame171"/>
                <a:graphic xmlns:a="http://schemas.openxmlformats.org/drawingml/2006/main">
                  <a:graphicData uri="http://schemas.microsoft.com/office/word/2010/wordprocessingShape">
                    <wps:wsp>
                      <wps:cNvSpPr txBox="1"/>
                      <wps:spPr>
                        <a:xfrm>
                          <a:off x="0" y="0"/>
                          <a:ext cx="6480175" cy="1055370"/>
                        </a:xfrm>
                        <a:prstGeom prst="rect"/>
                        <a:solidFill>
                          <a:srgbClr val="FFFFFF"/>
                        </a:solidFill>
                      </wps:spPr>
                      <wps:txbx>
                        <w:txbxContent>
                          <w:tbl>
                            <w:tblPr>
                              <w:tblW w:w="4245" w:type="dxa"/>
                              <w:jc w:val="left"/>
                              <w:tblInd w:w="0" w:type="dxa"/>
                              <w:tblLayout w:type="fixed"/>
                              <w:tblCellMar>
                                <w:top w:w="28" w:type="dxa"/>
                                <w:left w:w="28" w:type="dxa"/>
                                <w:bottom w:w="28" w:type="dxa"/>
                                <w:right w:w="28" w:type="dxa"/>
                              </w:tblCellMar>
                            </w:tblPr>
                            <w:tblGrid>
                              <w:gridCol w:w="476"/>
                              <w:gridCol w:w="418"/>
                              <w:gridCol w:w="425"/>
                              <w:gridCol w:w="484"/>
                              <w:gridCol w:w="484"/>
                              <w:gridCol w:w="487"/>
                              <w:gridCol w:w="315"/>
                              <w:gridCol w:w="315"/>
                              <w:gridCol w:w="316"/>
                              <w:gridCol w:w="153"/>
                              <w:gridCol w:w="153"/>
                              <w:gridCol w:w="219"/>
                            </w:tblGrid>
                            <w:tr>
                              <w:trPr/>
                              <w:tc>
                                <w:tcPr>
                                  <w:tcW w:w="476" w:type="dxa"/>
                                  <w:tcBorders/>
                                  <w:vAlign w:val="center"/>
                                </w:tcPr>
                                <w:p>
                                  <w:pPr>
                                    <w:pStyle w:val="TableContents"/>
                                    <w:bidi w:val="0"/>
                                    <w:spacing w:before="0" w:after="283"/>
                                    <w:jc w:val="left"/>
                                    <w:rPr>
                                      <w:sz w:val="4"/>
                                      <w:szCs w:val="4"/>
                                    </w:rPr>
                                  </w:pPr>
                                  <w:r>
                                    <w:rPr>
                                      <w:sz w:val="4"/>
                                      <w:szCs w:val="4"/>
                                    </w:rPr>
                                  </w:r>
                                  <w:r>
                                    <w:br w:type="page"/>
                                  </w:r>
                                </w:p>
                              </w:tc>
                              <w:tc>
                                <w:tcPr>
                                  <w:tcW w:w="4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ISSUED BY</w:t>
                                  </w:r>
                                </w:p>
                              </w:tc>
                              <w:tc>
                                <w:tcPr>
                                  <w:tcW w:w="14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EFFECTIVE DATE</w:t>
                                  </w:r>
                                </w:p>
                              </w:tc>
                              <w:tc>
                                <w:tcPr>
                                  <w:tcW w:w="9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SUPERSEDES</w:t>
                                  </w:r>
                                </w:p>
                              </w:tc>
                              <w:tc>
                                <w:tcPr>
                                  <w:tcW w:w="5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PAGE</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Legal Department</w:t>
                                  </w:r>
                                </w:p>
                              </w:tc>
                              <w:tc>
                                <w:tcPr>
                                  <w:tcW w:w="145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November 30, 2023</w:t>
                                  </w:r>
                                </w:p>
                              </w:tc>
                              <w:tc>
                                <w:tcPr>
                                  <w:tcW w:w="94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120"/>
                                    <w:jc w:val="center"/>
                                    <w:rPr>
                                      <w:rFonts w:ascii="Calibri;sans-serif" w:hAnsi="Calibri;sans-serif"/>
                                      <w:b w:val="false"/>
                                      <w:color w:val="000000"/>
                                      <w:sz w:val="16"/>
                                    </w:rPr>
                                  </w:pPr>
                                  <w:r>
                                    <w:rPr>
                                      <w:rFonts w:ascii="Calibri;sans-serif" w:hAnsi="Calibri;sans-serif"/>
                                      <w:b w:val="false"/>
                                      <w:color w:val="000000"/>
                                      <w:sz w:val="16"/>
                                    </w:rPr>
                                    <w:t>3 of 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1pt;mso-wrap-distance-left:0pt;mso-wrap-distance-right:0pt;mso-wrap-distance-top:0pt;mso-wrap-distance-bottom:0pt;margin-top:0pt;mso-position-vertical:top;mso-position-vertical-relative:text;margin-left:0pt;mso-position-horizontal:left;mso-position-horizontal-relative:text">
                <v:textbox>
                  <w:txbxContent>
                    <w:tbl>
                      <w:tblPr>
                        <w:tblW w:w="4245" w:type="dxa"/>
                        <w:jc w:val="left"/>
                        <w:tblInd w:w="0" w:type="dxa"/>
                        <w:tblLayout w:type="fixed"/>
                        <w:tblCellMar>
                          <w:top w:w="28" w:type="dxa"/>
                          <w:left w:w="28" w:type="dxa"/>
                          <w:bottom w:w="28" w:type="dxa"/>
                          <w:right w:w="28" w:type="dxa"/>
                        </w:tblCellMar>
                      </w:tblPr>
                      <w:tblGrid>
                        <w:gridCol w:w="476"/>
                        <w:gridCol w:w="418"/>
                        <w:gridCol w:w="425"/>
                        <w:gridCol w:w="484"/>
                        <w:gridCol w:w="484"/>
                        <w:gridCol w:w="487"/>
                        <w:gridCol w:w="315"/>
                        <w:gridCol w:w="315"/>
                        <w:gridCol w:w="316"/>
                        <w:gridCol w:w="153"/>
                        <w:gridCol w:w="153"/>
                        <w:gridCol w:w="219"/>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ISSUED BY</w:t>
                            </w:r>
                          </w:p>
                        </w:tc>
                        <w:tc>
                          <w:tcPr>
                            <w:tcW w:w="14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EFFECTIVE DATE</w:t>
                            </w:r>
                          </w:p>
                        </w:tc>
                        <w:tc>
                          <w:tcPr>
                            <w:tcW w:w="9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SUPERSEDES</w:t>
                            </w:r>
                          </w:p>
                        </w:tc>
                        <w:tc>
                          <w:tcPr>
                            <w:tcW w:w="5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PAGE</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Legal Department</w:t>
                            </w:r>
                          </w:p>
                        </w:tc>
                        <w:tc>
                          <w:tcPr>
                            <w:tcW w:w="145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November 30, 2023</w:t>
                            </w:r>
                          </w:p>
                        </w:tc>
                        <w:tc>
                          <w:tcPr>
                            <w:tcW w:w="94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120"/>
                              <w:jc w:val="center"/>
                              <w:rPr>
                                <w:rFonts w:ascii="Calibri;sans-serif" w:hAnsi="Calibri;sans-serif"/>
                                <w:b w:val="false"/>
                                <w:color w:val="000000"/>
                                <w:sz w:val="16"/>
                              </w:rPr>
                            </w:pPr>
                            <w:r>
                              <w:rPr>
                                <w:rFonts w:ascii="Calibri;sans-serif" w:hAnsi="Calibri;sans-serif"/>
                                <w:b w:val="false"/>
                                <w:color w:val="000000"/>
                                <w:sz w:val="16"/>
                              </w:rPr>
                              <w:t>3 of 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The Board or the Committee may amend this Policy in its discretion and shall amend this Policy as it deems necessary to comply with the regulations adopted by the SEC under Rule 10D-1 and the rules of any national securities exchange or national securities association on which the Company’s securities are listed. The Board or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pStyle w:val="TextBody"/>
        <w:bidi w:val="0"/>
        <w:spacing w:lineRule="auto" w:line="240" w:before="0" w:after="160"/>
        <w:jc w:val="left"/>
        <w:rPr>
          <w:rFonts w:ascii="Calibri;sans-serif" w:hAnsi="Calibri;sans-serif"/>
          <w:b/>
          <w:color w:val="000000"/>
          <w:sz w:val="24"/>
          <w:u w:val="single"/>
        </w:rPr>
      </w:pPr>
      <w:r>
        <w:rPr>
          <w:rFonts w:ascii="Calibri;sans-serif" w:hAnsi="Calibri;sans-serif"/>
          <w:b/>
          <w:color w:val="000000"/>
          <w:sz w:val="24"/>
          <w:u w:val="single"/>
        </w:rPr>
        <w:t>Other Recoupment Rights</w: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Any right of recoupment under this Policy is in addition to, and not in lieu of, any other remedies or rights of recoupment that may be available to the Company pursuant to the terms of any similar provision in any employment agreement or other compensation plan or agreement and any other legal remedies available to the Company. This Policy is in addition to any other clawback or compensation recovery, recoupment or forfeiture policy in effect or that may be adopted by the Company from time to time, or any laws, rules or listing standards applicable to the Company, including without limitation, the Company’s right to recoup compensation subject to Section 304 of the Sarbanes-Oxley Act of 2002. To the extent that application of this Policy would provide for recovery of Erroneously Awarded Compensation that the Company recovers pursuant to another policy or provision, the amount that is recovered will be credited to the required recovery under this Policy.</w:t>
      </w:r>
    </w:p>
    <w:p>
      <w:pPr>
        <w:pStyle w:val="TextBody"/>
        <w:bidi w:val="0"/>
        <w:spacing w:lineRule="auto" w:line="240" w:before="0" w:after="160"/>
        <w:jc w:val="left"/>
        <w:rPr>
          <w:rFonts w:ascii="Calibri;sans-serif" w:hAnsi="Calibri;sans-serif"/>
          <w:b/>
          <w:color w:val="000000"/>
          <w:sz w:val="24"/>
          <w:u w:val="single"/>
        </w:rPr>
      </w:pPr>
      <w:r>
        <w:rPr>
          <w:rFonts w:ascii="Calibri;sans-serif" w:hAnsi="Calibri;sans-serif"/>
          <w:b/>
          <w:color w:val="000000"/>
          <w:sz w:val="24"/>
          <w:u w:val="single"/>
        </w:rPr>
        <w:t>Successors</w:t>
      </w:r>
    </w:p>
    <w:p>
      <w:pPr>
        <w:pStyle w:val="TextBody"/>
        <w:bidi w:val="0"/>
        <w:spacing w:lineRule="auto" w:line="240" w:before="0" w:after="160"/>
        <w:jc w:val="left"/>
        <w:rPr>
          <w:rFonts w:ascii="Calibri;sans-serif" w:hAnsi="Calibri;sans-serif"/>
          <w:b w:val="false"/>
          <w:color w:val="000000"/>
          <w:sz w:val="24"/>
        </w:rPr>
      </w:pPr>
      <w:r>
        <w:rPr>
          <w:rFonts w:ascii="Calibri;sans-serif" w:hAnsi="Calibri;sans-serif"/>
          <w:b w:val="false"/>
          <w:color w:val="000000"/>
          <w:sz w:val="24"/>
        </w:rPr>
        <w:t>This Policy shall be binding and enforceable against all Covered Executives and their beneficiaries, heirs, executors, administrators or other legal representatives.</w:t>
      </w:r>
    </w:p>
    <w:p>
      <w:pPr>
        <w:pStyle w:val="TextBody"/>
        <w:bidi w:val="0"/>
        <w:spacing w:lineRule="auto" w:line="240" w:before="0" w:after="0"/>
        <w:jc w:val="left"/>
        <w:rPr>
          <w:rFonts w:ascii="Calibri;sans-serif" w:hAnsi="Calibri;sans-serif"/>
          <w:b/>
          <w:color w:val="000000"/>
          <w:sz w:val="24"/>
          <w:u w:val="single"/>
        </w:rPr>
      </w:pPr>
      <w:r>
        <w:rPr>
          <w:rFonts w:ascii="Calibri;sans-serif" w:hAnsi="Calibri;sans-serif"/>
          <w:b/>
          <w:color w:val="000000"/>
          <w:sz w:val="24"/>
          <w:u w:val="single"/>
        </w:rPr>
        <w:t>Contact</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Any questions concerning this Policy may be addressed to the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055370"/>
                <wp:effectExtent l="0" t="0" r="0" b="0"/>
                <wp:wrapNone/>
                <wp:docPr id="175" name="Frame172"/>
                <a:graphic xmlns:a="http://schemas.openxmlformats.org/drawingml/2006/main">
                  <a:graphicData uri="http://schemas.microsoft.com/office/word/2010/wordprocessingShape">
                    <wps:wsp>
                      <wps:cNvSpPr txBox="1"/>
                      <wps:spPr>
                        <a:xfrm>
                          <a:off x="0" y="0"/>
                          <a:ext cx="6480175" cy="1055370"/>
                        </a:xfrm>
                        <a:prstGeom prst="rect"/>
                        <a:solidFill>
                          <a:srgbClr val="FFFFFF"/>
                        </a:solidFill>
                      </wps:spPr>
                      <wps:txbx>
                        <w:txbxContent>
                          <w:tbl>
                            <w:tblPr>
                              <w:tblW w:w="4245" w:type="dxa"/>
                              <w:jc w:val="left"/>
                              <w:tblInd w:w="0" w:type="dxa"/>
                              <w:tblLayout w:type="fixed"/>
                              <w:tblCellMar>
                                <w:top w:w="28" w:type="dxa"/>
                                <w:left w:w="28" w:type="dxa"/>
                                <w:bottom w:w="28" w:type="dxa"/>
                                <w:right w:w="28" w:type="dxa"/>
                              </w:tblCellMar>
                            </w:tblPr>
                            <w:tblGrid>
                              <w:gridCol w:w="476"/>
                              <w:gridCol w:w="418"/>
                              <w:gridCol w:w="425"/>
                              <w:gridCol w:w="484"/>
                              <w:gridCol w:w="484"/>
                              <w:gridCol w:w="487"/>
                              <w:gridCol w:w="315"/>
                              <w:gridCol w:w="315"/>
                              <w:gridCol w:w="316"/>
                              <w:gridCol w:w="153"/>
                              <w:gridCol w:w="153"/>
                              <w:gridCol w:w="219"/>
                            </w:tblGrid>
                            <w:tr>
                              <w:trPr/>
                              <w:tc>
                                <w:tcPr>
                                  <w:tcW w:w="476" w:type="dxa"/>
                                  <w:tcBorders/>
                                  <w:vAlign w:val="center"/>
                                </w:tcPr>
                                <w:p>
                                  <w:pPr>
                                    <w:pStyle w:val="TableContents"/>
                                    <w:bidi w:val="0"/>
                                    <w:spacing w:before="0" w:after="283"/>
                                    <w:jc w:val="left"/>
                                    <w:rPr>
                                      <w:sz w:val="4"/>
                                      <w:szCs w:val="4"/>
                                    </w:rPr>
                                  </w:pPr>
                                  <w:r>
                                    <w:rPr>
                                      <w:sz w:val="4"/>
                                      <w:szCs w:val="4"/>
                                    </w:rPr>
                                  </w:r>
                                  <w:r>
                                    <w:br w:type="page"/>
                                  </w:r>
                                </w:p>
                              </w:tc>
                              <w:tc>
                                <w:tcPr>
                                  <w:tcW w:w="4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ISSUED BY</w:t>
                                  </w:r>
                                </w:p>
                              </w:tc>
                              <w:tc>
                                <w:tcPr>
                                  <w:tcW w:w="14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EFFECTIVE DATE</w:t>
                                  </w:r>
                                </w:p>
                              </w:tc>
                              <w:tc>
                                <w:tcPr>
                                  <w:tcW w:w="9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SUPERSEDES</w:t>
                                  </w:r>
                                </w:p>
                              </w:tc>
                              <w:tc>
                                <w:tcPr>
                                  <w:tcW w:w="5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PAGE</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Legal Department</w:t>
                                  </w:r>
                                </w:p>
                              </w:tc>
                              <w:tc>
                                <w:tcPr>
                                  <w:tcW w:w="145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November 30, 2023</w:t>
                                  </w:r>
                                </w:p>
                              </w:tc>
                              <w:tc>
                                <w:tcPr>
                                  <w:tcW w:w="94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120"/>
                                    <w:jc w:val="center"/>
                                    <w:rPr>
                                      <w:rFonts w:ascii="Calibri;sans-serif" w:hAnsi="Calibri;sans-serif"/>
                                      <w:b w:val="false"/>
                                      <w:color w:val="000000"/>
                                      <w:sz w:val="16"/>
                                    </w:rPr>
                                  </w:pPr>
                                  <w:r>
                                    <w:rPr>
                                      <w:rFonts w:ascii="Calibri;sans-serif" w:hAnsi="Calibri;sans-serif"/>
                                      <w:b w:val="false"/>
                                      <w:color w:val="000000"/>
                                      <w:sz w:val="16"/>
                                    </w:rPr>
                                    <w:t>4 of 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1pt;mso-wrap-distance-left:0pt;mso-wrap-distance-right:0pt;mso-wrap-distance-top:0pt;mso-wrap-distance-bottom:0pt;margin-top:0pt;mso-position-vertical:top;mso-position-vertical-relative:text;margin-left:-226.85pt;mso-position-horizontal:left;mso-position-horizontal-relative:text">
                <v:textbox>
                  <w:txbxContent>
                    <w:tbl>
                      <w:tblPr>
                        <w:tblW w:w="4245" w:type="dxa"/>
                        <w:jc w:val="left"/>
                        <w:tblInd w:w="0" w:type="dxa"/>
                        <w:tblLayout w:type="fixed"/>
                        <w:tblCellMar>
                          <w:top w:w="28" w:type="dxa"/>
                          <w:left w:w="28" w:type="dxa"/>
                          <w:bottom w:w="28" w:type="dxa"/>
                          <w:right w:w="28" w:type="dxa"/>
                        </w:tblCellMar>
                      </w:tblPr>
                      <w:tblGrid>
                        <w:gridCol w:w="476"/>
                        <w:gridCol w:w="418"/>
                        <w:gridCol w:w="425"/>
                        <w:gridCol w:w="484"/>
                        <w:gridCol w:w="484"/>
                        <w:gridCol w:w="487"/>
                        <w:gridCol w:w="315"/>
                        <w:gridCol w:w="315"/>
                        <w:gridCol w:w="316"/>
                        <w:gridCol w:w="153"/>
                        <w:gridCol w:w="153"/>
                        <w:gridCol w:w="219"/>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ISSUED BY</w:t>
                            </w:r>
                          </w:p>
                        </w:tc>
                        <w:tc>
                          <w:tcPr>
                            <w:tcW w:w="14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EFFECTIVE DATE</w:t>
                            </w:r>
                          </w:p>
                        </w:tc>
                        <w:tc>
                          <w:tcPr>
                            <w:tcW w:w="9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SUPERSEDES</w:t>
                            </w:r>
                          </w:p>
                        </w:tc>
                        <w:tc>
                          <w:tcPr>
                            <w:tcW w:w="5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PAGE</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Legal Department</w:t>
                            </w:r>
                          </w:p>
                        </w:tc>
                        <w:tc>
                          <w:tcPr>
                            <w:tcW w:w="145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November 30, 2023</w:t>
                            </w:r>
                          </w:p>
                        </w:tc>
                        <w:tc>
                          <w:tcPr>
                            <w:tcW w:w="94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120"/>
                              <w:jc w:val="center"/>
                              <w:rPr>
                                <w:rFonts w:ascii="Calibri;sans-serif" w:hAnsi="Calibri;sans-serif"/>
                                <w:b w:val="false"/>
                                <w:color w:val="000000"/>
                                <w:sz w:val="16"/>
                              </w:rPr>
                            </w:pPr>
                            <w:r>
                              <w:rPr>
                                <w:rFonts w:ascii="Calibri;sans-serif" w:hAnsi="Calibri;sans-serif"/>
                                <w:b w:val="false"/>
                                <w:color w:val="000000"/>
                                <w:sz w:val="16"/>
                              </w:rPr>
                              <w:t>4 of 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60"/>
        <w:jc w:val="center"/>
        <w:rPr>
          <w:rFonts w:ascii="Calibri;sans-serif" w:hAnsi="Calibri;sans-serif"/>
          <w:b/>
          <w:color w:val="000000"/>
          <w:sz w:val="24"/>
        </w:rPr>
      </w:pPr>
      <w:r>
        <w:rPr>
          <w:rFonts w:ascii="Calibri;sans-serif" w:hAnsi="Calibri;sans-serif"/>
          <w:b/>
          <w:color w:val="000000"/>
          <w:sz w:val="24"/>
        </w:rPr>
        <w:t>ACKNOWLEDGMENT TO</w:t>
      </w:r>
    </w:p>
    <w:p>
      <w:pPr>
        <w:pStyle w:val="TextBody"/>
        <w:bidi w:val="0"/>
        <w:spacing w:lineRule="auto" w:line="240" w:before="0" w:after="160"/>
        <w:jc w:val="center"/>
        <w:rPr>
          <w:rFonts w:ascii="Calibri;sans-serif" w:hAnsi="Calibri;sans-serif"/>
          <w:b/>
          <w:color w:val="000000"/>
          <w:sz w:val="24"/>
        </w:rPr>
      </w:pPr>
      <w:r>
        <w:rPr>
          <w:rFonts w:ascii="Calibri;sans-serif" w:hAnsi="Calibri;sans-serif"/>
          <w:b/>
          <w:color w:val="000000"/>
          <w:sz w:val="24"/>
        </w:rPr>
        <w:t>PENTAIR PLC</w:t>
      </w:r>
    </w:p>
    <w:p>
      <w:pPr>
        <w:pStyle w:val="TextBody"/>
        <w:bidi w:val="0"/>
        <w:spacing w:lineRule="auto" w:line="240" w:before="0" w:after="160"/>
        <w:jc w:val="center"/>
        <w:rPr>
          <w:rFonts w:ascii="Calibri;sans-serif" w:hAnsi="Calibri;sans-serif"/>
          <w:b/>
          <w:color w:val="000000"/>
          <w:sz w:val="24"/>
        </w:rPr>
      </w:pPr>
      <w:r>
        <w:rPr>
          <w:rFonts w:ascii="Calibri;sans-serif" w:hAnsi="Calibri;sans-serif"/>
          <w:b/>
          <w:color w:val="000000"/>
          <w:sz w:val="24"/>
        </w:rPr>
        <w:t>COMPENSATION RECOVERY POLICY</w:t>
      </w:r>
    </w:p>
    <w:p>
      <w:pPr>
        <w:pStyle w:val="TextBody"/>
        <w:bidi w:val="0"/>
        <w:spacing w:before="0" w:after="160"/>
        <w:ind w:left="0" w:right="0" w:firstLine="720"/>
        <w:jc w:val="left"/>
        <w:rPr/>
      </w:pPr>
      <w:r>
        <w:rPr/>
      </w:r>
    </w:p>
    <w:p>
      <w:pPr>
        <w:pStyle w:val="TextBody"/>
        <w:bidi w:val="0"/>
        <w:spacing w:lineRule="auto" w:line="240" w:before="0" w:after="160"/>
        <w:ind w:left="0" w:right="0" w:firstLine="720"/>
        <w:jc w:val="left"/>
        <w:rPr>
          <w:rFonts w:ascii="Calibri;sans-serif" w:hAnsi="Calibri;sans-serif"/>
          <w:b w:val="false"/>
          <w:color w:val="000000"/>
          <w:sz w:val="24"/>
        </w:rPr>
      </w:pPr>
      <w:r>
        <w:rPr>
          <w:rFonts w:ascii="Calibri;sans-serif" w:hAnsi="Calibri;sans-serif"/>
          <w:b w:val="false"/>
          <w:color w:val="000000"/>
          <w:sz w:val="24"/>
        </w:rPr>
        <w:t xml:space="preserve">By signing below, the undersigned acknowledges and confirms that the undersigned has received and reviewed a copy of the Pentair plc (the “Company”) Compensation Recovery Policy (as it may be amended and in effect from time to time, the “Policy”). </w:t>
      </w:r>
    </w:p>
    <w:p>
      <w:pPr>
        <w:pStyle w:val="TextBody"/>
        <w:bidi w:val="0"/>
        <w:spacing w:before="0" w:after="160"/>
        <w:ind w:left="0" w:right="0" w:firstLine="720"/>
        <w:jc w:val="left"/>
        <w:rPr/>
      </w:pPr>
      <w:r>
        <w:rPr/>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________________________________</w:t>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Signature</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________________________________</w:t>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Printed Name</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_________________________________</w:t>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Date</w:t>
      </w:r>
    </w:p>
    <w:p>
      <w:pPr>
        <w:pStyle w:val="TextBody"/>
        <w:bidi w:val="0"/>
        <w:spacing w:before="0" w:after="160"/>
        <w:ind w:left="0" w:right="0" w:firstLine="720"/>
        <w:jc w:val="left"/>
        <w:rPr/>
      </w:pPr>
      <w:r>
        <w:rPr/>
      </w:r>
    </w:p>
    <w:p>
      <w:pPr>
        <w:pStyle w:val="TextBody"/>
        <w:bidi w:val="0"/>
        <w:spacing w:before="0" w:after="16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Light">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77360/000119312517164403/d365501dex31.htm" TargetMode="External"/><Relationship Id="rId5" Type="http://schemas.openxmlformats.org/officeDocument/2006/relationships/hyperlink" Target="http://www.sec.gov/Archives/edgar/data/77360/000110465921151404/tm2135751d1_ex4-1.htm" TargetMode="External"/><Relationship Id="rId6" Type="http://schemas.openxmlformats.org/officeDocument/2006/relationships/hyperlink" Target="https://www.sec.gov/Archives/edgar/data/77360/000007736023000006/amendmentno1tocreditagre.htm" TargetMode="External"/><Relationship Id="rId7" Type="http://schemas.openxmlformats.org/officeDocument/2006/relationships/hyperlink" Target="http://www.sec.gov/Archives/edgar/data/77360/000119312515321236/d19886dex41.htm" TargetMode="External"/><Relationship Id="rId8" Type="http://schemas.openxmlformats.org/officeDocument/2006/relationships/hyperlink" Target="http://www.sec.gov/Archives/edgar/data/77360/000119312515321236/d19886dex44.htm" TargetMode="External"/><Relationship Id="rId9" Type="http://schemas.openxmlformats.org/officeDocument/2006/relationships/hyperlink" Target="http://www.sec.gov/Archives/edgar/data/77360/000007736017000025/exhibit43fifthsupplemental.htm" TargetMode="External"/><Relationship Id="rId10" Type="http://schemas.openxmlformats.org/officeDocument/2006/relationships/hyperlink" Target="http://www.sec.gov/Archives/edgar/data/77360/000110465919037009/a19-10746_8ex4d2.htm" TargetMode="External"/><Relationship Id="rId11" Type="http://schemas.openxmlformats.org/officeDocument/2006/relationships/hyperlink" Target="http://www.sec.gov/Archives/edgar/data/77360/000007736020000031/exhibit42seventhsupple.htm" TargetMode="External"/><Relationship Id="rId12" Type="http://schemas.openxmlformats.org/officeDocument/2006/relationships/hyperlink" Target="http://www.sec.gov/Archives/edgar/data/77360/000110465922078363/tm2220547d1_ex4-3.htm" TargetMode="External"/><Relationship Id="rId13" Type="http://schemas.openxmlformats.org/officeDocument/2006/relationships/hyperlink" Target="http://www.sec.gov/Archives/edgar/data/77360/000110465922038083/tm2210380d1_ex4-1.htm" TargetMode="External"/><Relationship Id="rId14" Type="http://schemas.openxmlformats.org/officeDocument/2006/relationships/hyperlink" Target="http://www.sec.gov/Archives/edgar/data/77360/000110465922076355/tm2219016d10_ex4-1.htm" TargetMode="External"/><Relationship Id="rId15" Type="http://schemas.openxmlformats.org/officeDocument/2006/relationships/hyperlink" Target="http://www.sec.gov/Archives/edgar/data/77360/000007736018000018/exhibit22.htm" TargetMode="External"/><Relationship Id="rId16" Type="http://schemas.openxmlformats.org/officeDocument/2006/relationships/hyperlink" Target="http://www.sec.gov/Archives/edgar/data/77360/000007736017000008/ex102pentairplc2012stockan.htm" TargetMode="External"/><Relationship Id="rId17" Type="http://schemas.openxmlformats.org/officeDocument/2006/relationships/hyperlink" Target="http://www.sec.gov/Archives/edgar/data/77360/000119312514223285/d738414dex107.htm" TargetMode="External"/><Relationship Id="rId18" Type="http://schemas.openxmlformats.org/officeDocument/2006/relationships/hyperlink" Target="http://www.sec.gov/Archives/edgar/data/77360/000119312514223285/d738414dex1010.htm" TargetMode="External"/><Relationship Id="rId19" Type="http://schemas.openxmlformats.org/officeDocument/2006/relationships/hyperlink" Target="http://www.sec.gov/Archives/edgar/data/77360/000007736018000027/exhibit10120180630.htm" TargetMode="External"/><Relationship Id="rId20" Type="http://schemas.openxmlformats.org/officeDocument/2006/relationships/hyperlink" Target="http://www.sec.gov/Archives/edgar/data/77360/000007736018000027/exhibit10320180630.htm" TargetMode="External"/><Relationship Id="rId21" Type="http://schemas.openxmlformats.org/officeDocument/2006/relationships/hyperlink" Target="http://www.sec.gov/Archives/edgar/data/77360/000007736022000006/exhibit108keesa.htm" TargetMode="External"/><Relationship Id="rId22" Type="http://schemas.openxmlformats.org/officeDocument/2006/relationships/hyperlink" Target="http://www.sec.gov/Archives/edgar/data/77360/000119312514223285/d738414dex106.htm" TargetMode="External"/><Relationship Id="rId23" Type="http://schemas.openxmlformats.org/officeDocument/2006/relationships/hyperlink" Target="https://www.sec.gov/Archives/edgar/data/77360/000007736021000005/exhibit1011.htm" TargetMode="External"/><Relationship Id="rId24" Type="http://schemas.openxmlformats.org/officeDocument/2006/relationships/hyperlink" Target="http://www.sec.gov/Archives/edgar/data/77360/000007736019000006/ex1017non-qualifieddeferre.htm" TargetMode="External"/><Relationship Id="rId25" Type="http://schemas.openxmlformats.org/officeDocument/2006/relationships/hyperlink" Target="http://www.sec.gov/Archives/edgar/data/77360/0000077360-96-000028.txt" TargetMode="External"/><Relationship Id="rId26" Type="http://schemas.openxmlformats.org/officeDocument/2006/relationships/hyperlink" Target="http://www.sec.gov/Archives/edgar/data/77360/000119312514223285/d738414dex1013.htm" TargetMode="External"/><Relationship Id="rId27" Type="http://schemas.openxmlformats.org/officeDocument/2006/relationships/hyperlink" Target="http://www.sec.gov/Archives/edgar/data/77360/000119312514223285/d738414dex1014.htm" TargetMode="External"/><Relationship Id="rId28" Type="http://schemas.openxmlformats.org/officeDocument/2006/relationships/hyperlink" Target="http://www.sec.gov/Archives/edgar/data/77360/000119312514223285/d738414dex1015.htm" TargetMode="External"/><Relationship Id="rId29" Type="http://schemas.openxmlformats.org/officeDocument/2006/relationships/hyperlink" Target="http://www.sec.gov/Archives/edgar/data/77360/000119312514223285/d738414dex1016.htm" TargetMode="External"/><Relationship Id="rId30" Type="http://schemas.openxmlformats.org/officeDocument/2006/relationships/hyperlink" Target="http://www.sec.gov/Archives/edgar/data/77360/000007736017000008/ex1031pentairplc2012stocka.htm" TargetMode="External"/><Relationship Id="rId31" Type="http://schemas.openxmlformats.org/officeDocument/2006/relationships/hyperlink" Target="http://www.sec.gov/Archives/edgar/data/77360/000007736018000016/ex104pentairstockoptionagr.htm" TargetMode="External"/><Relationship Id="rId32" Type="http://schemas.openxmlformats.org/officeDocument/2006/relationships/hyperlink" Target="http://www.sec.gov/Archives/edgar/data/77360/000110465920064373/tm2020013d2_ex99-2.htm" TargetMode="External"/><Relationship Id="rId33" Type="http://schemas.openxmlformats.org/officeDocument/2006/relationships/hyperlink" Target="https://www.sec.gov/Archives/edgar/data/77360/000007736021000005/exhibit1030.htm" TargetMode="External"/><Relationship Id="rId34" Type="http://schemas.openxmlformats.org/officeDocument/2006/relationships/hyperlink" Target="https://www.sec.gov/Archives/edgar/data/77360/000007736021000005/exhibit1031.htm" TargetMode="External"/><Relationship Id="rId35" Type="http://schemas.openxmlformats.org/officeDocument/2006/relationships/hyperlink" Target="http://www.sec.gov/Archives/edgar/data/77360/000007736022000041/ex22guarantorsubsidiariesq.htm" TargetMode="External"/><Relationship Id="rId36" Type="http://schemas.openxmlformats.org/officeDocument/2006/relationships/image" Target="media/image3.pn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93</Pages>
  <Words>90908</Words>
  <Characters>495537</Characters>
  <CharactersWithSpaces>583563</CharactersWithSpaces>
  <Paragraphs>5861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