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44-20-7347-8925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March 31, 2018, 178,386,369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3"/>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6"/>
            <w:vMerge w:val="continue"/>
          </w:tcPr>
          <w:p>
            <w:pPr>
              <w:spacing w:after="0"/>
              <w:rPr>
                <w:sz w:val="24"/>
                <w:szCs w:val="24"/>
                <w:color w:val="auto"/>
              </w:rPr>
            </w:pPr>
          </w:p>
        </w:tc>
        <w:tc>
          <w:tcPr>
            <w:tcW w:w="7460" w:type="dxa"/>
            <w:vAlign w:val="bottom"/>
            <w:gridSpan w:val="1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sz w:val="20"/>
                <w:szCs w:val="20"/>
                <w:color w:val="auto"/>
              </w:rPr>
            </w:pPr>
            <w:r>
              <w:rPr>
                <w:rFonts w:ascii="Arial" w:cs="Arial" w:eastAsia="Arial" w:hAnsi="Arial"/>
                <w:sz w:val="18"/>
                <w:szCs w:val="18"/>
                <w:color w:val="0000EE"/>
                <w:w w:val="90"/>
              </w:rPr>
              <w:t>Condensed Consolidated Statements of Operations and Comprehensive Income for the three months ended March</w:t>
            </w:r>
          </w:p>
        </w:tc>
        <w:tc>
          <w:tcPr>
            <w:tcW w:w="90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340" w:type="dxa"/>
            <w:vAlign w:val="bottom"/>
            <w:tcBorders>
              <w:top w:val="single" w:sz="8" w:color="0000EE"/>
            </w:tcBorders>
            <w:gridSpan w:val="7"/>
            <w:vMerge w:val="restart"/>
          </w:tcPr>
          <w:p>
            <w:pPr>
              <w:spacing w:after="0" w:line="196" w:lineRule="exact"/>
              <w:rPr>
                <w:sz w:val="20"/>
                <w:szCs w:val="20"/>
                <w:color w:val="auto"/>
              </w:rPr>
            </w:pPr>
            <w:r>
              <w:rPr>
                <w:rFonts w:ascii="Arial" w:cs="Arial" w:eastAsia="Arial" w:hAnsi="Arial"/>
                <w:sz w:val="18"/>
                <w:szCs w:val="18"/>
                <w:color w:val="0000EE"/>
                <w:w w:val="87"/>
              </w:rPr>
              <w:t>31, 2018 and 2017</w:t>
            </w:r>
          </w:p>
        </w:tc>
        <w:tc>
          <w:tcPr>
            <w:tcW w:w="6700" w:type="dxa"/>
            <w:vAlign w:val="bottom"/>
            <w:tcBorders>
              <w:top w:val="single" w:sz="8" w:color="0000EE"/>
            </w:tcBorders>
            <w:gridSpan w:val="9"/>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Borders>
              <w:top w:val="single" w:sz="8" w:color="0000EE"/>
              <w:bottom w:val="single" w:sz="8" w:color="0000EE"/>
            </w:tcBorders>
            <w:gridSpan w:val="7"/>
            <w:vMerge w:val="continue"/>
          </w:tcPr>
          <w:p>
            <w:pPr>
              <w:spacing w:after="0"/>
              <w:rPr>
                <w:sz w:val="7"/>
                <w:szCs w:val="7"/>
                <w:color w:val="auto"/>
              </w:rPr>
            </w:pPr>
          </w:p>
        </w:tc>
        <w:tc>
          <w:tcPr>
            <w:tcW w:w="6700" w:type="dxa"/>
            <w:vAlign w:val="bottom"/>
            <w:tcBorders>
              <w:top w:val="single" w:sz="8" w:color="0000EE"/>
            </w:tcBorders>
            <w:gridSpan w:val="9"/>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2018 and December 31, 2017</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2018 and 2017</w:t>
              </w:r>
            </w:hyperlink>
          </w:p>
        </w:tc>
        <w:tc>
          <w:tcPr>
            <w:tcW w:w="720" w:type="dxa"/>
            <w:vAlign w:val="bottom"/>
            <w:gridSpan w:val="3"/>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Equity for the three months ended March 31, 2018 and 2017</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080" w:type="dxa"/>
            <w:vAlign w:val="bottom"/>
            <w:tcBorders>
              <w:top w:val="single" w:sz="8" w:color="0000EE"/>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24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540" w:type="dxa"/>
            <w:vAlign w:val="bottom"/>
            <w:gridSpan w:val="3"/>
          </w:tcPr>
          <w:p>
            <w:pPr>
              <w:spacing w:after="0"/>
              <w:rPr>
                <w:sz w:val="24"/>
                <w:szCs w:val="24"/>
                <w:color w:val="auto"/>
              </w:rPr>
            </w:pPr>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6"/>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1"/>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2"/>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Unregistered Sales of Equity Securities and Use of Proceeds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240" w:type="dxa"/>
            <w:vAlign w:val="bottom"/>
            <w:gridSpan w:val="7"/>
          </w:tcPr>
          <w:p>
            <w:pPr>
              <w:jc w:val="right"/>
              <w:ind w:right="35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408"/>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0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March 31,</w:t>
            </w:r>
          </w:p>
        </w:tc>
      </w:tr>
      <w:tr>
        <w:trPr>
          <w:trHeight w:val="205"/>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1,269.7</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1,183.5</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807.7</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761.2</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462.0</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422.3</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279.6</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251.7</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152.3</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140.6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Loss on sale of business</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131.8</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103.6</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r>
      <w:tr>
        <w:trPr>
          <w:trHeight w:val="21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Changes in cumulative translation adjustment</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75.7</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101.5</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165.1</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0.58</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r>
      <w:tr>
        <w:trPr>
          <w:trHeight w:val="21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0.58</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r>
      <w:tr>
        <w:trPr>
          <w:trHeight w:val="21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181.5</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184.0</w:t>
            </w: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0.35</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0.345</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8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52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7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$17.9 and $22.6, respectively</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985.2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831.6</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581.0</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232.8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222.9</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546.5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545.5</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Goodwill</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4,380.1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4,351.1</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1,558.4</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429.9</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6,102.6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6,339.4</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9,368.1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8,633.7</w:t>
            </w:r>
          </w:p>
        </w:tc>
      </w:tr>
      <w:tr>
        <w:trPr>
          <w:trHeight w:val="73"/>
        </w:trPr>
        <w:tc>
          <w:tcPr>
            <w:tcW w:w="7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8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5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 and short-term borrowings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404.0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495.7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186.6</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480.6</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517.1</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1,440.7</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291.9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285.6</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275.4</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4,648.4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3,595.9</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Ordinary shares $0.01 par value, 426.0 authorized, 178.4 and 180.3 issued at March 31, 2018 and December 31, 2017,</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5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2,654.7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2,797.7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2,481.7</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4,719.7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5,037.8</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9,368.1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8,633.7</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40"/>
        </w:trPr>
        <w:tc>
          <w:tcPr>
            <w:tcW w:w="8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8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102.9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87.8</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8240" w:type="dxa"/>
            <w:vAlign w:val="bottom"/>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business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and notes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due to the sale of businesses, net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receipts (repayments) of short-term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receipts of commercial paper and revolving long-term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417.5</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229.1</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997.8</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794.2</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907.5</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238.1</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4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2,797.7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2,481.7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2018</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2,654.7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2,308.0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4,719.7</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77.3</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2017</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182.2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2,940.0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2,091.9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4,374.8</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2017.</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April 3, 2018, our Board of Directors formally approved the plan to separate our Water business and Electrical business into two independent, publicly-traded companies (the "Separation") and certain details related to the Separation, including the record date, distribution date and distribution ratio. The Separation will occur by means of a distribution of the Company’s Electrical business, to be effected by the transfer of the Electrical business from the Company to nVent Electric plc (“nVent”) and the issuance of ordinary shares of nVent directly to holders of Company ordinary shares on a pro rata basis (the “Distribution”). The Distribution is expected to occur at 4:59 p.m., Eastern Time, on April 30, 2018.</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Company shareholder will receive one ordinary share of nVent for every one ordinary share of Pentair held as of the close of business on April 17, 2018, the record date for the Distribution. nVent ordinary shares are expected to begin trading on the New York Stock Exchange on May 1, 2018, under the symbol "NVT." "When-issued" trading for nVent ordinary shares began on April 16, 2018 and will continue through April 30, 2018. Beginning on April 16, 2018 and continuing through April 30, 2018, there are two markets in Pentair ordinary shares: Pentair shares that trade in the "regular way" market trade with an entitlement to nVent ordinary shares to be distributed pursuant to the Distribution and Pentair shares that trade in the "ex-distribution" market trade without an entitlement to nVent ordinary shares.</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completion of the Separation, Electrical's jurisdiction of organization will be Ireland, but it will manage its affairs so that it will be centrally managed and controlled in the United Kingdom (the "U.K.") and therefore will have its tax residency in the U.K. The disclosures and financial statements within these condensed consolidated financial statements include the results of operations, financial condition and cash flows of the Electrical business as continuing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jc w:val="both"/>
        <w:ind w:right="380"/>
        <w:spacing w:after="0" w:line="295" w:lineRule="auto"/>
        <w:rPr>
          <w:sz w:val="20"/>
          <w:szCs w:val="20"/>
          <w:color w:val="auto"/>
        </w:rPr>
      </w:pPr>
      <w:r>
        <w:rPr>
          <w:rFonts w:ascii="Arial" w:cs="Arial" w:eastAsia="Arial" w:hAnsi="Arial"/>
          <w:sz w:val="16"/>
          <w:szCs w:val="16"/>
          <w:color w:val="auto"/>
        </w:rPr>
        <w:t xml:space="preserve">On January 1, 2018, we adopted Accounting Standards Update ("ASU") No. 2017-07, "Retirement Benefits-Improving the Presentation of Net Periodic Pension Cost and Net Periodic Postretirement Benefit Cost." As a result of the adoption, the interest cost, expected return on plan assets and net actuarial gain/loss components of net periodic pension and post-retirement benefit cost have been reclassified from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to </w:t>
      </w:r>
      <w:r>
        <w:rPr>
          <w:rFonts w:ascii="Arial" w:cs="Arial" w:eastAsia="Arial" w:hAnsi="Arial"/>
          <w:sz w:val="16"/>
          <w:szCs w:val="16"/>
          <w:i w:val="1"/>
          <w:iCs w:val="1"/>
          <w:color w:val="auto"/>
        </w:rPr>
        <w:t>Other expense</w:t>
      </w:r>
      <w:r>
        <w:rPr>
          <w:rFonts w:ascii="Arial" w:cs="Arial" w:eastAsia="Arial" w:hAnsi="Arial"/>
          <w:sz w:val="16"/>
          <w:szCs w:val="16"/>
          <w:color w:val="auto"/>
        </w:rPr>
        <w:t>. Only the service cost component remains in</w:t>
      </w:r>
      <w:r>
        <w:rPr>
          <w:rFonts w:ascii="Arial" w:cs="Arial" w:eastAsia="Arial" w:hAnsi="Arial"/>
          <w:sz w:val="16"/>
          <w:szCs w:val="16"/>
          <w:i w:val="1"/>
          <w:iCs w:val="1"/>
          <w:color w:val="auto"/>
        </w:rPr>
        <w:t xml:space="preserve"> Operating income </w:t>
      </w:r>
      <w:r>
        <w:rPr>
          <w:rFonts w:ascii="Arial" w:cs="Arial" w:eastAsia="Arial" w:hAnsi="Arial"/>
          <w:sz w:val="16"/>
          <w:szCs w:val="16"/>
          <w:color w:val="auto"/>
        </w:rPr>
        <w:t>and will be eligible for capitalization in assets on a prospective basis.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retrospective presentation change related to the net periodic cost of our defined benefit pension and other post-retirement plans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and Comprehensive Income was as follows: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Three months ended</w:t>
            </w:r>
          </w:p>
        </w:tc>
        <w:tc>
          <w:tcPr>
            <w:tcW w:w="82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March 31, 2017</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Previously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As Revised</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Effect of Change</w:t>
            </w:r>
          </w:p>
        </w:tc>
      </w:tr>
      <w:tr>
        <w:trPr>
          <w:trHeight w:val="34"/>
        </w:trPr>
        <w:tc>
          <w:tcPr>
            <w:tcW w:w="44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140.6</w:t>
            </w:r>
          </w:p>
        </w:tc>
        <w:tc>
          <w:tcPr>
            <w:tcW w:w="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621"/>
        </w:trPr>
        <w:tc>
          <w:tcPr>
            <w:tcW w:w="4440" w:type="dxa"/>
            <w:vAlign w:val="bottom"/>
          </w:tcPr>
          <w:p>
            <w:pPr>
              <w:spacing w:after="0"/>
              <w:rPr>
                <w:sz w:val="24"/>
                <w:szCs w:val="24"/>
                <w:color w:val="auto"/>
              </w:rPr>
            </w:pPr>
          </w:p>
        </w:tc>
        <w:tc>
          <w:tcPr>
            <w:tcW w:w="2860" w:type="dxa"/>
            <w:vAlign w:val="bottom"/>
          </w:tcPr>
          <w:p>
            <w:pPr>
              <w:jc w:val="right"/>
              <w:ind w:right="14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January 1, 2018, we adopted ASU No. 2016-16, "Accounting for Income Taxes: Intra-Entity Asset Transfers of Assets Other than Inventory." The ASU requires the tax effects of all intra-entity sales of assets other than inventory to be recognized in the period in which the transaction occurs. The adoption resulted in a $215.8 million cumulative-effect adjustment recorded in retained earnings as of the beginning of 2018 that reflects a $254.3 million reduction of a prepaid long term tax asset, partially offset by the establishment of $38.5 million of deferred tax assets.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January 1, 2018, we adopted ASU No. 2014-09, "Revenue from Contracts with Customers" and the related amendments ("ASC 606" or "the new revenue standard") using the modified retrospective method. As a result of adoption, the cumulative impact to our retained earnings at January 1, 2018 was $1.8 million.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majority of our net sales continue to be recognized when products are shipped from our manufacturing facilities or delivery has occurred, depending on terms of the sale. Under the new standard, timing for recognition of certain revenue may be accelerated such that a portion of revenue will be recognized prior to shipment or delivery dependent upon contract-specific terms.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impact of adopting the new standard primarily relates to the accounting for certain custom products manufactured by our Electrical segment. Previously revenue was recognized for these custom products upon shipment. However, as these products have no alternative use to the Company and we have an enforceable right to payment for our performance completed to date, revenue related to these custom products is now recognized over time. Additionally, the new revenue standard resulted in reclassifications on the Condensed Consolidated Balance Sheets related to accounting for sales returns.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required by ASC 606, the impact of adoption of the new revenue standard on our Condensed Consolidated Statements of Operations and Comprehensive Income and Condensed Consolidated Balance Sheets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7"/>
          </w:tcPr>
          <w:p>
            <w:pPr>
              <w:ind w:left="4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180" w:type="dxa"/>
            <w:vAlign w:val="bottom"/>
            <w:gridSpan w:val="5"/>
          </w:tcPr>
          <w:p>
            <w:pPr>
              <w:jc w:val="right"/>
              <w:ind w:right="1330"/>
              <w:spacing w:after="0"/>
              <w:rPr>
                <w:sz w:val="20"/>
                <w:szCs w:val="20"/>
                <w:color w:val="auto"/>
              </w:rPr>
            </w:pPr>
            <w:r>
              <w:rPr>
                <w:rFonts w:ascii="Arial" w:cs="Arial" w:eastAsia="Arial" w:hAnsi="Arial"/>
                <w:sz w:val="18"/>
                <w:szCs w:val="18"/>
                <w:b w:val="1"/>
                <w:bCs w:val="1"/>
                <w:color w:val="auto"/>
              </w:rPr>
              <w:t>Three months ended March 31, 2018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Balances without</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440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adoption of ASC 606</w:t>
            </w:r>
          </w:p>
        </w:tc>
        <w:tc>
          <w:tcPr>
            <w:tcW w:w="20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Effect of Change</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43"/>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Cost of goods sold</w:t>
            </w: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807.7</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801.3</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Net income from continuing operations</w:t>
            </w: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581"/>
        </w:trPr>
        <w:tc>
          <w:tcPr>
            <w:tcW w:w="4400" w:type="dxa"/>
            <w:vAlign w:val="bottom"/>
            <w:gridSpan w:val="5"/>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March 31, 2018</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Balances without</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440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adoption of ASC 606</w:t>
            </w:r>
          </w:p>
        </w:tc>
        <w:tc>
          <w:tcPr>
            <w:tcW w:w="20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Effect of Change</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44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r>
      <w:tr>
        <w:trPr>
          <w:trHeight w:val="243"/>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Accounts and notes receivable, net</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977.3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232.8</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44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r>
      <w:tr>
        <w:trPr>
          <w:trHeight w:val="243"/>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Other current liabilities</w:t>
            </w: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480.6</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473.8</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03"/>
        </w:trPr>
        <w:tc>
          <w:tcPr>
            <w:tcW w:w="44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Equity</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2,308.0</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2,306.4</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635"/>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from the modified retrospective adoption of ASU 2016-16 and ASU 2014-09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5"/>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December</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220" w:type="dxa"/>
            <w:vAlign w:val="bottom"/>
          </w:tcPr>
          <w:p>
            <w:pPr>
              <w:spacing w:after="0"/>
              <w:rPr>
                <w:sz w:val="21"/>
                <w:szCs w:val="21"/>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Balance at</w:t>
            </w:r>
          </w:p>
        </w:tc>
      </w:tr>
      <w:tr>
        <w:trPr>
          <w:trHeight w:val="234"/>
        </w:trPr>
        <w:tc>
          <w:tcPr>
            <w:tcW w:w="404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2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ASU 2016-16</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ASU 2014-09</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January 1, 2018</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404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40" w:type="dxa"/>
            <w:vAlign w:val="bottom"/>
            <w:gridSpan w:val="5"/>
          </w:tcPr>
          <w:p>
            <w:pPr>
              <w:ind w:left="40"/>
              <w:spacing w:after="0"/>
              <w:rPr>
                <w:sz w:val="20"/>
                <w:szCs w:val="20"/>
                <w:color w:val="auto"/>
              </w:rPr>
            </w:pPr>
            <w:r>
              <w:rPr>
                <w:rFonts w:ascii="Arial" w:cs="Arial" w:eastAsia="Arial" w:hAnsi="Arial"/>
                <w:sz w:val="18"/>
                <w:szCs w:val="18"/>
                <w:color w:val="auto"/>
              </w:rPr>
              <w:t>Accounts and notes receivable, net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838.1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577.6</w:t>
            </w:r>
          </w:p>
        </w:tc>
      </w:tr>
      <w:tr>
        <w:trPr>
          <w:trHeight w:val="243"/>
        </w:trPr>
        <w:tc>
          <w:tcPr>
            <w:tcW w:w="404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222.9</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226.3</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429.9</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r>
      <w:tr>
        <w:trPr>
          <w:trHeight w:val="203"/>
        </w:trPr>
        <w:tc>
          <w:tcPr>
            <w:tcW w:w="404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517.1</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w:t>
            </w:r>
          </w:p>
        </w:tc>
      </w:tr>
      <w:tr>
        <w:trPr>
          <w:trHeight w:val="243"/>
        </w:trPr>
        <w:tc>
          <w:tcPr>
            <w:tcW w:w="4040" w:type="dxa"/>
            <w:vAlign w:val="bottom"/>
            <w:gridSpan w:val="5"/>
          </w:tcPr>
          <w:p>
            <w:pPr>
              <w:ind w:left="40"/>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394.8</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364.6</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40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Equity</w:t>
            </w: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4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2,481.7</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2,267.7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issued but not yet adopted</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February 2016, the Financial Accounting Standards Board issued ASU 2016-02, "Leases" ("the new lease standard" or "ASC 842"), which requires an entity to recognize both assets and liabilities arising from financing and operating leases, along with additional qualitative and quantitative disclosures. The new lease standard requirements are effective for annual reporting periods beginning after December 15, 2018, including interim periods within that reporting period, and early adoption is permitted. The Company has begun evaluating the new lease standard, including the review and implementation of the necessary changes to our existing processes and systems that will be required to implement this new standard. While we are unable to quantify the impact at this time,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We currently do not expect ASC 842 to have a material effect on either our consolidated statement of operations or consolidated statement of cash flow. We plan to adopt ASC 842 in the first quarter of 2019.</w:t>
      </w:r>
    </w:p>
    <w:p>
      <w:pPr>
        <w:spacing w:after="0" w:line="286" w:lineRule="exact"/>
        <w:rPr>
          <w:sz w:val="20"/>
          <w:szCs w:val="20"/>
          <w:color w:val="auto"/>
        </w:rPr>
      </w:pPr>
    </w:p>
    <w:p>
      <w:pPr>
        <w:ind w:right="9940" w:firstLine="8"/>
        <w:spacing w:after="0" w:line="293"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Revenue recognition</w:t>
      </w:r>
    </w:p>
    <w:p>
      <w:pPr>
        <w:spacing w:after="0" w:line="1" w:lineRule="exact"/>
        <w:rPr>
          <w:rFonts w:ascii="Arial" w:cs="Arial" w:eastAsia="Arial" w:hAnsi="Arial"/>
          <w:sz w:val="16"/>
          <w:szCs w:val="16"/>
          <w:b w:val="1"/>
          <w:bCs w:val="1"/>
          <w:color w:val="auto"/>
        </w:rPr>
      </w:pPr>
    </w:p>
    <w:p>
      <w:pPr>
        <w:ind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Revenue is recognized when control of the promised goods or services are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performance obligations are satisfied at a point in time or over time as work progresses. Revenue from goods and services transferred to customers at a point in time accounted for 84.3% and 90.3% of our revenue for the three-month periods ended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March 31, 2018 and 2017, respectively. Revenue on these contracts is recognized when obligations under the terms of the contract with our customer are satisfied; generally this occurs with the transfer of control upon shipment.</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 from products and services transferred to customers over time accounted for 15.7% and 9.7% of our revenue for the three-month periods ended March 31, 2018 and 2017,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use an output method to measure progress towards completion for certain of our Electrical businesses, as this method appropriately depicts performance towards satisfaction of the performance obligation. Under the output method, revenue is recognized based on number of units produced.</w:t>
      </w:r>
    </w:p>
    <w:p>
      <w:pPr>
        <w:spacing w:after="0" w:line="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March 31, 2018, we had $168.7 million of remaining performance obligations on contracts with original expected duration of one year or more. We expect to recognize the majority of our remaining performance obligations on these contracts within the next 12 to 18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sales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amounts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reforecast the most likely amount of the rebate to be paid based on forecasted sales levels. These forecasts are updated at least quarterly for each customer and the transaction price is reduced for the anticipated cost of the rebate. If the forecasted sales for a customer changes, the accrual for rebates is adjusted to reflect the new amount of rebates expected to be earned by the customer.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in the accompanying Condensed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accompanying Condensed Consolidated Statements of Operations and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2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December 31, 2017</w:t>
            </w:r>
          </w:p>
        </w:tc>
        <w:tc>
          <w:tcPr>
            <w:tcW w:w="34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1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21"/>
                <w:szCs w:val="21"/>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6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$1.4 million decrease in net contract assets from December 31, 2017 to March 31, 2018 was primarily the result of timing of milestone payments. Approximately half of our contract liabilities at December 31, 2017 were recognized in revenue in the first quarter of 2018. There were no impairment losses recognized on our contract assets for the three months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Condensed Consolidated Statements of Operations and Comprehensive Income.</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We disaggregate our revenue from contracts with customers by geographic location, vertical and strategic business group ("SBG") for each of our segments, as we believe these best depict how the nature, amount, timing and uncertainty of our revenue and cash flows are affected by economic factors.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3"/>
              </w:rPr>
              <w:t>Geographic net sales information by segment, based on geographic destination of the sale, was as follows: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3"/>
              </w:rPr>
              <w:t>Three months ended March 31, 2018</w:t>
            </w:r>
          </w:p>
        </w:tc>
      </w:tr>
      <w:tr>
        <w:trPr>
          <w:trHeight w:val="27"/>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Water</w:t>
            </w:r>
          </w:p>
        </w:tc>
        <w:tc>
          <w:tcPr>
            <w:tcW w:w="34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Electrical</w:t>
            </w:r>
          </w:p>
        </w:tc>
      </w:tr>
      <w:tr>
        <w:trPr>
          <w:trHeight w:val="27"/>
        </w:trPr>
        <w:tc>
          <w:tcPr>
            <w:tcW w:w="8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r>
      <w:tr>
        <w:trPr>
          <w:trHeight w:val="270"/>
        </w:trPr>
        <w:tc>
          <w:tcPr>
            <w:tcW w:w="80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w:t>
            </w:r>
          </w:p>
        </w:tc>
      </w:tr>
      <w:tr>
        <w:trPr>
          <w:trHeight w:val="20"/>
        </w:trPr>
        <w:tc>
          <w:tcPr>
            <w:tcW w:w="8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000" w:type="dxa"/>
            <w:vAlign w:val="bottom"/>
          </w:tcPr>
          <w:p>
            <w:pPr>
              <w:ind w:left="40"/>
              <w:spacing w:after="0" w:line="250"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Developing includes China, Eastern Europe, Latin America, the Middle East and Southeast Asia.</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29"/>
        </w:trPr>
        <w:tc>
          <w:tcPr>
            <w:tcW w:w="8000" w:type="dxa"/>
            <w:vAlign w:val="bottom"/>
          </w:tcPr>
          <w:p>
            <w:pPr>
              <w:ind w:left="4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Other Developed includes Australia, Canada and Japan.</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Three months ended March 31, 2017</w:t>
            </w:r>
          </w:p>
        </w:tc>
      </w:tr>
      <w:tr>
        <w:trPr>
          <w:trHeight w:val="27"/>
        </w:trPr>
        <w:tc>
          <w:tcPr>
            <w:tcW w:w="7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Water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Electrical</w:t>
            </w:r>
          </w:p>
        </w:tc>
      </w:tr>
      <w:tr>
        <w:trPr>
          <w:trHeight w:val="27"/>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103.3</w:t>
            </w:r>
          </w:p>
        </w:tc>
      </w:tr>
      <w:tr>
        <w:trPr>
          <w:trHeight w:val="27"/>
        </w:trPr>
        <w:tc>
          <w:tcPr>
            <w:tcW w:w="7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70"/>
        </w:trPr>
        <w:tc>
          <w:tcPr>
            <w:tcW w:w="74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5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net sales</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r>
      <w:tr>
        <w:trPr>
          <w:trHeight w:val="20"/>
        </w:trPr>
        <w:tc>
          <w:tcPr>
            <w:tcW w:w="7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440" w:type="dxa"/>
            <w:vAlign w:val="bottom"/>
          </w:tcPr>
          <w:p>
            <w:pPr>
              <w:ind w:left="40"/>
              <w:spacing w:after="0" w:line="250"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Developing includes China, Eastern Europe, Latin America, the Middle East and Southeast Asia.</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29"/>
        </w:trPr>
        <w:tc>
          <w:tcPr>
            <w:tcW w:w="7440" w:type="dxa"/>
            <w:vAlign w:val="bottom"/>
          </w:tcPr>
          <w:p>
            <w:pPr>
              <w:ind w:left="4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Other Developed includes Australia, Canada and Japan.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7"/>
        </w:trPr>
        <w:tc>
          <w:tcPr>
            <w:tcW w:w="7440" w:type="dxa"/>
            <w:vAlign w:val="bottom"/>
          </w:tcPr>
          <w:p>
            <w:pPr>
              <w:spacing w:after="0"/>
              <w:rPr>
                <w:sz w:val="20"/>
                <w:szCs w:val="20"/>
                <w:color w:val="auto"/>
              </w:rPr>
            </w:pPr>
            <w:r>
              <w:rPr>
                <w:rFonts w:ascii="Arial" w:cs="Arial" w:eastAsia="Arial" w:hAnsi="Arial"/>
                <w:sz w:val="18"/>
                <w:szCs w:val="18"/>
                <w:color w:val="auto"/>
              </w:rPr>
              <w:t>Vertical market net sales information for Water was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44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March 31, 2017</w:t>
            </w:r>
          </w:p>
        </w:tc>
      </w:tr>
      <w:tr>
        <w:trPr>
          <w:trHeight w:val="27"/>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144.7</w:t>
            </w:r>
          </w:p>
        </w:tc>
      </w:tr>
      <w:tr>
        <w:trPr>
          <w:trHeight w:val="27"/>
        </w:trPr>
        <w:tc>
          <w:tcPr>
            <w:tcW w:w="7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Water net sales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r>
      <w:tr>
        <w:trPr>
          <w:trHeight w:val="27"/>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13"/>
        </w:trPr>
        <w:tc>
          <w:tcPr>
            <w:tcW w:w="7440" w:type="dxa"/>
            <w:vAlign w:val="bottom"/>
          </w:tcPr>
          <w:p>
            <w:pPr>
              <w:spacing w:after="0"/>
              <w:rPr>
                <w:sz w:val="20"/>
                <w:szCs w:val="20"/>
                <w:color w:val="auto"/>
              </w:rPr>
            </w:pPr>
            <w:r>
              <w:rPr>
                <w:rFonts w:ascii="Arial" w:cs="Arial" w:eastAsia="Arial" w:hAnsi="Arial"/>
                <w:sz w:val="18"/>
                <w:szCs w:val="18"/>
                <w:color w:val="auto"/>
              </w:rPr>
              <w:t>Vertical market net sales information for Electrical was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44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March 31, 2017</w:t>
            </w:r>
          </w:p>
        </w:tc>
      </w:tr>
      <w:tr>
        <w:trPr>
          <w:trHeight w:val="27"/>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Commercial &amp; Residential</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134.5</w:t>
            </w:r>
          </w:p>
        </w:tc>
      </w:tr>
      <w:tr>
        <w:trPr>
          <w:trHeight w:val="27"/>
        </w:trPr>
        <w:tc>
          <w:tcPr>
            <w:tcW w:w="7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Infrastructure</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59.2</w:t>
            </w:r>
          </w:p>
        </w:tc>
      </w:tr>
      <w:tr>
        <w:trPr>
          <w:trHeight w:val="27"/>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net sales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r>
      <w:tr>
        <w:trPr>
          <w:trHeight w:val="20"/>
        </w:trPr>
        <w:tc>
          <w:tcPr>
            <w:tcW w:w="7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7440" w:type="dxa"/>
            <w:vAlign w:val="bottom"/>
          </w:tcPr>
          <w:p>
            <w:pPr>
              <w:ind w:left="562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Net sales information by SBG was as follows: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 2017</w:t>
            </w:r>
          </w:p>
        </w:tc>
      </w:tr>
      <w:tr>
        <w:trPr>
          <w:trHeight w:val="27"/>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230.8</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229.6</w:t>
            </w: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Water</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732.3</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682.9</w:t>
            </w:r>
          </w:p>
        </w:tc>
      </w:tr>
      <w:tr>
        <w:trPr>
          <w:trHeight w:val="27"/>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Enclosures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Thermal Management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145.4</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&amp; Fastening Solutions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w:t>
            </w: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Electrical</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538.9</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502.2</w:t>
            </w:r>
          </w:p>
        </w:tc>
      </w:tr>
      <w:tr>
        <w:trPr>
          <w:trHeight w:val="27"/>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1,183.5</w:t>
            </w:r>
          </w:p>
        </w:tc>
      </w:tr>
      <w:tr>
        <w:trPr>
          <w:trHeight w:val="27"/>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On April 28, 2017, we completed the sale of the Valves &amp; Controls business to Emerson Electric Co. for $3.15 billion in cash. The sale resulted in a gain of $181.1 million, net of tax. The results of the Valves &amp; Controls business have been presented as discontinued operations. The Valves &amp; Controls business was previously disclosed as a stand-alone reporting segment. Transaction costs of $11.2 million related to the sale of Valves &amp; Controls were incurred during the three months ended March 31, 2017 and were recorded within </w:t>
      </w:r>
      <w:r>
        <w:rPr>
          <w:rFonts w:ascii="Arial" w:cs="Arial" w:eastAsia="Arial" w:hAnsi="Arial"/>
          <w:sz w:val="16"/>
          <w:szCs w:val="16"/>
          <w:i w:val="1"/>
          <w:iCs w:val="1"/>
          <w:color w:val="auto"/>
        </w:rPr>
        <w:t>(Loss) income from discontinued operations, net of tax</w:t>
      </w:r>
      <w:r>
        <w:rPr>
          <w:rFonts w:ascii="Arial" w:cs="Arial" w:eastAsia="Arial" w:hAnsi="Arial"/>
          <w:sz w:val="16"/>
          <w:szCs w:val="16"/>
          <w:color w:val="auto"/>
        </w:rPr>
        <w:t xml:space="preserve"> presented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of discontinued operations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5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5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267.9</w:t>
            </w:r>
          </w:p>
        </w:tc>
      </w:tr>
      <w:tr>
        <w:trPr>
          <w:trHeight w:val="27"/>
        </w:trPr>
        <w:tc>
          <w:tcPr>
            <w:tcW w:w="5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79.5</w:t>
            </w:r>
          </w:p>
        </w:tc>
      </w:tr>
      <w:tr>
        <w:trPr>
          <w:trHeight w:val="27"/>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5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67"/>
        </w:trPr>
        <w:tc>
          <w:tcPr>
            <w:tcW w:w="518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10"/>
        </w:trPr>
        <w:tc>
          <w:tcPr>
            <w:tcW w:w="51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w w:val="99"/>
              </w:rPr>
              <w:t>(Loss) income from discontinued operations before income taxes</w:t>
            </w:r>
          </w:p>
        </w:tc>
        <w:tc>
          <w:tcPr>
            <w:tcW w:w="3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5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5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64"/>
        </w:trPr>
        <w:tc>
          <w:tcPr>
            <w:tcW w:w="5180" w:type="dxa"/>
            <w:vAlign w:val="bottom"/>
          </w:tcPr>
          <w:p>
            <w:pPr>
              <w:spacing w:after="0"/>
              <w:rPr>
                <w:sz w:val="24"/>
                <w:szCs w:val="24"/>
                <w:color w:val="auto"/>
              </w:rPr>
            </w:pPr>
          </w:p>
        </w:tc>
        <w:tc>
          <w:tcPr>
            <w:tcW w:w="3280" w:type="dxa"/>
            <w:vAlign w:val="bottom"/>
          </w:tcPr>
          <w:p>
            <w:pPr>
              <w:jc w:val="right"/>
              <w:ind w:right="257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months ended March 31, 2018 and 2017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9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three months ended March 31, 2018 and the year ended December 31, 2017, we initiated and continued execution of certain business restructuring initiatives aimed at reducing our fixed cost structure and realigning our business, specifically as part of the contemplation of the Separation. Initiatives during the three months ended March 31, 2018 included the reduction in hourly and salaried headcount of 200 employees, which included 175 in Water and 25 in Electrical. Initiatives during the year ended December 31, 2017 included the reduction in hourly and salaried headcount of approximately 500 employees, which included 250 in Water and 250 in Electrical.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expenses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460" w:type="dxa"/>
            <w:vAlign w:val="bottom"/>
          </w:tcPr>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846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34"/>
        </w:trPr>
        <w:tc>
          <w:tcPr>
            <w:tcW w:w="58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4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58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4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4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58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67"/>
        </w:trPr>
        <w:tc>
          <w:tcPr>
            <w:tcW w:w="8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182.0</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181.5</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184.0</w:t>
            </w:r>
          </w:p>
        </w:tc>
      </w:tr>
      <w:tr>
        <w:trPr>
          <w:trHeight w:val="67"/>
        </w:trPr>
        <w:tc>
          <w:tcPr>
            <w:tcW w:w="8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64"/>
        </w:trPr>
        <w:tc>
          <w:tcPr>
            <w:tcW w:w="8460" w:type="dxa"/>
            <w:vAlign w:val="bottom"/>
          </w:tcPr>
          <w:p>
            <w:pPr>
              <w:ind w:left="56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34"/>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242.9</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354.5</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928.3</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517.1</w:t>
            </w:r>
          </w:p>
        </w:tc>
      </w:tr>
      <w:tr>
        <w:trPr>
          <w:trHeight w:val="67"/>
        </w:trPr>
        <w:tc>
          <w:tcPr>
            <w:tcW w:w="570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7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92.7</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22" w:right="2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Foreign currency</w:t>
            </w:r>
          </w:p>
        </w:tc>
        <w:tc>
          <w:tcPr>
            <w:tcW w:w="420" w:type="dxa"/>
            <w:vAlign w:val="bottom"/>
          </w:tcPr>
          <w:p>
            <w:pPr>
              <w:spacing w:after="0"/>
              <w:rPr>
                <w:sz w:val="18"/>
                <w:szCs w:val="18"/>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38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translation/other</w:t>
            </w:r>
          </w:p>
        </w:tc>
        <w:tc>
          <w:tcPr>
            <w:tcW w:w="420" w:type="dxa"/>
            <w:vAlign w:val="bottom"/>
          </w:tcPr>
          <w:p>
            <w:pPr>
              <w:spacing w:after="0"/>
              <w:rPr>
                <w:sz w:val="20"/>
                <w:szCs w:val="20"/>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34"/>
        </w:trPr>
        <w:tc>
          <w:tcPr>
            <w:tcW w:w="3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2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2,238.2</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2,241.3</w:t>
            </w:r>
          </w:p>
        </w:tc>
      </w:tr>
      <w:tr>
        <w:trPr>
          <w:trHeight w:val="27"/>
        </w:trPr>
        <w:tc>
          <w:tcPr>
            <w:tcW w:w="3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4,380.1</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2"/>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(460.5)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(437.5)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1,076.4</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1,558.4</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amortization expense was $24.7 million and $24.0 million for the three months ended March 31,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2018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Q2-Q4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r>
      <w:tr>
        <w:trPr>
          <w:trHeight w:val="837"/>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58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5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of March 31, 2018</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4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5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2.340%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3.430%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4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2.900%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2.650%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2.450%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615.4</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3.625%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3.150%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4.650%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 nVent </w:t>
            </w:r>
            <w:r>
              <w:rPr>
                <w:rFonts w:ascii="Arial" w:cs="Arial" w:eastAsia="Arial" w:hAnsi="Arial"/>
                <w:sz w:val="25"/>
                <w:szCs w:val="25"/>
                <w:color w:val="auto"/>
                <w:vertAlign w:val="superscript"/>
              </w:rPr>
              <w:t>(2)</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3.950%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nVent </w:t>
            </w:r>
            <w:r>
              <w:rPr>
                <w:rFonts w:ascii="Arial" w:cs="Arial" w:eastAsia="Arial" w:hAnsi="Arial"/>
                <w:sz w:val="25"/>
                <w:szCs w:val="25"/>
                <w:color w:val="auto"/>
                <w:vertAlign w:val="superscript"/>
              </w:rPr>
              <w:t>(2)</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4.550%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8.545%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5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N/A</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2,673.3</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1,440.7</w:t>
            </w:r>
          </w:p>
        </w:tc>
      </w:tr>
      <w:tr>
        <w:trPr>
          <w:trHeight w:val="27"/>
        </w:trPr>
        <w:tc>
          <w:tcPr>
            <w:tcW w:w="4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and short-term borrowings</w:t>
            </w:r>
          </w:p>
        </w:tc>
        <w:tc>
          <w:tcPr>
            <w:tcW w:w="2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2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2,673.1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1,440.7</w:t>
            </w:r>
          </w:p>
        </w:tc>
      </w:tr>
      <w:tr>
        <w:trPr>
          <w:trHeight w:val="27"/>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220" w:hanging="185"/>
        <w:spacing w:after="0"/>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 and PISG</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nVent plc, Pentair plc and PISG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debt</w:t>
      </w:r>
    </w:p>
    <w:p>
      <w:pPr>
        <w:spacing w:after="0" w:line="2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March 2018, in anticipation of the Separation, nVent Finance S.à r.l. (“nVent Finance”), a subsidiary of Pentair that will become a subsidiary of nVent at the time of the completion of the Separation, issued $300.0 million aggregate principal amount of 3.950% senior notes due 2023 (the "2023 Notes") and $500.0 million aggregate principal amount of 4.550% senior notes due 2028 (the "2028 Notes" and, collectively with the 2023 Notes, the "nVent Notes").</w:t>
      </w:r>
    </w:p>
    <w:p>
      <w:pPr>
        <w:spacing w:after="0" w:line="10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nVent Notes are fully and unconditionally guaranteed by nVent. In addition, the nVent Notes initially are fully and unconditionally guaranteed by Pentair and Pentair Investments Switzerland GmbH ("PISG"). Upon completion of the Separation, the guarantees of Pentair and PISG will be automatically and unconditionally terminated and released.</w:t>
      </w:r>
    </w:p>
    <w:p>
      <w:pPr>
        <w:spacing w:after="0" w:line="12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Additionally in March 2018, in anticipation of the Separation, nVent Finance entered into a credit agreement with a syndicate of banks providing for a five-year $200.0 million senior unsecured term loan facility (the "nVent Term Loan Facility") and a five-year $600.0 million senior unsecured revolving credit facility (the "nVent Revolving Credit Facility"). After the completion of the Separation, nVent Finance will have the option to request to increase the nVent Revolving Credit Facility in an aggregate amount of up to $300.0 million, subject to customary conditions, including the commitment of the participating lenders. As of March 31, 2018, there were no outstanding borrowings under the nVent Term Loan Facility or the nVent Revolving Credit Facility. We expect that nVent Finance will have $200.0 million of borrowings outstanding under the nVent Term Loan Facility and no borrowings under the nVent Revolving Credit Facility at the time of the Separation.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Separation, nVent Finance will transfer to Pentair all cash in excess of $50.0 million of nVent and its subsidiaries, including cash from the net proceeds from the borrowings under the nVent Term Loan Facility and the issuance of the nVent Notes, as consideration for the contribution of the assets of the Electrical business to nVent Finance by Pentair. Pentair expects to use the proceeds of such cash transfer to repay certain outstanding debt of Pentair.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matters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Pentair, PISG, Pentair Finance S.à r.l. ("PFSA") and Pentair, Inc. are parties to an amended and restated credit agreement (the "Credit Facility"), with Pentair and PISG as guarantors and PFSA and Pentair, Inc. as borrowers. The Credit Facility has a maximum aggregate availability of $2,500.0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PFSA had $257.8 million of commercial paper outstanding as of March 31, 2018 and $34.0 million as of December 31, 2017,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any period of four consecutive fiscal quarters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March 31, 2018, we were in compliance with all financial covenants in our debt agreements.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availability under the Credit Facility was $2,220.1 million as of March 31, 2018, which was limited to $183.4 million by the maximum Leverage Ratio in the Credit Facility's credit agreement.</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$31.2 million, of which there were $0.2 million outstanding borrowings at March 31, 2018. Borrowings under these credit facilities bear interest at variable rates.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$255.3 million of fixed rate senior notes maturing in September 2018. We classified this debt as long-term as of March 31, 2018 as we have the intent and ability to refinance such obligation on a long-term basis under the Credit Facility prior to maturity.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2018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Q2-Q4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2,686.2</w:t>
            </w:r>
          </w:p>
        </w:tc>
      </w:tr>
      <w:tr>
        <w:trPr>
          <w:trHeight w:val="27"/>
        </w:trPr>
        <w:tc>
          <w:tcPr>
            <w:tcW w:w="2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March 31, 2018 and December 31, 2017, we had outstanding foreign currency derivative contracts with gross notional U.S. dollar equivalent amounts of $406.0 million and $481.4 million, respectively. The impact of these contracts on the Condensed Consolidated Statements of Operations and Comprehensive Income was not material for any period presented.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 in the Condensed Consolidated Statements of Operations and Comprehensive Income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months ended March 31, 2018 and 2017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The gains/losses on the 2019 Euro Notes have been included as a component of the cumulative translation adjustment account within AOCI. As of March 31, 2018 and December 31, 2017, we had a deferred foreign currency losses of $50.6 million and $29.6 million, respectively, in AOCI associated with the net investment hedge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352"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78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20" w:hanging="330"/>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60" w:hanging="330"/>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460" w:right="120" w:hanging="330"/>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220" w:hanging="330"/>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compensation plan assets (mutual funds, common/collective trusts and cash equivalents for payment of certain non-qualified benefits for retired, terminated and active employees) — fair value of mutual funds and cash equivalents are based on quoted market prices in active markets that are classified as Level 1 in the valuation hierarchy defined by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ind w:left="460" w:right="140"/>
        <w:spacing w:after="0" w:line="324" w:lineRule="auto"/>
        <w:rPr>
          <w:sz w:val="20"/>
          <w:szCs w:val="20"/>
          <w:color w:val="auto"/>
        </w:rPr>
      </w:pPr>
      <w:r>
        <w:rPr>
          <w:rFonts w:ascii="Arial" w:cs="Arial" w:eastAsia="Arial" w:hAnsi="Arial"/>
          <w:sz w:val="18"/>
          <w:szCs w:val="18"/>
          <w:color w:val="auto"/>
        </w:rPr>
        <w:t>the accounting guidance; fair value of common/collective trusts are based on observable inputs that are classified as Level 2 in the valuation hierarchy defined by the accounting guidance.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Recorded</w:t>
            </w:r>
          </w:p>
        </w:tc>
        <w:tc>
          <w:tcPr>
            <w:tcW w:w="460" w:type="dxa"/>
            <w:vAlign w:val="bottom"/>
          </w:tcPr>
          <w:p>
            <w:pPr>
              <w:spacing w:after="0"/>
              <w:rPr>
                <w:sz w:val="19"/>
                <w:szCs w:val="19"/>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Recorded</w:t>
            </w:r>
          </w:p>
        </w:tc>
        <w:tc>
          <w:tcPr>
            <w:tcW w:w="3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460" w:type="dxa"/>
            <w:vAlign w:val="bottom"/>
          </w:tcPr>
          <w:p>
            <w:pPr>
              <w:spacing w:after="0"/>
              <w:rPr>
                <w:sz w:val="20"/>
                <w:szCs w:val="2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34"/>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2,206.1</w:t>
            </w:r>
          </w:p>
        </w:tc>
        <w:tc>
          <w:tcPr>
            <w:tcW w:w="4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1,385.1</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1,424.0</w:t>
            </w:r>
          </w:p>
        </w:tc>
      </w:tr>
      <w:tr>
        <w:trPr>
          <w:trHeight w:val="27"/>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1,486.4</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94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9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122" w:lineRule="exact"/>
        <w:rPr>
          <w:sz w:val="20"/>
          <w:szCs w:val="20"/>
          <w:color w:val="auto"/>
        </w:rPr>
      </w:pPr>
    </w:p>
    <w:p>
      <w:pPr>
        <w:ind w:left="460" w:right="80" w:hanging="330"/>
        <w:spacing w:after="0" w:line="250" w:lineRule="auto"/>
        <w:tabs>
          <w:tab w:leader="none" w:pos="460" w:val="left"/>
        </w:tabs>
        <w:numPr>
          <w:ilvl w:val="1"/>
          <w:numId w:val="13"/>
        </w:numPr>
        <w:rPr>
          <w:rFonts w:ascii="Arial" w:cs="Arial" w:eastAsia="Arial" w:hAnsi="Arial"/>
          <w:sz w:val="24"/>
          <w:szCs w:val="24"/>
          <w:color w:val="auto"/>
          <w:vertAlign w:val="superscript"/>
        </w:rPr>
      </w:pPr>
      <w:r>
        <w:rPr>
          <w:rFonts w:ascii="Arial" w:cs="Arial" w:eastAsia="Arial" w:hAnsi="Arial"/>
          <w:sz w:val="17"/>
          <w:szCs w:val="17"/>
          <w:color w:val="auto"/>
        </w:rPr>
        <w:t>During the fourth quarter of 2017, we completed our annual intangible assets impairment review. As a result, we recorded a pre-tax non-cash impairment charge of $25.2 million for a trade name intangible in 2017. The impairment charge reduced the carrying value of the impacted trade name intangible to $27.0 million.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98"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manage our affairs so that we are centrally managed and controlled in the U.K. and therefore have our tax residency in the U.K. The provision for income taxes consists of provisions for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income tax rate for the three months ended March 31, 2018 was 20.9%, compared to 22.1% for 2017. We continue to actively pursue initiatives to reduce our effective tax rate. The tax rate in any quarter can be affected positively or negatively by adjustments that are required to be reported in the specific quarter of resolution. The liability for uncertain tax positions was $35.3 million and $36.6 million at March 31, 2018 and December 31, 2017, respectively. We record penalties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3"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9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Given the significance of the Act,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SAB 118 allows registrants to record provisional amounts during a one year “measurement period.” The measurement period is deemed to have ended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calculated its best estimate of the impact of the Act in its December 31, 2017 income tax provision in accordance with its understanding of the Act and guidance available as of the date of the filing of the Annual Report on Form 10-K and as a result recorded a provisional income tax benefit of $84.8 million in the fourth quarter of 2017, the period in which the legislation was enacted. The provisional amount related to the remeasurement of certain deferred tax assets and liabilities based on the rates at which they are expected to reverse in the future was a decrease to income tax expense of $147.7 million. The remeasurement of deferred taxes requires further analysis regarding the state tax impacts of the remeasurement, the impact of the Act on the taxation of executive compensation arrangements, changes to tax capitalization provisions and other aspects of the Act that may impact our tax balances.</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amount related to the one-time transition tax on the mandatory deemed repatriation of foreign earnings was an increase to income tax expense of $62.9 million. The determination of the transition tax requires additional analysis regarding the amount and composition of the Company’s historical foreign earnings and foreign tax credit position.</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not made any additional measurement-period adjustments related to these items during the quarter. However, we are continuing to gather additional information to complete our accounting for these items and expect to complete the analysis required to complete our accounting within the prescribed measurement period.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months ended March 31, 2018 and 2017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6"/>
              </w:rPr>
              <w:t>U.S. pension plans</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43"/>
        </w:trPr>
        <w:tc>
          <w:tcPr>
            <w:tcW w:w="8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gridSpan w:val="3"/>
          </w:tcPr>
          <w:p>
            <w:pPr>
              <w:spacing w:after="0" w:line="20" w:lineRule="exact"/>
              <w:rPr>
                <w:sz w:val="1"/>
                <w:szCs w:val="1"/>
                <w:color w:val="auto"/>
              </w:rPr>
            </w:pPr>
          </w:p>
        </w:tc>
      </w:tr>
      <w:tr>
        <w:trPr>
          <w:trHeight w:val="521"/>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9"/>
              </w:rPr>
              <w:t>Non-U.S. pension plans</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43"/>
        </w:trPr>
        <w:tc>
          <w:tcPr>
            <w:tcW w:w="8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As described in Note 1, during the first quarter of 2018, the Company adopted ASU 2017-07. As a result, service costs are classified as employee compensation costs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within the Condensed Consolidated Statements of Operations and Comprehensive Income. All other components of net periodic benefit cost are classified within </w:t>
      </w:r>
      <w:r>
        <w:rPr>
          <w:rFonts w:ascii="Arial" w:cs="Arial" w:eastAsia="Arial" w:hAnsi="Arial"/>
          <w:sz w:val="16"/>
          <w:szCs w:val="16"/>
          <w:i w:val="1"/>
          <w:iCs w:val="1"/>
          <w:color w:val="auto"/>
        </w:rPr>
        <w:t>Other expense</w:t>
      </w:r>
      <w:r>
        <w:rPr>
          <w:rFonts w:ascii="Arial" w:cs="Arial" w:eastAsia="Arial" w:hAnsi="Arial"/>
          <w:sz w:val="16"/>
          <w:szCs w:val="16"/>
          <w:color w:val="auto"/>
        </w:rPr>
        <w:t xml:space="preserve"> for the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other post-retirement plans for the three months ended March 31, 2018 and 2017 were not material.</w:t>
      </w:r>
    </w:p>
    <w:p>
      <w:pPr>
        <w:spacing w:after="0" w:line="341" w:lineRule="exact"/>
        <w:rPr>
          <w:sz w:val="20"/>
          <w:szCs w:val="20"/>
          <w:color w:val="auto"/>
        </w:rPr>
      </w:pPr>
    </w:p>
    <w:p>
      <w:pPr>
        <w:ind w:right="9140" w:firstLine="8"/>
        <w:spacing w:after="0" w:line="261"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1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In December 2014, the Board of Directors authorized the repurchase of our ordinary shares up to a maximum dollar limit of $1.0 billion. The authorization expires on December 31, 2019. During the three months ended March 31, 2018, we repurchased 2.2 million of our shares for $150.0 million pursuant to this authorization. As of March 31, 2018, we had $450.0 million available for share repurchases under this authorization.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On December 5, 2017, the Board of Directors declared a quarterly cash dividend of $0.35 that was paid on February 9, 2018 to shareholders on record at the close of business on January 26, 2018 and approved a plan to increase the 2018 annual cash dividend to $1.40, which is intended to be paid in four quarterly installments. Additionally, on February 27, 2018 the Board of Directors declared a quarterly cash dividend of $0.35 payable on April 27, 2018 to shareholders of record at the close of business on April 13, 2018.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 was $62.4 million and $63.1 million at March 31, 2018 and December 31, 2017, respectively.</w:t>
      </w:r>
    </w:p>
    <w:p>
      <w:pPr>
        <w:spacing w:after="0" w:line="2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502.2</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1,183.5</w:t>
            </w:r>
          </w:p>
        </w:tc>
      </w:tr>
      <w:tr>
        <w:trPr>
          <w:trHeight w:val="67"/>
        </w:trPr>
        <w:tc>
          <w:tcPr>
            <w:tcW w:w="8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Water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116.1</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93" w:lineRule="auto"/>
        <w:tabs>
          <w:tab w:leader="none" w:pos="64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ind w:right="2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2018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34"/>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March 31, 2018 and December 31, 2017, the outstanding value of bonds, letters of credit and bank guarantees totaled $189.7 million and $201.5 million, respectively.</w:t>
      </w:r>
    </w:p>
    <w:p>
      <w:pPr>
        <w:spacing w:after="0" w:line="27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807.7</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159.5</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from discontinued operations, net of</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907.5</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985.2</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232.8</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2,719.0</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546.5</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5,104.8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5,009.0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7,068.3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(17,182.1)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4,380.1</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1,536.5</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5,107.0</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5,105.0</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7,938.9</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(19,248.3)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9,368.1</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9"/>
              </w:rPr>
              <w:t>Current maturities of long-term debt and</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480.6</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1,027.5</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(2,066.2)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2,673.1</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 and benefits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369.1</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2,935.2</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4,648.4</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7,068.5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(17,182.1)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4,719.7</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10,468.6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(19,257.8)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9,368.1</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w w:val="96"/>
              </w:rPr>
              <w:t>Payments due to sale of businesses,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receipts of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Net repayments of commercial paper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ordinary shares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113.3</w:t>
            </w:r>
          </w:p>
        </w:tc>
      </w:tr>
      <w:tr>
        <w:trPr>
          <w:trHeight w:val="27"/>
        </w:trPr>
        <w:tc>
          <w:tcPr>
            <w:tcW w:w="3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Cash and cash equivalents, end of period </w:t>
            </w:r>
            <w:r>
              <w:rPr>
                <w:rFonts w:ascii="Arial" w:cs="Arial" w:eastAsia="Arial" w:hAnsi="Arial"/>
                <w:sz w:val="18"/>
                <w:szCs w:val="18"/>
                <w:color w:val="auto"/>
                <w:w w:val="9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907.5</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761.2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831.6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831.6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545.5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545.5</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5,109.6</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7,156.1</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4,351.1</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1,558.4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1,558.4</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intercompany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2,317.1</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429.9</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5,207.3</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7,518.5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(19,360.2)</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6,339.4</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67"/>
        </w:trPr>
        <w:tc>
          <w:tcPr>
            <w:tcW w:w="3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3"/>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517.1</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1,199.4</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2,652.8</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628.9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1,440.7</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394.8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394.8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2,662.2</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2,672.9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(1,919.9)</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7,156.3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30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820.6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3100" w:type="dxa"/>
            <w:vAlign w:val="bottom"/>
          </w:tcPr>
          <w:p>
            <w:pPr>
              <w:ind w:left="540"/>
              <w:spacing w:after="0"/>
              <w:rPr>
                <w:sz w:val="20"/>
                <w:szCs w:val="20"/>
                <w:color w:val="auto"/>
              </w:rPr>
            </w:pPr>
            <w:r>
              <w:rPr>
                <w:rFonts w:ascii="Arial" w:cs="Arial" w:eastAsia="Arial" w:hAnsi="Arial"/>
                <w:sz w:val="18"/>
                <w:szCs w:val="18"/>
                <w:color w:val="auto"/>
                <w:w w:val="93"/>
              </w:rPr>
              <w:t>investing activities of discontinued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repayments of 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3"/>
              </w:rPr>
              <w:t>Net receipts (repayments) of 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paper and revolving long-term debt</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change in advances to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89"/>
              </w:rPr>
              <w:t>Shares issued to employees, net of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440.9</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(561.2)</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Change in cash and cash equivalents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and cash equivalents, beginning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of period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18"/>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4"/>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238.1</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satisfy the necessary conditions to consummate the Separation (as defined below) on a timely basis or at all; the ability to successfully separate the Water and Electrical businesses and realize the anticipated benefits from the Separation; adverse effects on the Water and Electrical business operations or financial results and the market price of our shares as a result of the announcement or consummation of the Separation; unanticipated transaction expenses, such as litigation or legal settlement expenses; changes in tax laws; the impact of the Separation on our employees, customers and suppliers; overall global economic and business conditions impacting the Water and Electrical businesses; future opportunities that our board may determine present greater potential to increase shareholder value; the ability of the Water and Electrical businesses to operate independently following the Separation;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inability to generate savings from excellence in operations initiatives consisting of lean enterprise, supply management and cash flow practices; increased risks associated with operating foreign businesses; the ability to deliver backlog and win future project work;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terms "us," "we" "our" or "Pentair" refer to Pentair plc and its consolidated subsidiaries. We are a focused diversified industrial manufacturing company comprising two reporting segments: Water and Electrical. For the first three months of 2018, the Water segment and the Electrical segment represented approximately 58% and 42% of total revenues, respectively. We classify our operations into business segments based primarily on types of products offered and markets served:</w:t>
      </w:r>
    </w:p>
    <w:p>
      <w:pPr>
        <w:spacing w:after="0" w:line="136" w:lineRule="exact"/>
        <w:rPr>
          <w:sz w:val="20"/>
          <w:szCs w:val="20"/>
          <w:color w:val="auto"/>
        </w:rPr>
      </w:pPr>
    </w:p>
    <w:p>
      <w:pPr>
        <w:ind w:left="660" w:right="2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 The Water segment designs, manufactures and services innovative products and solutions to meet filtration, separation, flow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challenges in agriculture, aquaculture, foodservice, food and beverage processing, swimming pools, water supply and disposal and a variety of industrial applications.</w:t>
      </w:r>
    </w:p>
    <w:p>
      <w:pPr>
        <w:spacing w:after="0" w:line="12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Electrical </w:t>
      </w:r>
      <w:r>
        <w:rPr>
          <w:rFonts w:ascii="Arial" w:cs="Arial" w:eastAsia="Arial" w:hAnsi="Arial"/>
          <w:sz w:val="18"/>
          <w:szCs w:val="18"/>
          <w:color w:val="auto"/>
        </w:rPr>
        <w:t>— The Electrical segment designs, manufactures, markets, installs and services high performance products and solutions that connect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 some of the world's most sensitive equipment, buildings, and critical processes.</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April 28, 2017, we completed the sale of our Valves &amp; Controls business to Emerson Electric Co. for $3.15 billion. The sale resulted in a gain of $181.1 million, net of tax. The results of the Valves &amp; Controls business have been presented as discontinued operations for all periods presented. The Valves &amp; Controls business was previously disclosed as a stand-alone reporting segment.</w:t>
      </w:r>
    </w:p>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April 3, 2018, our Board of Directors formally approved the plan to separate our Water business and Electrical business into two independent, publicly-traded companies (the "Separation") and certain details related to the Separation, including the record date, distribution date and distribution ratio. The Separation will occur by means of a distribution of the Company’s Electrical business, to be effected by the transfer of the Electrical business from the Company to nVent Electric plc (“nVent”) and the issuance of ordinary shares of nVent directly to holders of Company ordinary shares on a pro rata basis (the “Distribution”). The Distribution is expected to occur at 4:59 p.m., Eastern Time, on April 30, 2018.</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Company shareholder will receive one ordinary share of nVent for every one ordinary share of Pentair held as of the close of business on April 17, 2018, the record date for the Distribution. nVent ordinary shares are expected to begin trading on the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New York Stock Exchange on May 1, 2018, under the symbol "NVT." "When-issued" trading for nVent ordinary shares began on April 16, 2018 and will continue through April 30, 2018. Beginning on April 16, 2018 and continuing through April 30, 2018, there are two markets in Pentair ordinary shares: Pentair shares that trade in the "regular way" market trade with an entitlement to nVent ordinary shares to be distributed pursuant to the Distribution and Pentair shares that trade in the "ex-distribution" market trade without an entitlement to nVent ordinary shares.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completion of the Separation, Electrical's jurisdiction of organization will be Ireland, but it will manage its affairs so that it will be centrally managed and controlled in the United Kingdom (the "U.K.") and therefore will have its tax residency in the U.K. The disclosures within this Management's Discussion and Analysis of Financial Condition and Results of Operations include the results of operations, financial condition and cash flows of the Electrical business as continuing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2017 and the first three months of 2018 and will likely impact our results in the future:</w:t>
      </w:r>
    </w:p>
    <w:p>
      <w:pPr>
        <w:spacing w:after="0" w:line="130" w:lineRule="exact"/>
        <w:rPr>
          <w:sz w:val="20"/>
          <w:szCs w:val="20"/>
          <w:color w:val="auto"/>
        </w:rPr>
      </w:pPr>
    </w:p>
    <w:p>
      <w:pPr>
        <w:ind w:left="660" w:right="8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2017 and the first three months of 2018, we continued execution of certain business restructuring initiatives aimed at reducing our fixed cost structure and began realigning our business in contemplation of the Separation. We expect these actions will contribute to margin growth in 2018.</w:t>
      </w:r>
    </w:p>
    <w:p>
      <w:pPr>
        <w:spacing w:after="0" w:line="69" w:lineRule="exact"/>
        <w:rPr>
          <w:rFonts w:ascii="Arial" w:cs="Arial" w:eastAsia="Arial" w:hAnsi="Arial"/>
          <w:sz w:val="16"/>
          <w:szCs w:val="16"/>
          <w:color w:val="auto"/>
        </w:rPr>
      </w:pPr>
    </w:p>
    <w:p>
      <w:pPr>
        <w:ind w:left="660" w:right="16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2018,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the execution of the Separation to create two industry-leading pure-play companies in Water and Electrical;</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Driving operating excellence through our Pentair Integrated Management System ("PIMS")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7"/>
              </w:rPr>
              <w:t>The consolidated results of operations for the three months ended March 31, 2018 and 2017 were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4"/>
                <w:szCs w:val="24"/>
                <w:color w:val="auto"/>
              </w:rPr>
            </w:pPr>
          </w:p>
        </w:tc>
      </w:tr>
      <w:tr>
        <w:trPr>
          <w:trHeight w:val="34"/>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1,269.7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807.7</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761.2</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46.5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6.1 %</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39.7</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36.4%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35.7%</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88"/>
              </w:rPr>
              <w:t>0.7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279.6</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251.7</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27.9</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11.1 %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0.7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0.3 %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(0.1)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12.0%</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11.9%</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88"/>
              </w:rPr>
              <w:t>0.1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(30.0)%</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28.2</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27.2 %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20.9%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(1.2) pts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6640" w:type="dxa"/>
            <w:vAlign w:val="bottom"/>
          </w:tcPr>
          <w:p>
            <w:pPr>
              <w:jc w:val="right"/>
              <w:ind w:right="10"/>
              <w:spacing w:after="0"/>
              <w:rPr>
                <w:sz w:val="20"/>
                <w:szCs w:val="20"/>
                <w:color w:val="auto"/>
              </w:rPr>
            </w:pPr>
            <w:r>
              <w:rPr>
                <w:rFonts w:ascii="Arial" w:cs="Arial" w:eastAsia="Arial" w:hAnsi="Arial"/>
                <w:sz w:val="18"/>
                <w:szCs w:val="18"/>
                <w:b w:val="1"/>
                <w:bCs w:val="1"/>
                <w:color w:val="auto"/>
              </w:rPr>
              <w:t>Three months ended March 31, 2018</w:t>
            </w:r>
          </w:p>
        </w:tc>
      </w:tr>
      <w:tr>
        <w:trPr>
          <w:trHeight w:val="270"/>
        </w:trPr>
        <w:tc>
          <w:tcPr>
            <w:tcW w:w="4780" w:type="dxa"/>
            <w:vAlign w:val="bottom"/>
          </w:tcPr>
          <w:p>
            <w:pPr>
              <w:spacing w:after="0"/>
              <w:rPr>
                <w:sz w:val="23"/>
                <w:szCs w:val="23"/>
                <w:color w:val="auto"/>
              </w:rPr>
            </w:pPr>
          </w:p>
        </w:tc>
        <w:tc>
          <w:tcPr>
            <w:tcW w:w="6640" w:type="dxa"/>
            <w:vAlign w:val="bottom"/>
          </w:tcPr>
          <w:p>
            <w:pPr>
              <w:jc w:val="right"/>
              <w:ind w:right="43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47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6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Price</w:t>
            </w:r>
          </w:p>
        </w:tc>
        <w:tc>
          <w:tcPr>
            <w:tcW w:w="664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47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6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6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664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6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7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7.3 percentage point increase in net sales in the first quarter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sales volume in our residential, commercial and industrial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foreign currency effects for the three months ended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project sales volume, particularly in the energy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2017 that did not recur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0.7 percentage point increase in gross profit as a percentage of sales in the first quarter of 2018 from 2017 was primarily driven by:</w:t>
      </w:r>
    </w:p>
    <w:p>
      <w:pPr>
        <w:spacing w:after="0" w:line="157"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 job adjustments negatively impacting gross profit by $14.7 million in the first three months of 2017 that did not recur in the first three months of 2018;</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mix as a result of the decline in lower margin project sales and growth in higher margin product sales;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0.7 percentage point increase in SG&amp;A expense as a percentage of sales in the first quarter of 2018 from 2017 was primarily driven by:</w:t>
      </w:r>
    </w:p>
    <w:p>
      <w:pPr>
        <w:spacing w:after="0" w:line="157"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incurred in anticipation of the Separation of $24.6 million in the first quarter of 2018;</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 and</w:t>
      </w:r>
    </w:p>
    <w:p>
      <w:pPr>
        <w:spacing w:after="0" w:line="171" w:lineRule="exact"/>
        <w:rPr>
          <w:rFonts w:ascii="Arial" w:cs="Arial" w:eastAsia="Arial" w:hAnsi="Arial"/>
          <w:sz w:val="18"/>
          <w:szCs w:val="18"/>
          <w:color w:val="auto"/>
        </w:rPr>
      </w:pPr>
    </w:p>
    <w:p>
      <w:pPr>
        <w:ind w:left="500" w:right="24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reversal of a $13.3 million indemnification liability in the first quarter of 2017 related to our 2012 transaction with Tyco (now known as Johnson Controls International plc) that did not recur in 2018.</w:t>
      </w:r>
    </w:p>
    <w:p>
      <w:pPr>
        <w:spacing w:after="0" w:line="200" w:lineRule="exact"/>
        <w:rPr>
          <w:sz w:val="20"/>
          <w:szCs w:val="20"/>
          <w:color w:val="auto"/>
        </w:rPr>
      </w:pPr>
    </w:p>
    <w:p>
      <w:pPr>
        <w:spacing w:after="0" w:line="295"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costs of $8.3 million in the first quarter of 2018, compared to $20.9 million in the first quarter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60.6 percent decrease in net interest expense in the first quarter of 2018 from 2017 was primarily driven by:</w:t>
      </w:r>
    </w:p>
    <w:p>
      <w:pPr>
        <w:spacing w:after="0" w:line="157" w:lineRule="exact"/>
        <w:rPr>
          <w:sz w:val="20"/>
          <w:szCs w:val="20"/>
          <w:color w:val="auto"/>
        </w:rPr>
      </w:pPr>
    </w:p>
    <w:p>
      <w:pPr>
        <w:ind w:left="500" w:right="240" w:hanging="330"/>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lower debt levels during the first quarter of 2018, compared to the first quarter of 2017. In May 2017, the proceeds from the sale of the Valves &amp; Controls business were utilized to repay all commercial paper and revolving long term debt and for the early extinguishment of $1,659.3 million of aggregate principal amount of certain series of fixed rate outstanding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overall interest rates in effect on our outstanding variable rate debt during the first quarter of 2018, compared to the first quarter of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1.2 percentage point decrease in the effective tax rate in the first quarter of 2018 from 2017 was primarily driven by:</w:t>
      </w:r>
    </w:p>
    <w:p>
      <w:pPr>
        <w:spacing w:after="0" w:line="157"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quarter of 2018 compared to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98" w:lineRule="exact"/>
        <w:rPr>
          <w:sz w:val="20"/>
          <w:szCs w:val="20"/>
          <w:color w:val="auto"/>
        </w:rPr>
      </w:pPr>
    </w:p>
    <w:p>
      <w:pPr>
        <w:ind w:left="560" w:hanging="39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unfavorable impact of discrete items that occurred during the first quarter of 2018 compared to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two reportable segments (Water and Electrical). Each of these segments is comprised of various product offerings that serve multiple end users.</w:t>
      </w:r>
    </w:p>
    <w:p>
      <w:pPr>
        <w:spacing w:after="0" w:line="18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Water</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Water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20"/>
                <w:szCs w:val="20"/>
                <w:color w:val="auto"/>
              </w:rPr>
            </w:pPr>
          </w:p>
        </w:tc>
      </w:tr>
      <w:tr>
        <w:trPr>
          <w:trHeight w:val="34"/>
        </w:trPr>
        <w:tc>
          <w:tcPr>
            <w:tcW w:w="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6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34"/>
        </w:trPr>
        <w:tc>
          <w:tcPr>
            <w:tcW w:w="6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682.9</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r>
      <w:tr>
        <w:trPr>
          <w:trHeight w:val="243"/>
        </w:trPr>
        <w:tc>
          <w:tcPr>
            <w:tcW w:w="60" w:type="dxa"/>
            <w:vAlign w:val="bottom"/>
          </w:tcPr>
          <w:p>
            <w:pPr>
              <w:spacing w:after="0"/>
              <w:rPr>
                <w:sz w:val="21"/>
                <w:szCs w:val="21"/>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132.7</w:t>
            </w:r>
          </w:p>
        </w:tc>
        <w:tc>
          <w:tcPr>
            <w:tcW w:w="2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116.1</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14.3%</w:t>
            </w:r>
          </w:p>
        </w:tc>
      </w:tr>
      <w:tr>
        <w:trPr>
          <w:trHeight w:val="27"/>
        </w:trPr>
        <w:tc>
          <w:tcPr>
            <w:tcW w:w="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18.1%</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 pts</w:t>
            </w:r>
          </w:p>
        </w:tc>
      </w:tr>
      <w:tr>
        <w:trPr>
          <w:trHeight w:val="364"/>
        </w:trPr>
        <w:tc>
          <w:tcPr>
            <w:tcW w:w="6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7"/>
              </w:rPr>
              <w:t>The components of the change in Water net sales from the prior period were as follows: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660" w:type="dxa"/>
            <w:vAlign w:val="bottom"/>
          </w:tcPr>
          <w:p>
            <w:pPr>
              <w:jc w:val="right"/>
              <w:ind w:right="90"/>
              <w:spacing w:after="0"/>
              <w:rPr>
                <w:sz w:val="20"/>
                <w:szCs w:val="20"/>
                <w:color w:val="auto"/>
              </w:rPr>
            </w:pPr>
            <w:r>
              <w:rPr>
                <w:rFonts w:ascii="Arial" w:cs="Arial" w:eastAsia="Arial" w:hAnsi="Arial"/>
                <w:sz w:val="18"/>
                <w:szCs w:val="18"/>
                <w:b w:val="1"/>
                <w:bCs w:val="1"/>
                <w:color w:val="auto"/>
              </w:rPr>
              <w:t>Three months ended March 31, 2018</w:t>
            </w:r>
          </w:p>
        </w:tc>
      </w:tr>
      <w:tr>
        <w:trPr>
          <w:trHeight w:val="270"/>
        </w:trPr>
        <w:tc>
          <w:tcPr>
            <w:tcW w:w="4760" w:type="dxa"/>
            <w:vAlign w:val="bottom"/>
          </w:tcPr>
          <w:p>
            <w:pPr>
              <w:spacing w:after="0"/>
              <w:rPr>
                <w:sz w:val="23"/>
                <w:szCs w:val="23"/>
                <w:color w:val="auto"/>
              </w:rPr>
            </w:pPr>
          </w:p>
        </w:tc>
        <w:tc>
          <w:tcPr>
            <w:tcW w:w="6660" w:type="dxa"/>
            <w:vAlign w:val="bottom"/>
          </w:tcPr>
          <w:p>
            <w:pPr>
              <w:jc w:val="right"/>
              <w:ind w:right="49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476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6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Price</w:t>
            </w:r>
          </w:p>
        </w:tc>
        <w:tc>
          <w:tcPr>
            <w:tcW w:w="666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476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6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66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476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6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476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7.2 percent increase in net sales for Water in the first quarter of 2018 from 2017 was primarily driven by:</w:t>
      </w:r>
    </w:p>
    <w:p>
      <w:pPr>
        <w:spacing w:after="0" w:line="171" w:lineRule="exact"/>
        <w:rPr>
          <w:sz w:val="20"/>
          <w:szCs w:val="20"/>
          <w:color w:val="auto"/>
        </w:rPr>
      </w:pPr>
    </w:p>
    <w:p>
      <w:pPr>
        <w:ind w:left="5620" w:right="2680" w:hanging="5450"/>
        <w:spacing w:after="0" w:line="559"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growth across all three businesses, primarily as a result of increased volumes in the U.S and Western Europe; 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w:t>
        <w:tab/>
        <w:t>favorable foreign currency effects; and</w:t>
      </w:r>
    </w:p>
    <w:p>
      <w:pPr>
        <w:spacing w:after="0" w:line="171"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w:t>
        <w:tab/>
        <w:t>selective increases in selling prices to mitigate inflationary cost increases.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w:t>
        <w:tab/>
        <w:t>sales declines in the Middle East.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Water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6540" w:type="dxa"/>
            <w:vAlign w:val="bottom"/>
            <w:gridSpan w:val="2"/>
          </w:tcPr>
          <w:p>
            <w:pPr>
              <w:ind w:left="3540"/>
              <w:spacing w:after="0"/>
              <w:rPr>
                <w:sz w:val="20"/>
                <w:szCs w:val="20"/>
                <w:color w:val="auto"/>
              </w:rPr>
            </w:pPr>
            <w:r>
              <w:rPr>
                <w:rFonts w:ascii="Arial" w:cs="Arial" w:eastAsia="Arial" w:hAnsi="Arial"/>
                <w:sz w:val="18"/>
                <w:szCs w:val="18"/>
                <w:b w:val="1"/>
                <w:bCs w:val="1"/>
                <w:color w:val="auto"/>
                <w:w w:val="96"/>
              </w:rPr>
              <w:t>Three months ended March 31, 2018</w:t>
            </w:r>
          </w:p>
        </w:tc>
      </w:tr>
      <w:tr>
        <w:trPr>
          <w:trHeight w:val="270"/>
        </w:trPr>
        <w:tc>
          <w:tcPr>
            <w:tcW w:w="4880" w:type="dxa"/>
            <w:vAlign w:val="bottom"/>
          </w:tcPr>
          <w:p>
            <w:pPr>
              <w:spacing w:after="0"/>
              <w:rPr>
                <w:sz w:val="23"/>
                <w:szCs w:val="23"/>
                <w:color w:val="auto"/>
              </w:rPr>
            </w:pPr>
          </w:p>
        </w:tc>
        <w:tc>
          <w:tcPr>
            <w:tcW w:w="6240" w:type="dxa"/>
            <w:vAlign w:val="bottom"/>
          </w:tcPr>
          <w:p>
            <w:pPr>
              <w:jc w:val="right"/>
              <w:ind w:right="19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34"/>
        </w:trPr>
        <w:tc>
          <w:tcPr>
            <w:tcW w:w="488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2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37"/>
        </w:trPr>
        <w:tc>
          <w:tcPr>
            <w:tcW w:w="4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1"/>
              </w:rPr>
              <w:t>pts</w:t>
            </w:r>
          </w:p>
        </w:tc>
      </w:tr>
      <w:tr>
        <w:trPr>
          <w:trHeight w:val="27"/>
        </w:trPr>
        <w:tc>
          <w:tcPr>
            <w:tcW w:w="488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1.1 percentage point increase in segment income for Water as a percentage of net sales in the first quarter of 2018 from 2017 was primarily driven by:</w:t>
      </w:r>
    </w:p>
    <w:p>
      <w:pPr>
        <w:spacing w:after="0" w:line="194"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growth across all three businesses, primarily as a result of increased volumes in the U.S and Western Europe</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growth investments in research &amp; development and sales &amp; marketing; and</w:t>
      </w:r>
    </w:p>
    <w:p>
      <w:pPr>
        <w:spacing w:after="0" w:line="177"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r>
        <w:rPr>
          <w:rFonts w:ascii="Arial" w:cs="Arial" w:eastAsia="Arial" w:hAnsi="Arial"/>
          <w:sz w:val="21"/>
          <w:szCs w:val="2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Electrical</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Electrical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r>
      <w:tr>
        <w:trPr>
          <w:trHeight w:val="34"/>
        </w:trPr>
        <w:tc>
          <w:tcPr>
            <w:tcW w:w="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ind w:left="38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6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change</w:t>
            </w:r>
          </w:p>
        </w:tc>
      </w:tr>
      <w:tr>
        <w:trPr>
          <w:trHeight w:val="34"/>
        </w:trPr>
        <w:tc>
          <w:tcPr>
            <w:tcW w:w="6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538.9</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502.2</w:t>
            </w:r>
          </w:p>
        </w:tc>
        <w:tc>
          <w:tcPr>
            <w:tcW w:w="13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7.3 %</w:t>
            </w:r>
          </w:p>
        </w:tc>
      </w:tr>
      <w:tr>
        <w:trPr>
          <w:trHeight w:val="243"/>
        </w:trPr>
        <w:tc>
          <w:tcPr>
            <w:tcW w:w="60" w:type="dxa"/>
            <w:vAlign w:val="bottom"/>
          </w:tcPr>
          <w:p>
            <w:pPr>
              <w:spacing w:after="0"/>
              <w:rPr>
                <w:sz w:val="21"/>
                <w:szCs w:val="21"/>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104.3</w:t>
            </w:r>
          </w:p>
        </w:tc>
        <w:tc>
          <w:tcPr>
            <w:tcW w:w="1360" w:type="dxa"/>
            <w:vAlign w:val="bottom"/>
          </w:tcPr>
          <w:p>
            <w:pPr>
              <w:ind w:left="780"/>
              <w:spacing w:after="0"/>
              <w:rPr>
                <w:sz w:val="20"/>
                <w:szCs w:val="20"/>
                <w:color w:val="auto"/>
              </w:rPr>
            </w:pPr>
            <w:r>
              <w:rPr>
                <w:rFonts w:ascii="Arial" w:cs="Arial" w:eastAsia="Arial" w:hAnsi="Arial"/>
                <w:sz w:val="18"/>
                <w:szCs w:val="18"/>
                <w:color w:val="auto"/>
              </w:rPr>
              <w:t>1.9 %</w:t>
            </w:r>
          </w:p>
        </w:tc>
      </w:tr>
      <w:tr>
        <w:trPr>
          <w:trHeight w:val="27"/>
        </w:trPr>
        <w:tc>
          <w:tcPr>
            <w:tcW w:w="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19.7%</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w w:val="93"/>
              </w:rPr>
              <w:t>(1.1) pts</w:t>
            </w:r>
          </w:p>
        </w:tc>
      </w:tr>
      <w:tr>
        <w:trPr>
          <w:trHeight w:val="364"/>
        </w:trPr>
        <w:tc>
          <w:tcPr>
            <w:tcW w:w="68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3"/>
              </w:rPr>
              <w:t>The components of the change in Electrical net sales from the prior period were as follows: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Three months ended March 31, 2018</w:t>
            </w:r>
          </w:p>
        </w:tc>
      </w:tr>
      <w:tr>
        <w:trPr>
          <w:trHeight w:val="270"/>
        </w:trPr>
        <w:tc>
          <w:tcPr>
            <w:tcW w:w="6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6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7"/>
              </w:rPr>
              <w:t>2.5%</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0.6</w:t>
            </w:r>
          </w:p>
        </w:tc>
      </w:tr>
      <w:tr>
        <w:trPr>
          <w:trHeight w:val="27"/>
        </w:trPr>
        <w:tc>
          <w:tcPr>
            <w:tcW w:w="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3.1</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Currency</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4.2</w:t>
            </w:r>
          </w:p>
        </w:tc>
      </w:tr>
      <w:tr>
        <w:trPr>
          <w:trHeight w:val="27"/>
        </w:trPr>
        <w:tc>
          <w:tcPr>
            <w:tcW w:w="6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7"/>
              </w:rPr>
              <w:t>7.3%</w:t>
            </w: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sales volume in our industrial and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slowdown in capital spending, particularly in the energy and infrastructure businesses, driving sales declines.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Electrical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656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Three months ended March 31, 2018</w:t>
            </w:r>
          </w:p>
        </w:tc>
      </w:tr>
      <w:tr>
        <w:trPr>
          <w:trHeight w:val="270"/>
        </w:trPr>
        <w:tc>
          <w:tcPr>
            <w:tcW w:w="4860" w:type="dxa"/>
            <w:vAlign w:val="bottom"/>
          </w:tcPr>
          <w:p>
            <w:pPr>
              <w:spacing w:after="0"/>
              <w:rPr>
                <w:sz w:val="23"/>
                <w:szCs w:val="23"/>
                <w:color w:val="auto"/>
              </w:rPr>
            </w:pPr>
          </w:p>
        </w:tc>
        <w:tc>
          <w:tcPr>
            <w:tcW w:w="6560" w:type="dxa"/>
            <w:vAlign w:val="bottom"/>
          </w:tcPr>
          <w:p>
            <w:pPr>
              <w:jc w:val="center"/>
              <w:ind w:left="323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34"/>
        </w:trPr>
        <w:tc>
          <w:tcPr>
            <w:tcW w:w="486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560" w:type="dxa"/>
            <w:vAlign w:val="bottom"/>
            <w:tcBorders>
              <w:bottom w:val="single" w:sz="8" w:color="CCEEFF"/>
            </w:tcBorders>
            <w:shd w:val="clear" w:color="auto" w:fill="CCEEFF"/>
          </w:tcPr>
          <w:p>
            <w:pPr>
              <w:ind w:left="5980"/>
              <w:spacing w:after="0"/>
              <w:rPr>
                <w:sz w:val="20"/>
                <w:szCs w:val="20"/>
                <w:color w:val="auto"/>
              </w:rPr>
            </w:pPr>
            <w:r>
              <w:rPr>
                <w:rFonts w:ascii="Arial" w:cs="Arial" w:eastAsia="Arial" w:hAnsi="Arial"/>
                <w:sz w:val="18"/>
                <w:szCs w:val="18"/>
                <w:color w:val="auto"/>
              </w:rPr>
              <w:t>2.3 pts</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560" w:type="dxa"/>
            <w:vAlign w:val="bottom"/>
          </w:tcPr>
          <w:p>
            <w:pPr>
              <w:ind w:left="5920"/>
              <w:spacing w:after="0"/>
              <w:rPr>
                <w:sz w:val="20"/>
                <w:szCs w:val="20"/>
                <w:color w:val="auto"/>
              </w:rPr>
            </w:pPr>
            <w:r>
              <w:rPr>
                <w:rFonts w:ascii="Arial" w:cs="Arial" w:eastAsia="Arial" w:hAnsi="Arial"/>
                <w:sz w:val="18"/>
                <w:szCs w:val="18"/>
                <w:color w:val="auto"/>
              </w:rPr>
              <w:t>(2.6)</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560" w:type="dxa"/>
            <w:vAlign w:val="bottom"/>
            <w:tcBorders>
              <w:bottom w:val="single" w:sz="8" w:color="CCEEFF"/>
            </w:tcBorders>
            <w:shd w:val="clear" w:color="auto" w:fill="CCEEFF"/>
          </w:tcPr>
          <w:p>
            <w:pPr>
              <w:ind w:left="5920"/>
              <w:spacing w:after="0"/>
              <w:rPr>
                <w:sz w:val="20"/>
                <w:szCs w:val="20"/>
                <w:color w:val="auto"/>
              </w:rPr>
            </w:pPr>
            <w:r>
              <w:rPr>
                <w:rFonts w:ascii="Arial" w:cs="Arial" w:eastAsia="Arial" w:hAnsi="Arial"/>
                <w:sz w:val="18"/>
                <w:szCs w:val="18"/>
                <w:color w:val="auto"/>
              </w:rPr>
              <w:t>(0.8)</w:t>
            </w:r>
          </w:p>
        </w:tc>
      </w:tr>
      <w:tr>
        <w:trPr>
          <w:trHeight w:val="237"/>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560" w:type="dxa"/>
            <w:vAlign w:val="bottom"/>
            <w:tcBorders>
              <w:top w:val="single" w:sz="8" w:color="auto"/>
            </w:tcBorders>
          </w:tcPr>
          <w:p>
            <w:pPr>
              <w:ind w:left="5920"/>
              <w:spacing w:after="0"/>
              <w:rPr>
                <w:sz w:val="20"/>
                <w:szCs w:val="20"/>
                <w:color w:val="auto"/>
              </w:rPr>
            </w:pPr>
            <w:r>
              <w:rPr>
                <w:rFonts w:ascii="Arial" w:cs="Arial" w:eastAsia="Arial" w:hAnsi="Arial"/>
                <w:sz w:val="18"/>
                <w:szCs w:val="18"/>
                <w:color w:val="auto"/>
                <w:w w:val="93"/>
              </w:rPr>
              <w:t>(1.1) pts</w:t>
            </w:r>
          </w:p>
        </w:tc>
      </w:tr>
      <w:tr>
        <w:trPr>
          <w:trHeight w:val="27"/>
        </w:trPr>
        <w:tc>
          <w:tcPr>
            <w:tcW w:w="486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1.1 percentage point decrease in segment income for Electrical as a percentage of net sales in the first quarter of 2018 from 2017 was primarily driven by:</w:t>
      </w:r>
    </w:p>
    <w:p>
      <w:pPr>
        <w:spacing w:after="0" w:line="116"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rFonts w:ascii="Arial" w:cs="Arial" w:eastAsia="Arial" w:hAnsi="Arial"/>
          <w:sz w:val="18"/>
          <w:szCs w:val="18"/>
          <w:color w:val="auto"/>
        </w:rPr>
      </w:pPr>
    </w:p>
    <w:p>
      <w:pPr>
        <w:ind w:left="500" w:right="600" w:hanging="330"/>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cost of sales due to manufacturing footprint rationalization and a new U.S. distribution center. We expect these investments will result in increased productivity and operating leverage in future periods;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sales volume in our energy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333"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higher sales volume in our industrial and residential and commercial businesses, which resulted in increased leverage on operating expenses;</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favorable mix as a result of the decline in lower margin project sales and growth in higher margin product sales;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intended to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experience seasonal cash flows primarily due to seasonal demand in a number of markets within both our Water and Electrical segments.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 Additionally, 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Cash used for operating activities of continuing operations was $166.9 million in the first three months of 2018, compared to $88.7 million in the same period of 2017.</w:t>
      </w:r>
    </w:p>
    <w:p>
      <w:pPr>
        <w:spacing w:after="0" w:line="13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$166.9 million in net cash used for operating activities of continuing operations in the first three months of 2018 primarily reflects an increase in net working capital. Operating cash flows in the first three months of 2018 were negatively impacted by</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$317.2 million due to the increase in net working capital, primarily the result of an increase in accounts receivable in anticipation of our peak sales season in the second and third quarters. The increase in net working capital was offset by $150.4 million of net income from continuing operations, net of non-cash depreciation and amortization.</w:t>
      </w:r>
    </w:p>
    <w:p>
      <w:pPr>
        <w:spacing w:after="0" w:line="19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$88.7 million in net cash used for operating activities of continuing operations in the first three months of 2017 primarily reflects an increase in net working capital of $221.2 million, offset by $126.1 million of net income from continuing operations, net of non-cash depreciation and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used for investing activities of continuing operations was $31.2 million in the first three months of 2018, compared to $80.3 million of cash used for investing activities in the same period of 2017. Net cash used for investing activities of continuing operations in the first three months of 2018 primarily reflects capital expenditures of $16.8 million, cash paid for the settlement of a working capital adjustment related to the sale of the Valves &amp; Controls business and cash paid for acquisitions of $2.9 million. Net cash used for investing activities of continuing operations in the first three months of 2017 relates primarily relates to capital expenditures of $23.6 million and acquisitions, net of cash acquired, of $56.7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provided by financing activities was $997.8 million in the first three months of 2018, compared with $169.0 million in the prior year period. As described further below, nVent Finance S.à r.l. (“nVent Finance”), a subsidiary of Pentair that will become a subsidiary of nVent at the time of the completion of the Separation, issued $800.0 million aggregate principal amount of senior notes in March 2018 in anticipation of the Separation. This senior note issuance was offset by the repurchase of $150.0 million of shares and the payment of dividends during the first three months of 2018. Net cash provided by financing activities in the first three months 2017 primarily relates to net receipts of commercial paper and revolving long-term debt, partially offset by payment of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debt</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March 2018, in anticipation of the Separation, nVent Finance issued $300.0 million aggregate principal amount of 3.950% senior notes due 2023 (the "2023 Notes") and $500.0 million aggregate principal amount of 4.550% senior notes due 2028 (the "2028 Notes" and, collectively with the 2023 Notes, the "nVent Notes").</w:t>
      </w:r>
    </w:p>
    <w:p>
      <w:pPr>
        <w:spacing w:after="0" w:line="1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nVent Notes are fully and unconditionally guaranteed by nVent. In addition, the nVent Notes initially are fully and unconditionally guaranteed by Pentair and Pentair Investments Switzerland GmbH ("PISG"). Upon completion of the Separation, the guarantees of Pentair and PISG will be automatically and unconditionally terminated and released.</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in March 2018, in anticipation of the Separation, nVent Finance entered into a credit agreement with a syndicate of banks providing for a five-year $200.0 million senior unsecured term loan facility (the "nVent Term Loan Facility") and a five-year $600.0 million senior unsecured revolving credit facility (the "nVent Revolving Credit Facility" and, together with the nVent Term Loan Facility, the "nVent Senior Credit Facilities"). After the completion of the Separation, nVent Finance will have the option to request to increase the nVent Revolving Credit Facility in an aggregate amount of up to $300.0 million, subject to customary conditions, including the commitment of the participating lenders. As of March 31, 2018, there were no outstanding borrowings under the nVent Term Loan Facility or the nVent Revolving Credit Facility. We expect that nVent Finance will have $200.0 million of borrowings outstanding under the nVent Term Loan Facility and no borrowings under the nVent Revolving Credit Facility at the time of the Separation.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Separation, nVent Finance will transfer to Pentair all cash in excess of $50.0 million of nVent and its subsidiaries, including cash from the net proceeds from the borrowings under the nVent Term Loan Facility and the issuance of the nVent Notes, as consideration for the contribution of the assets of the Electrical business to nVent Finance by Pentair. Pentair expects to use the proceeds of such cash transfer to repay certain outstanding debt of Pentair.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matters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Pentair, PISG, Pentair Finance S.à r.l. ("PFSA") and Pentair, Inc. are parties to an amended and restated credit agreement (the "Credit Facility"), with Pentair and PISG as guarantors and PFSA and Pentair, Inc. as borrowers. The Credit Facility had a maximum aggregate availability of $2,500.0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PFSA had $257.8 million of commercial paper outstanding as of March 31, 2018 and $34.0 million as of December 31, 2017,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any period of four consecutive fiscal quarters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March 31, 2018, we were in compliance with all financial covenants in our debt agreements.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availability under the Credit Facility was $2,220.1 million as of March 31, 2018, which was limited to $183.4 million by the maximum Leverage Ratio in the Credit Facility's credit agreement.</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$31.2 million, of which there were $0.2 million outstanding borrowings at March 31, 2018. Borrowings under these credit facilities bear interest at variable rates.</w:t>
      </w:r>
    </w:p>
    <w:p>
      <w:pPr>
        <w:spacing w:after="0" w:line="11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March 31, 2018, we have $59.6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In December 2014, the Board of Directors authorized the repurchase of our ordinary shares up to a maximum dollar limit of $1.0 billion. The authorization expires on December 31, 2019. During the three months ended March 31, 2018, we repurchased 2.2 million of our shares for $150.0 million pursuant to this authorization. As of March 31, 2018, we had $450.0 million remaining available for share repurchases under this authorization.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On February 27, 2018, the Board of Directors declared a quarterly cash dividend of $0.35 payable on April 27, 2018 to shareholders of record at the close of business on April 13, 2018. Additionally, on December 5, 2017, the Board of Directors declared a quarterly cash dividend of $0.35 that was paid on February 9, 2018 to shareholders of record at the close of business on January 26, 2018 and approved a plan to increase the 2018 annual cash dividend to $1.40, which is intended to be paid in four quarterly installments. The 2018 increase will mark the 42nd consecutive year we have increased dividends.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$62.4 million and $63.1 million at March 31, 2018 and December 31, 2017, respectively.</w:t>
      </w: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paid dividends in the first three months of 2018 of $63.3 million, or $0.350 per ordinary share, compared with $62.8 million, or $0.345 per ordinary share, in the prior 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$9.0 billion as of December 31,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summarizes our significant contractual debt and fixed-rate interest obligations that impact our liquidity. There have been no other material changes from the significant contractual obligations previously disclosed in Item 7 of our 2017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Q2-Q4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435.1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2017 Annual Report on Form 10-K, we identified the critical accounting policies which affect our more significant estimates and assumptions used in preparing our consolidated financial statements. Significant changes to our critical accounting estimates as a result of adopting ASC 606 are discussed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Accounting for long-term contracts involves the use of various techniques to estimate total contract revenue and costs. Contract estimates are based on various assumptions to project the outcome of future events that may span multiple years. We review and update our contract-related estimates regularly. We recognize adjustments in estimated profit on contracts under the cumulative catch-up method. Under this method, the impact of the adjustment on profit recorded to date is recognized in the period the adjustment is identified.</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other material changes to our critical accounting policies and estimates from those disclosed in our 2017 Annual Report on Form 10-K for the year ended December 31, 2017.</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March 31, 2018. For additional information, refer to Item 7A of our 2017 Annual Report on Form 10-K.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2018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2018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2018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2018,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March 31, 2018,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2017 Annual Report on Form 10-K.</w:t>
      </w:r>
    </w:p>
    <w:p>
      <w:pPr>
        <w:spacing w:after="0" w:line="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(b)</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21"/>
                <w:szCs w:val="21"/>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Dollar value of shares</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Total number</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Average price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292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purchased</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paid per share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27</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71.37</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600,000,119</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January 28 - February 24</w:t>
            </w:r>
          </w:p>
        </w:tc>
        <w:tc>
          <w:tcPr>
            <w:tcW w:w="2180" w:type="dxa"/>
            <w:vAlign w:val="bottom"/>
          </w:tcPr>
          <w:p>
            <w:pPr>
              <w:jc w:val="right"/>
              <w:spacing w:after="0"/>
              <w:rPr>
                <w:sz w:val="20"/>
                <w:szCs w:val="20"/>
                <w:color w:val="auto"/>
              </w:rPr>
            </w:pPr>
            <w:r>
              <w:rPr>
                <w:rFonts w:ascii="Arial" w:cs="Arial" w:eastAsia="Arial" w:hAnsi="Arial"/>
                <w:sz w:val="18"/>
                <w:szCs w:val="18"/>
                <w:color w:val="auto"/>
              </w:rPr>
              <w:t>2,173,998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69.04</w:t>
            </w:r>
          </w:p>
        </w:tc>
        <w:tc>
          <w:tcPr>
            <w:tcW w:w="2240" w:type="dxa"/>
            <w:vAlign w:val="bottom"/>
          </w:tcPr>
          <w:p>
            <w:pPr>
              <w:jc w:val="right"/>
              <w:spacing w:after="0"/>
              <w:rPr>
                <w:sz w:val="20"/>
                <w:szCs w:val="20"/>
                <w:color w:val="auto"/>
              </w:rPr>
            </w:pPr>
            <w:r>
              <w:rPr>
                <w:rFonts w:ascii="Arial" w:cs="Arial" w:eastAsia="Arial" w:hAnsi="Arial"/>
                <w:sz w:val="18"/>
                <w:szCs w:val="18"/>
                <w:color w:val="auto"/>
              </w:rPr>
              <w:t>2,172,132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450,000,172</w:t>
            </w:r>
          </w:p>
        </w:tc>
      </w:tr>
      <w:tr>
        <w:trPr>
          <w:trHeight w:val="27"/>
        </w:trPr>
        <w:tc>
          <w:tcPr>
            <w:tcW w:w="29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25 - March 31</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67.20</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450,000,172</w:t>
            </w:r>
          </w:p>
        </w:tc>
      </w:tr>
      <w:tr>
        <w:trPr>
          <w:trHeight w:val="237"/>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2,242,236</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2,172,132</w:t>
            </w: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140" w:hanging="330"/>
        <w:spacing w:after="0" w:line="279"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purchases in this column include 35,750 shares for the period January 1 - January 27, 1,866 shares for the period January 28 - February 24 and 32,488 shares for the period February 25 - March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500" w:right="20" w:hanging="330"/>
        <w:spacing w:after="0" w:line="342"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of $1.0 billion.</w:t>
      </w:r>
    </w:p>
    <w:p>
      <w:pPr>
        <w:spacing w:after="0" w:line="116" w:lineRule="exact"/>
        <w:rPr>
          <w:rFonts w:ascii="Arial" w:cs="Arial" w:eastAsia="Arial" w:hAnsi="Arial"/>
          <w:sz w:val="18"/>
          <w:szCs w:val="18"/>
          <w:color w:val="auto"/>
        </w:rPr>
      </w:pPr>
    </w:p>
    <w:p>
      <w:pPr>
        <w:ind w:left="500" w:right="700" w:hanging="330"/>
        <w:spacing w:after="0" w:line="342"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December 2014, our Board of Directors authorized the repurchase of our ordinary shares up to a maximum dollar limit of $1.0 billion. This authorization expires on December 31, 2019. We have $450.0 million remaining availability for repurchases under the 2014 authorization.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200"/>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2018</w:t>
      </w:r>
    </w:p>
    <w:p>
      <w:pPr>
        <w:spacing w:after="0" w:line="360" w:lineRule="exact"/>
        <w:rPr>
          <w:sz w:val="20"/>
          <w:szCs w:val="20"/>
          <w:color w:val="auto"/>
        </w:rPr>
      </w:pPr>
    </w:p>
    <w:p>
      <w:pPr>
        <w:ind w:left="960" w:right="60" w:hanging="782"/>
        <w:spacing w:after="0" w:line="264" w:lineRule="auto"/>
        <w:tabs>
          <w:tab w:leader="none" w:pos="940" w:val="left"/>
        </w:tabs>
        <w:rPr>
          <w:rFonts w:ascii="Arial" w:cs="Arial" w:eastAsia="Arial" w:hAnsi="Arial"/>
          <w:sz w:val="18"/>
          <w:szCs w:val="18"/>
          <w:b w:val="1"/>
          <w:bCs w:val="1"/>
          <w:color w:val="0000FF"/>
        </w:rPr>
      </w:pPr>
      <w:hyperlink r:id="rId11">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t>Indenture, dated as of March 26, 2018, among nVent Finance S.à r.l, nVent Electric plc, Pentair plc, Pentair Investments Switzerland GmbH and U.S. Bank National Association (Incorporated by reference to Exhibit 4.1 in the Current Report on Form 8-K of Pentair plc filed with the Commission on March 26, 2018 (File No. 001-11625)).</w:t>
      </w:r>
    </w:p>
    <w:p>
      <w:pPr>
        <w:spacing w:after="0" w:line="141" w:lineRule="exact"/>
        <w:rPr>
          <w:sz w:val="20"/>
          <w:szCs w:val="20"/>
          <w:color w:val="auto"/>
        </w:rPr>
      </w:pPr>
    </w:p>
    <w:p>
      <w:pPr>
        <w:ind w:left="960" w:right="60" w:hanging="782"/>
        <w:spacing w:after="0" w:line="264" w:lineRule="auto"/>
        <w:tabs>
          <w:tab w:leader="none" w:pos="940" w:val="left"/>
        </w:tabs>
        <w:rPr>
          <w:rFonts w:ascii="Arial" w:cs="Arial" w:eastAsia="Arial" w:hAnsi="Arial"/>
          <w:sz w:val="18"/>
          <w:szCs w:val="18"/>
          <w:b w:val="1"/>
          <w:bCs w:val="1"/>
          <w:color w:val="0000FF"/>
        </w:rPr>
      </w:pPr>
      <w:hyperlink r:id="rId12">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First Supplemental Indenture, dated as of March 26, 2018, among nVent Finance S.à r.l, nVent Electric plc, Pentair plc, Pentair Investments Switzerland GmbH and U.S. Bank National Association (Incorporated by reference to Exhibit 4.2 in the Current Report on Form 8-K of Pentair plc filed with the Commission on March 26, 2018 (File No. 001-11625)).</w:t>
      </w:r>
    </w:p>
    <w:p>
      <w:pPr>
        <w:spacing w:after="0" w:line="141" w:lineRule="exact"/>
        <w:rPr>
          <w:sz w:val="20"/>
          <w:szCs w:val="20"/>
          <w:color w:val="auto"/>
        </w:rPr>
      </w:pPr>
    </w:p>
    <w:p>
      <w:pPr>
        <w:jc w:val="both"/>
        <w:ind w:left="960" w:right="60" w:hanging="782"/>
        <w:spacing w:after="0" w:line="264" w:lineRule="auto"/>
        <w:tabs>
          <w:tab w:leader="none" w:pos="940" w:val="left"/>
        </w:tabs>
        <w:rPr>
          <w:rFonts w:ascii="Arial" w:cs="Arial" w:eastAsia="Arial" w:hAnsi="Arial"/>
          <w:sz w:val="18"/>
          <w:szCs w:val="18"/>
          <w:b w:val="1"/>
          <w:bCs w:val="1"/>
          <w:color w:val="0000FF"/>
        </w:rPr>
      </w:pPr>
      <w:hyperlink r:id="rId13">
        <w:r>
          <w:rPr>
            <w:rFonts w:ascii="Arial" w:cs="Arial" w:eastAsia="Arial" w:hAnsi="Arial"/>
            <w:sz w:val="18"/>
            <w:szCs w:val="18"/>
            <w:b w:val="1"/>
            <w:bCs w:val="1"/>
            <w:u w:val="single" w:color="auto"/>
            <w:color w:val="0000FF"/>
          </w:rPr>
          <w:t>4.3</w:t>
        </w:r>
      </w:hyperlink>
      <w:r>
        <w:rPr>
          <w:rFonts w:ascii="Arial" w:cs="Arial" w:eastAsia="Arial" w:hAnsi="Arial"/>
          <w:sz w:val="18"/>
          <w:szCs w:val="18"/>
          <w:b w:val="1"/>
          <w:bCs w:val="1"/>
          <w:color w:val="0000FF"/>
        </w:rPr>
        <w:tab/>
        <w:t>Second Supplemental Indenture, dated as of March 26, 2018, among nVent Finance S.à r.l., nVent Electric plc, Pentair plc, Pentair Investments Switzerland GmbH and U.S. Bank National Association (Incorporated by reference to Exhibit 4.3 in the Current Report on Form 8-K of Pentair plc filed with the Commission on March 26, 2018 (File No. 001-11625)).</w:t>
      </w:r>
    </w:p>
    <w:p>
      <w:pPr>
        <w:spacing w:after="0" w:line="141" w:lineRule="exact"/>
        <w:rPr>
          <w:sz w:val="20"/>
          <w:szCs w:val="20"/>
          <w:color w:val="auto"/>
        </w:rPr>
      </w:pPr>
    </w:p>
    <w:p>
      <w:pPr>
        <w:ind w:left="960" w:right="260" w:hanging="782"/>
        <w:spacing w:after="0" w:line="264" w:lineRule="auto"/>
        <w:tabs>
          <w:tab w:leader="none" w:pos="940" w:val="left"/>
        </w:tabs>
        <w:rPr>
          <w:rFonts w:ascii="Arial" w:cs="Arial" w:eastAsia="Arial" w:hAnsi="Arial"/>
          <w:sz w:val="18"/>
          <w:szCs w:val="18"/>
          <w:b w:val="1"/>
          <w:bCs w:val="1"/>
          <w:color w:val="0000FF"/>
        </w:rPr>
      </w:pPr>
      <w:hyperlink r:id="rId14">
        <w:r>
          <w:rPr>
            <w:rFonts w:ascii="Arial" w:cs="Arial" w:eastAsia="Arial" w:hAnsi="Arial"/>
            <w:sz w:val="18"/>
            <w:szCs w:val="18"/>
            <w:b w:val="1"/>
            <w:bCs w:val="1"/>
            <w:u w:val="single" w:color="auto"/>
            <w:color w:val="0000FF"/>
          </w:rPr>
          <w:t>4.4</w:t>
        </w:r>
      </w:hyperlink>
      <w:r>
        <w:rPr>
          <w:rFonts w:ascii="Arial" w:cs="Arial" w:eastAsia="Arial" w:hAnsi="Arial"/>
          <w:sz w:val="18"/>
          <w:szCs w:val="18"/>
          <w:b w:val="1"/>
          <w:bCs w:val="1"/>
          <w:color w:val="0000FF"/>
        </w:rPr>
        <w:tab/>
        <w:t>Credit Agreement, dated March 23, 2018, among nVent Electric plc, nVent Finance S.à r.l., Pentair Technical Products Holdings, Inc. and the lenders and agents party thereto (Incorporated by reference to Exhibit 4.4 in the Current Report on Form 8-K of Pentair plc filed with the Commission on March 26, 2018 (File No. 001-11625)).</w:t>
      </w:r>
    </w:p>
    <w:p>
      <w:pPr>
        <w:spacing w:after="0" w:line="141" w:lineRule="exact"/>
        <w:rPr>
          <w:sz w:val="20"/>
          <w:szCs w:val="20"/>
          <w:color w:val="auto"/>
        </w:rPr>
      </w:pPr>
    </w:p>
    <w:p>
      <w:pPr>
        <w:ind w:left="960" w:right="80" w:hanging="782"/>
        <w:spacing w:after="0" w:line="277" w:lineRule="auto"/>
        <w:tabs>
          <w:tab w:leader="none" w:pos="940" w:val="left"/>
        </w:tabs>
        <w:rPr>
          <w:rFonts w:ascii="Arial" w:cs="Arial" w:eastAsia="Arial" w:hAnsi="Arial"/>
          <w:sz w:val="18"/>
          <w:szCs w:val="18"/>
          <w:b w:val="1"/>
          <w:bCs w:val="1"/>
          <w:color w:val="0000FF"/>
        </w:rPr>
      </w:pPr>
      <w:hyperlink r:id="rId15">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Retirement Agreement, dated as of March 14, 2018, between Pentair plc and Randall J. Hogan (Incorporated by reference to Exhibit 10.1 in the Current Report on Form 8-K of Pentair plc filed with the Commission on March 15, 2018 (File No. 001-11625)).</w:t>
      </w:r>
    </w:p>
    <w:p>
      <w:pPr>
        <w:spacing w:after="0" w:line="130"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47">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Key Talent Award Agreement.</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9">
        <w:r>
          <w:rPr>
            <w:rFonts w:ascii="Arial" w:cs="Arial" w:eastAsia="Arial" w:hAnsi="Arial"/>
            <w:sz w:val="18"/>
            <w:szCs w:val="18"/>
            <w:b w:val="1"/>
            <w:bCs w:val="1"/>
            <w:u w:val="single" w:color="auto"/>
            <w:color w:val="0000FF"/>
          </w:rPr>
          <w:t>10.3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Restricted Stock Unit Award Agreement for grants made on or after February 26, 2018.</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71">
        <w:r>
          <w:rPr>
            <w:rFonts w:ascii="Arial" w:cs="Arial" w:eastAsia="Arial" w:hAnsi="Arial"/>
            <w:sz w:val="18"/>
            <w:szCs w:val="18"/>
            <w:b w:val="1"/>
            <w:bCs w:val="1"/>
            <w:u w:val="single" w:color="auto"/>
            <w:color w:val="0000FF"/>
          </w:rPr>
          <w:t>10.4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Stock Option Award Agreement for grants made on or after February 26, 2018.</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84">
        <w:r>
          <w:rPr>
            <w:rFonts w:ascii="Arial" w:cs="Arial" w:eastAsia="Arial" w:hAnsi="Arial"/>
            <w:sz w:val="18"/>
            <w:szCs w:val="18"/>
            <w:b w:val="1"/>
            <w:bCs w:val="1"/>
            <w:u w:val="single" w:color="auto"/>
            <w:color w:val="0000FF"/>
          </w:rPr>
          <w:t>10.5</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Performance Stock Unit Award Agreement for grants made on or after February 26, 2018.</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96">
        <w:r>
          <w:rPr>
            <w:rFonts w:ascii="Arial" w:cs="Arial" w:eastAsia="Arial" w:hAnsi="Arial"/>
            <w:sz w:val="18"/>
            <w:szCs w:val="18"/>
            <w:b w:val="1"/>
            <w:bCs w:val="1"/>
            <w:u w:val="single" w:color="auto"/>
            <w:color w:val="0000FF"/>
          </w:rPr>
          <w:t>10.6</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Confidential Transition Agreement, dated as of March 15, 2018, between Angela D. Jilek and Pentair Management Company.</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08">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09">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0">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1">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hanging="790"/>
        <w:spacing w:after="0" w:line="255"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2018 are filed herewith, formatted in XBRL (Extensible Business Reporting Language): (i) the Condensed Consolidated Statements of Operations and Comprehensive Income for the three months ended March 31, 2018 and 2017, (ii) the Condensed Consolidated Balance Sheets as of March 31, 2018 and December 31, 2017, (iii) the Condensed Consolidated Statements of Cash Flows for the three months ended March 31, 2018 and 2017, (iv) the Condensed Consolidated Statements of Changes in Equity for the three months ended March 31, 2018 and 2018, and (v)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20,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122" w:right="3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2012 STOCK AND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TALENT AWARD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Pursuant to the notice of grant (the “Grant Notice”) and this Key Talent Award Agreement, including any country-specific terms in the applicable addendum hereto (the “Addendum”) (together, this “Award Agreement”), Pentair plc (the “Company”) has awarded you with a Key Talent Grant in the form of Restricted Stock Units (“RSUs”) with respect to the number of ordinary shares of the Company (“Shares”) specified in the Grant Notice. Capitalized terms not defined in this Award Agreement but defined in the Pentair plc 2012 Stock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spacing w:after="0" w:line="181" w:lineRule="exact"/>
        <w:rPr>
          <w:sz w:val="20"/>
          <w:szCs w:val="20"/>
          <w:color w:val="auto"/>
        </w:rPr>
      </w:pPr>
    </w:p>
    <w:p>
      <w:pPr>
        <w:jc w:val="both"/>
        <w:ind w:firstLine="656"/>
        <w:spacing w:after="0" w:line="250" w:lineRule="auto"/>
        <w:tabs>
          <w:tab w:leader="none" w:pos="145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Confidential Nature of Award</w:t>
      </w:r>
      <w:r>
        <w:rPr>
          <w:rFonts w:ascii="Arial" w:cs="Arial" w:eastAsia="Arial" w:hAnsi="Arial"/>
          <w:sz w:val="22"/>
          <w:szCs w:val="22"/>
          <w:color w:val="auto"/>
        </w:rPr>
        <w:t>. By accepting this Key Talent Grant, you acknowledge and agree that the terms, amount, and existence of this award be strictly confidential. You further agree that if you disclose any information regarding this award to anyone, you will forfeit any unvested portion of this award and you will be required to restore to the Company any amount realized under this Award Agreement.</w:t>
      </w:r>
    </w:p>
    <w:p>
      <w:pPr>
        <w:spacing w:after="0" w:line="188" w:lineRule="exact"/>
        <w:rPr>
          <w:rFonts w:ascii="Arial" w:cs="Arial" w:eastAsia="Arial" w:hAnsi="Arial"/>
          <w:sz w:val="22"/>
          <w:szCs w:val="22"/>
          <w:color w:val="auto"/>
        </w:rPr>
      </w:pPr>
    </w:p>
    <w:p>
      <w:pPr>
        <w:ind w:left="1000" w:hanging="344"/>
        <w:spacing w:after="0"/>
        <w:tabs>
          <w:tab w:leader="none" w:pos="100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the Plan or this Award Agreement, the RSUs will vest as provided in the Grant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215" w:lineRule="exact"/>
        <w:rPr>
          <w:rFonts w:ascii="Arial" w:cs="Arial" w:eastAsia="Arial" w:hAnsi="Arial"/>
          <w:sz w:val="19"/>
          <w:szCs w:val="19"/>
          <w:color w:val="auto"/>
        </w:rPr>
      </w:pPr>
    </w:p>
    <w:p>
      <w:pPr>
        <w:jc w:val="both"/>
        <w:ind w:firstLine="656"/>
        <w:spacing w:after="0" w:line="254" w:lineRule="auto"/>
        <w:tabs>
          <w:tab w:leader="none" w:pos="99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The Company shall deliver to you a whole number of Shares equal to the number of RSUs (if any) that vest pursuant to this Award Agreement, subject to withholding of any Tax-Related Items (as defined in Section 7 below). Such delivery shall take place as soon as administratively practicable following the vesting date, but in no event more than 30 days after the applicable vesting date.</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foregoing, if you are resident or provide services outside of the United States, the Company, in its sole discretion, may provide for the settlement of the RSUs in the form of:</w:t>
      </w:r>
    </w:p>
    <w:p>
      <w:pPr>
        <w:spacing w:after="0" w:line="175" w:lineRule="exact"/>
        <w:rPr>
          <w:sz w:val="20"/>
          <w:szCs w:val="20"/>
          <w:color w:val="auto"/>
        </w:rPr>
      </w:pPr>
    </w:p>
    <w:p>
      <w:pPr>
        <w:jc w:val="both"/>
        <w:ind w:firstLine="1305"/>
        <w:spacing w:after="0" w:line="248" w:lineRule="auto"/>
        <w:tabs>
          <w:tab w:leader="none" w:pos="1998"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cash payment in an amount equal to the Fair Market Value of the Shares as of the vesting date that correspond to the number of vested RSUs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072" w:val="left"/>
        </w:tabs>
        <w:numPr>
          <w:ilvl w:val="1"/>
          <w:numId w:val="45"/>
        </w:numPr>
        <w:rPr>
          <w:rFonts w:ascii="Arial" w:cs="Arial" w:eastAsia="Arial" w:hAnsi="Arial"/>
          <w:sz w:val="22"/>
          <w:szCs w:val="22"/>
          <w:color w:val="auto"/>
        </w:rPr>
      </w:pPr>
      <w:r>
        <w:rPr>
          <w:rFonts w:ascii="Arial" w:cs="Arial" w:eastAsia="Arial" w:hAnsi="Arial"/>
          <w:sz w:val="22"/>
          <w:szCs w:val="22"/>
          <w:color w:val="auto"/>
        </w:rPr>
        <w:t>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spacing w:after="0" w:line="185" w:lineRule="exact"/>
        <w:rPr>
          <w:rFonts w:ascii="Arial" w:cs="Arial" w:eastAsia="Arial" w:hAnsi="Arial"/>
          <w:sz w:val="22"/>
          <w:szCs w:val="22"/>
          <w:color w:val="auto"/>
        </w:rPr>
      </w:pPr>
    </w:p>
    <w:p>
      <w:pPr>
        <w:ind w:right="20" w:firstLine="656"/>
        <w:spacing w:after="0" w:line="276" w:lineRule="auto"/>
        <w:tabs>
          <w:tab w:leader="none" w:pos="99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 Fractional Shares</w:t>
      </w:r>
      <w:r>
        <w:rPr>
          <w:rFonts w:ascii="Arial" w:cs="Arial" w:eastAsia="Arial" w:hAnsi="Arial"/>
          <w:sz w:val="22"/>
          <w:szCs w:val="22"/>
          <w:color w:val="auto"/>
        </w:rPr>
        <w:t>. Only whole Shares will be issuable pursuant to the RSUs; any fractional Share otherwise issuable under the RSUs will be rounded up to the nearest whole Share.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6682749-v3\GESDMS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382" w:right="239" w:bottom="1440" w:gutter="0" w:footer="0" w:header="0"/>
        </w:sectPr>
      </w:pPr>
    </w:p>
    <w:bookmarkStart w:id="47" w:name="page48"/>
    <w:bookmarkEnd w:id="47"/>
    <w:p>
      <w:pPr>
        <w:jc w:val="both"/>
        <w:ind w:firstLine="656"/>
        <w:spacing w:after="0" w:line="260" w:lineRule="auto"/>
        <w:tabs>
          <w:tab w:leader="none" w:pos="100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w:t>
      </w:r>
      <w:r>
        <w:rPr>
          <w:rFonts w:ascii="Arial" w:cs="Arial" w:eastAsia="Arial" w:hAnsi="Arial"/>
          <w:sz w:val="22"/>
          <w:szCs w:val="22"/>
          <w:color w:val="auto"/>
        </w:rPr>
        <w:t>. Unless otherwise provided in the Grant Notice or the Plan, in the event of termination of your service with the Company or any of its Affiliates for any reason (whether voluntarily or involuntarily), all your unvested RSUs will be cancelled and forfeited, subject to the following exceptions:</w:t>
      </w:r>
    </w:p>
    <w:p>
      <w:pPr>
        <w:spacing w:after="0" w:line="177" w:lineRule="exact"/>
        <w:rPr>
          <w:rFonts w:ascii="Arial" w:cs="Arial" w:eastAsia="Arial" w:hAnsi="Arial"/>
          <w:sz w:val="22"/>
          <w:szCs w:val="22"/>
          <w:color w:val="auto"/>
        </w:rPr>
      </w:pPr>
    </w:p>
    <w:p>
      <w:pPr>
        <w:ind w:left="1900" w:hanging="595"/>
        <w:spacing w:after="0"/>
        <w:tabs>
          <w:tab w:leader="none" w:pos="19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In the event of a Covered Termination (as defined in the Plan), your RSUs will become 100% vested at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of termination.</w:t>
      </w:r>
    </w:p>
    <w:p>
      <w:pPr>
        <w:spacing w:after="0" w:line="201" w:lineRule="exact"/>
        <w:rPr>
          <w:rFonts w:ascii="Arial" w:cs="Arial" w:eastAsia="Arial" w:hAnsi="Arial"/>
          <w:sz w:val="19"/>
          <w:szCs w:val="19"/>
          <w:color w:val="auto"/>
        </w:rPr>
      </w:pPr>
    </w:p>
    <w:p>
      <w:pPr>
        <w:ind w:firstLine="1305"/>
        <w:spacing w:after="0" w:line="263" w:lineRule="auto"/>
        <w:tabs>
          <w:tab w:leader="none" w:pos="1827"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your employment with the Company or any of its Affiliates terminates due to death or Disability (as defined in the Plan), then a pro-rata portion of your award will vest at the time of your termination.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For purposes of the RSUs,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RSUs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RSU grant (including whether you may still be considered to be providing services while on a leave of absence).</w:t>
      </w:r>
    </w:p>
    <w:p>
      <w:pPr>
        <w:spacing w:after="0" w:line="158" w:lineRule="exact"/>
        <w:rPr>
          <w:sz w:val="20"/>
          <w:szCs w:val="20"/>
          <w:color w:val="auto"/>
        </w:rPr>
      </w:pPr>
    </w:p>
    <w:p>
      <w:pPr>
        <w:jc w:val="both"/>
        <w:ind w:firstLine="656"/>
        <w:spacing w:after="0" w:line="270" w:lineRule="auto"/>
        <w:tabs>
          <w:tab w:leader="none" w:pos="1031"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Dividend Equivalent Units</w:t>
      </w:r>
      <w:r>
        <w:rPr>
          <w:rFonts w:ascii="Arial" w:cs="Arial" w:eastAsia="Arial" w:hAnsi="Arial"/>
          <w:sz w:val="21"/>
          <w:szCs w:val="21"/>
          <w:color w:val="auto"/>
        </w:rPr>
        <w:t>. With respect to record dates occurring from and after the Date of Grant until the date that the RSUs are settled, you will be entitled to a cash payment equal to any cash dividend or cash distribution that would have been paid on the RSUs had the RSUs been issued and outstanding Shares on the record date for such dividend or distribution. Dividend Equivalent Units are not eligible for dividend reinvestment during the vesting period.</w:t>
      </w:r>
    </w:p>
    <w:p>
      <w:pPr>
        <w:spacing w:after="0" w:line="169" w:lineRule="exact"/>
        <w:rPr>
          <w:rFonts w:ascii="Arial" w:cs="Arial" w:eastAsia="Arial" w:hAnsi="Arial"/>
          <w:sz w:val="21"/>
          <w:szCs w:val="21"/>
          <w:color w:val="auto"/>
        </w:rPr>
      </w:pPr>
    </w:p>
    <w:p>
      <w:pPr>
        <w:ind w:right="20" w:firstLine="1305"/>
        <w:spacing w:after="0" w:line="263" w:lineRule="auto"/>
        <w:tabs>
          <w:tab w:leader="none" w:pos="1839"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you are a United States taxpayer, payment of the Dividend Equivalent Units will be made to you in cash as soon as practicable after the dividend payment date set forth by the Company’s Board of Directors.</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886"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you are not a United States taxpayer, Dividend Equivalent Units will accrue on your unvested RSUs over the vesting period, and you will be paid in cash at the same time the related RSUs vest. If you forfeit your unvested RSUs, then the related accrued Dividend Equivalent Units will also be forfeited.</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04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You acknowledge that, regardless of any action taken by the Company 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48" w:name="page49"/>
    <w:bookmarkEnd w:id="48"/>
    <w:p>
      <w:pPr>
        <w:jc w:val="both"/>
        <w:spacing w:after="0" w:line="292" w:lineRule="auto"/>
        <w:rPr>
          <w:sz w:val="20"/>
          <w:szCs w:val="20"/>
          <w:color w:val="auto"/>
        </w:rPr>
      </w:pPr>
      <w:r>
        <w:rPr>
          <w:rFonts w:ascii="Arial" w:cs="Arial" w:eastAsia="Arial" w:hAnsi="Arial"/>
          <w:sz w:val="19"/>
          <w:szCs w:val="19"/>
          <w:color w:val="auto"/>
        </w:rPr>
        <w:t>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dividend equivalents; and (b)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RSUs either through a voluntary sale or through a mandatory sale arranged by the Company (on your behalf pursuant to this authorization without further consent);</w:t>
      </w:r>
    </w:p>
    <w:p>
      <w:pPr>
        <w:spacing w:after="0" w:line="1" w:lineRule="exact"/>
        <w:rPr>
          <w:sz w:val="20"/>
          <w:szCs w:val="20"/>
          <w:color w:val="auto"/>
        </w:rPr>
      </w:pPr>
    </w:p>
    <w:p>
      <w:pPr>
        <w:jc w:val="both"/>
        <w:ind w:firstLine="8"/>
        <w:spacing w:after="0" w:line="244" w:lineRule="auto"/>
        <w:tabs>
          <w:tab w:leader="none" w:pos="3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withholding from the Shares to be delivered upon settlement of the RSUs that number of Shares having a Fair Market Value equal to the amount required by law to be withheld; or (iv) permitting you to tender back to the Company a number of Shares delivered upon settlement of the RSUs or Shares previously owned by you having a Fair Market Value equal to the amount required by law to be withheld. For purposes of the foregoing, no fractional Share will be withheld or issued pursuant to the grant of the RSUs and the issuance of Shares hereunder. Notwithstanding the foregoing, if you are a Section 16 Participant, your withholding obligations shall be satisfied as described in clause (iii) above, unless the Committee approves another form of payment for such Tax-Related Items.</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RSUs, for tax purposes, you are deemed to have been issued the full number of Shares subject to the vested RSUs, notwithstanding that a number of Shares are held back solely for the purpose of paying the Tax-Related Items.</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w:t>
      </w:r>
    </w:p>
    <w:p>
      <w:pPr>
        <w:spacing w:after="0" w:line="95" w:lineRule="exact"/>
        <w:rPr>
          <w:sz w:val="20"/>
          <w:szCs w:val="20"/>
          <w:color w:val="auto"/>
        </w:rPr>
      </w:pPr>
    </w:p>
    <w:p>
      <w:pPr>
        <w:ind w:firstLine="656"/>
        <w:spacing w:after="0" w:line="276" w:lineRule="auto"/>
        <w:tabs>
          <w:tab w:leader="none" w:pos="105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The RSUs (and any compensation paid or Shares issued under the RSUs) are subject to recoupment in accordance with the Dodd-Frank Wall Street Reform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21"/>
          <w:szCs w:val="21"/>
          <w:color w:val="auto"/>
        </w:rPr>
        <w:t>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spacing w:after="0" w:line="168" w:lineRule="exact"/>
        <w:rPr>
          <w:sz w:val="20"/>
          <w:szCs w:val="20"/>
          <w:color w:val="auto"/>
        </w:rPr>
      </w:pPr>
    </w:p>
    <w:p>
      <w:pPr>
        <w:jc w:val="both"/>
        <w:ind w:firstLine="656"/>
        <w:spacing w:after="0" w:line="251" w:lineRule="auto"/>
        <w:tabs>
          <w:tab w:leader="none" w:pos="100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Non-Solicitation and Non-Disparagement</w:t>
      </w:r>
      <w:r>
        <w:rPr>
          <w:rFonts w:ascii="Arial" w:cs="Arial" w:eastAsia="Arial" w:hAnsi="Arial"/>
          <w:sz w:val="22"/>
          <w:szCs w:val="22"/>
          <w:color w:val="auto"/>
        </w:rPr>
        <w:t>. As a condition to the receipt of the RSUs, you expressly agree to the terms and conditions in the Confidentiality, Non-Competition, Non-Solicitation and Non-Disparagement Agreement attached hereto as Exhibit A. In addition to any remedies available to the Company under Section 5 of Exhibit A, any violation of the terms and conditions of Exhibit A will result in a rescission of the RSUs made under this Award Agreement and a forfeiture of rights you have with respect thereto.</w:t>
      </w:r>
    </w:p>
    <w:p>
      <w:pPr>
        <w:spacing w:after="0" w:line="189" w:lineRule="exact"/>
        <w:rPr>
          <w:rFonts w:ascii="Arial" w:cs="Arial" w:eastAsia="Arial" w:hAnsi="Arial"/>
          <w:sz w:val="22"/>
          <w:szCs w:val="22"/>
          <w:color w:val="auto"/>
        </w:rPr>
      </w:pPr>
    </w:p>
    <w:p>
      <w:pPr>
        <w:jc w:val="both"/>
        <w:ind w:firstLine="656"/>
        <w:spacing w:after="0" w:line="294" w:lineRule="auto"/>
        <w:tabs>
          <w:tab w:leader="none" w:pos="111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RSUs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RSUs. The Company may impose such restrictions on any Shares issued under the Plan as the Company determines necessary or desirable to comply with all applicable laws, rules and regulations or requirements.</w:t>
      </w:r>
    </w:p>
    <w:p>
      <w:pPr>
        <w:spacing w:after="0" w:line="152" w:lineRule="exact"/>
        <w:rPr>
          <w:rFonts w:ascii="Arial" w:cs="Arial" w:eastAsia="Arial" w:hAnsi="Arial"/>
          <w:sz w:val="19"/>
          <w:szCs w:val="19"/>
          <w:color w:val="auto"/>
        </w:rPr>
      </w:pPr>
    </w:p>
    <w:p>
      <w:pPr>
        <w:jc w:val="both"/>
        <w:ind w:firstLine="656"/>
        <w:spacing w:after="0" w:line="307" w:lineRule="auto"/>
        <w:tabs>
          <w:tab w:leader="none" w:pos="122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RSUs shall be exercisable during your lifetime only by you or your guardian or legal representative or permitted transference.</w:t>
      </w:r>
    </w:p>
    <w:p>
      <w:pPr>
        <w:spacing w:after="0" w:line="138" w:lineRule="exact"/>
        <w:rPr>
          <w:rFonts w:ascii="Arial" w:cs="Arial" w:eastAsia="Arial" w:hAnsi="Arial"/>
          <w:sz w:val="19"/>
          <w:szCs w:val="19"/>
          <w:color w:val="auto"/>
        </w:rPr>
      </w:pPr>
    </w:p>
    <w:p>
      <w:pPr>
        <w:jc w:val="both"/>
        <w:ind w:firstLine="656"/>
        <w:spacing w:after="0" w:line="320" w:lineRule="auto"/>
        <w:tabs>
          <w:tab w:leader="none" w:pos="1179"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You shall not have any voting rights or any other rights and privileges of a shareholder of the Company unless and until Shares (if any) are issued upon settlement of the RSUs. Prior to actual payment of any RSUs, such RSUs will represent an unsecured obligation of the Company, payable (if at all) only from the general assets of the Company.</w:t>
      </w:r>
    </w:p>
    <w:p>
      <w:pPr>
        <w:spacing w:after="0" w:line="125" w:lineRule="exact"/>
        <w:rPr>
          <w:rFonts w:ascii="Arial" w:cs="Arial" w:eastAsia="Arial" w:hAnsi="Arial"/>
          <w:sz w:val="19"/>
          <w:szCs w:val="19"/>
          <w:color w:val="auto"/>
        </w:rPr>
      </w:pPr>
    </w:p>
    <w:p>
      <w:pPr>
        <w:jc w:val="both"/>
        <w:ind w:firstLine="656"/>
        <w:spacing w:after="0" w:line="291" w:lineRule="auto"/>
        <w:tabs>
          <w:tab w:leader="none" w:pos="1098"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Insider Trading and/or Market Abuse</w:t>
      </w:r>
      <w:r>
        <w:rPr>
          <w:rFonts w:ascii="Arial" w:cs="Arial" w:eastAsia="Arial" w:hAnsi="Arial"/>
          <w:sz w:val="19"/>
          <w:szCs w:val="19"/>
          <w:color w:val="auto"/>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spacing w:after="0" w:line="186" w:lineRule="exact"/>
        <w:rPr>
          <w:sz w:val="20"/>
          <w:szCs w:val="20"/>
          <w:color w:val="auto"/>
        </w:rPr>
      </w:pPr>
    </w:p>
    <w:p>
      <w:pPr>
        <w:jc w:val="both"/>
        <w:ind w:firstLine="656"/>
        <w:spacing w:after="0" w:line="286" w:lineRule="auto"/>
        <w:tabs>
          <w:tab w:leader="none" w:pos="120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For U.S. taxpayers, it is the intent that the RSUs as set forth in this Award Agreement shall qualify for exemption from or comply with the requirements of Section 409A of the Code, and any ambiguities herein will be interpreted to so qualify or comply. Notwithstanding the foregoing, if it is determined that the RSUs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RSUs provided for under this Award Agreement will be exempt from or comply with Section 409A of the Code and makes no undertaking to preclude Section 409A of the Code from applying to the grant, vesting or settlement of RSUs provided for under this Award Agreement. The Company will have no liability to you or any other party if the RSUs, the delivery of Shares upon settlement of the RSUs or other payment hereunder that is intended to be exempt from, or compliant with, Section 409A of the Code, is not so exempt or compliant or for any action taken by the Company with respect thereto.</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51" w:lineRule="auto"/>
        <w:tabs>
          <w:tab w:leader="none" w:pos="109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spacing w:after="0" w:line="189" w:lineRule="exact"/>
        <w:rPr>
          <w:rFonts w:ascii="Arial" w:cs="Arial" w:eastAsia="Arial" w:hAnsi="Arial"/>
          <w:sz w:val="22"/>
          <w:szCs w:val="22"/>
          <w:color w:val="auto"/>
        </w:rPr>
      </w:pPr>
    </w:p>
    <w:p>
      <w:pPr>
        <w:ind w:left="1100" w:hanging="444"/>
        <w:spacing w:after="0"/>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RSUs, you acknowledge and agree that: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51"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in its sole discretion, at any time (subject to any limitations set forth in the Plan);</w:t>
      </w:r>
    </w:p>
    <w:p>
      <w:pPr>
        <w:spacing w:after="0" w:line="177" w:lineRule="exact"/>
        <w:rPr>
          <w:rFonts w:ascii="Arial" w:cs="Arial" w:eastAsia="Arial" w:hAnsi="Arial"/>
          <w:sz w:val="22"/>
          <w:szCs w:val="22"/>
          <w:color w:val="auto"/>
        </w:rPr>
      </w:pPr>
    </w:p>
    <w:p>
      <w:pPr>
        <w:ind w:firstLine="1305"/>
        <w:spacing w:after="0" w:line="301" w:lineRule="auto"/>
        <w:tabs>
          <w:tab w:leader="none" w:pos="1823"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grant of RSUs is voluntary and occasional and does not create any contractual or other right to receive future grants of RSUs, or benefits in lieu of RSUs, even if RSUs or other awards have been granted in the past;</w:t>
      </w:r>
    </w:p>
    <w:p>
      <w:pPr>
        <w:spacing w:after="0" w:line="137" w:lineRule="exact"/>
        <w:rPr>
          <w:rFonts w:ascii="Arial" w:cs="Arial" w:eastAsia="Arial" w:hAnsi="Arial"/>
          <w:sz w:val="21"/>
          <w:szCs w:val="21"/>
          <w:color w:val="auto"/>
        </w:rPr>
      </w:pPr>
    </w:p>
    <w:p>
      <w:pPr>
        <w:ind w:left="1720" w:hanging="415"/>
        <w:spacing w:after="0"/>
        <w:tabs>
          <w:tab w:leader="none" w:pos="17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1" w:name="page52"/>
    <w:bookmarkEnd w:id="51"/>
    <w:p>
      <w:pPr>
        <w:ind w:left="1740" w:hanging="435"/>
        <w:spacing w:after="0"/>
        <w:tabs>
          <w:tab w:leader="none" w:pos="1740" w:val="left"/>
        </w:tabs>
        <w:numPr>
          <w:ilvl w:val="1"/>
          <w:numId w:val="53"/>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3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RSUs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w:t>
      </w:r>
    </w:p>
    <w:p>
      <w:pPr>
        <w:spacing w:after="0" w:line="185" w:lineRule="exact"/>
        <w:rPr>
          <w:rFonts w:ascii="Arial" w:cs="Arial" w:eastAsia="Arial" w:hAnsi="Arial"/>
          <w:sz w:val="22"/>
          <w:szCs w:val="22"/>
          <w:color w:val="auto"/>
        </w:rPr>
      </w:pPr>
    </w:p>
    <w:p>
      <w:pPr>
        <w:ind w:right="20" w:firstLine="1305"/>
        <w:spacing w:after="0" w:line="276" w:lineRule="auto"/>
        <w:tabs>
          <w:tab w:leader="none" w:pos="16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RSUs and the Shares, and the income and value of the same, subject to the RSUs are not intended to replace any pension rights or compensation;</w:t>
      </w:r>
    </w:p>
    <w:p>
      <w:pPr>
        <w:spacing w:after="0" w:line="160" w:lineRule="exact"/>
        <w:rPr>
          <w:rFonts w:ascii="Arial" w:cs="Arial" w:eastAsia="Arial" w:hAnsi="Arial"/>
          <w:sz w:val="22"/>
          <w:szCs w:val="22"/>
          <w:color w:val="auto"/>
        </w:rPr>
      </w:pPr>
    </w:p>
    <w:p>
      <w:pPr>
        <w:jc w:val="both"/>
        <w:ind w:firstLine="1305"/>
        <w:spacing w:after="0" w:line="307" w:lineRule="auto"/>
        <w:tabs>
          <w:tab w:leader="none" w:pos="175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RSUs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67" w:lineRule="exact"/>
        <w:rPr>
          <w:rFonts w:ascii="Arial" w:cs="Arial" w:eastAsia="Arial" w:hAnsi="Arial"/>
          <w:sz w:val="19"/>
          <w:szCs w:val="19"/>
          <w:color w:val="auto"/>
        </w:rPr>
      </w:pPr>
    </w:p>
    <w:p>
      <w:pPr>
        <w:jc w:val="both"/>
        <w:ind w:firstLine="1305"/>
        <w:spacing w:after="0" w:line="251" w:lineRule="auto"/>
        <w:tabs>
          <w:tab w:leader="none" w:pos="1775"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termination of your service (for any reason whatsoever and whether or not in breach of local labor laws or later found invalid), and in consideration of the grant of the RSUs to which you are otherwise not entitled, you irrevocably agree never to institute any claim against the Company, any of its Affiliates, or the Employer, waive your ability, if any, to bring any such claim, and release the Company, its Affiliates and the Employer, from any such claim;</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75"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RSUs and the benefits evidenced by this Award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Shares; and</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81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you are employed or providing services outside of the United States, neither the Company nor any of its Affiliates shall be liable for any foreign exchange rate fluctuation between your local currency and the U.S. dollar that may affect the value of the RSUs or any amounts due to you pursuant to the settlement of the RSUs or the subsequent sale of any Shares acquired upon settlement of the RSUs.</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79" w:val="left"/>
        </w:tabs>
        <w:numPr>
          <w:ilvl w:val="0"/>
          <w:numId w:val="54"/>
        </w:numPr>
        <w:rPr>
          <w:rFonts w:ascii="Arial" w:cs="Arial" w:eastAsia="Arial" w:hAnsi="Arial"/>
          <w:sz w:val="22"/>
          <w:szCs w:val="22"/>
          <w:color w:val="auto"/>
        </w:rPr>
      </w:pPr>
      <w:r>
        <w:rPr>
          <w:rFonts w:ascii="Arial" w:cs="Arial" w:eastAsia="Arial" w:hAnsi="Arial"/>
          <w:sz w:val="22"/>
          <w:szCs w:val="22"/>
          <w:i w:val="1"/>
          <w:i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i w:val="1"/>
          <w:iCs w:val="1"/>
          <w:color w:val="auto"/>
        </w:rPr>
        <w:t xml:space="preserve"> You hereby explicitly and unambiguously consent to the collection, use and transfer, in electronic or other form, of your personal data as described in this Award Agreement, the Grant Notice and any other RSU grant materials by and among, as necessary and applicable, the Company or any of its Affiliates, for the exclusive purpose of implementing, administering and managing your participation in the Plan. If there is a conflict between this Section 17 and the Company’s existing policies and/or data protection charters, the terms of this Section 17 will prevail with respect to issues related to the RSUs and the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21"/>
          <w:szCs w:val="21"/>
          <w:i w:val="1"/>
          <w:iCs w:val="1"/>
          <w:color w:val="auto"/>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exercised, vested, unvested or outstanding in your favor (“Data”), for the purpose of implementing, administering and managing the Plan.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i w:val="1"/>
          <w:iCs w:val="1"/>
          <w:color w:val="auto"/>
        </w:rPr>
        <w:t>You understand that Data will be transferred to Fidelity Stock Plan Services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Arial" w:cs="Arial" w:eastAsia="Arial" w:hAnsi="Arial"/>
          <w:sz w:val="19"/>
          <w:szCs w:val="19"/>
          <w:color w:val="auto"/>
        </w:rPr>
        <w:t>e.g.</w:t>
      </w:r>
      <w:r>
        <w:rPr>
          <w:rFonts w:ascii="Arial" w:cs="Arial" w:eastAsia="Arial" w:hAnsi="Arial"/>
          <w:sz w:val="19"/>
          <w:szCs w:val="19"/>
          <w:i w:val="1"/>
          <w:iCs w:val="1"/>
          <w:color w:val="auto"/>
        </w:rPr>
        <w:t>,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For more information on the consequences of your refusal to consent or withdrawal of consent, you understand that you may contact your local human resources representative.</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94" w:lineRule="exact"/>
        <w:rPr>
          <w:sz w:val="20"/>
          <w:szCs w:val="20"/>
          <w:color w:val="auto"/>
        </w:rPr>
      </w:pPr>
    </w:p>
    <w:p>
      <w:pPr>
        <w:jc w:val="both"/>
        <w:ind w:firstLine="656"/>
        <w:spacing w:after="0" w:line="270" w:lineRule="auto"/>
        <w:tabs>
          <w:tab w:leader="none" w:pos="1125"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Not a Public Offering</w:t>
      </w:r>
      <w:r>
        <w:rPr>
          <w:rFonts w:ascii="Arial" w:cs="Arial" w:eastAsia="Arial" w:hAnsi="Arial"/>
          <w:sz w:val="21"/>
          <w:szCs w:val="21"/>
          <w:color w:val="auto"/>
        </w:rPr>
        <w:t>. If you are a resident outside of the United States, the grant of the RSUs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3" w:name="page54"/>
    <w:bookmarkEnd w:id="53"/>
    <w:p>
      <w:pPr>
        <w:jc w:val="both"/>
        <w:ind w:firstLine="656"/>
        <w:spacing w:after="0" w:line="251" w:lineRule="auto"/>
        <w:tabs>
          <w:tab w:leader="none" w:pos="1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RSUs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66"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17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w:t>
      </w:r>
      <w:r>
        <w:rPr>
          <w:rFonts w:ascii="Arial" w:cs="Arial" w:eastAsia="Arial" w:hAnsi="Arial"/>
          <w:sz w:val="19"/>
          <w:szCs w:val="19"/>
          <w:color w:val="auto"/>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spacing w:after="0" w:line="152" w:lineRule="exact"/>
        <w:rPr>
          <w:rFonts w:ascii="Arial" w:cs="Arial" w:eastAsia="Arial" w:hAnsi="Arial"/>
          <w:sz w:val="19"/>
          <w:szCs w:val="19"/>
          <w:color w:val="auto"/>
        </w:rPr>
      </w:pPr>
    </w:p>
    <w:p>
      <w:pPr>
        <w:jc w:val="both"/>
        <w:ind w:firstLine="656"/>
        <w:spacing w:after="0" w:line="264" w:lineRule="auto"/>
        <w:tabs>
          <w:tab w:leader="none" w:pos="1125"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Addendum</w:t>
      </w:r>
      <w:r>
        <w:rPr>
          <w:rFonts w:ascii="Arial" w:cs="Arial" w:eastAsia="Arial" w:hAnsi="Arial"/>
          <w:sz w:val="21"/>
          <w:szCs w:val="21"/>
          <w:color w:val="auto"/>
        </w:rPr>
        <w:t>. Notwithstanding any provisions in this Award Agreement, the RSUs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spacing w:after="0" w:line="175" w:lineRule="exact"/>
        <w:rPr>
          <w:rFonts w:ascii="Arial" w:cs="Arial" w:eastAsia="Arial" w:hAnsi="Arial"/>
          <w:sz w:val="21"/>
          <w:szCs w:val="21"/>
          <w:color w:val="auto"/>
        </w:rPr>
      </w:pPr>
    </w:p>
    <w:p>
      <w:pPr>
        <w:jc w:val="both"/>
        <w:ind w:firstLine="656"/>
        <w:spacing w:after="0" w:line="270" w:lineRule="auto"/>
        <w:tabs>
          <w:tab w:leader="none" w:pos="109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RSUs,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69" w:lineRule="exact"/>
        <w:rPr>
          <w:rFonts w:ascii="Arial" w:cs="Arial" w:eastAsia="Arial" w:hAnsi="Arial"/>
          <w:sz w:val="21"/>
          <w:szCs w:val="21"/>
          <w:color w:val="auto"/>
        </w:rPr>
      </w:pPr>
    </w:p>
    <w:p>
      <w:pPr>
        <w:jc w:val="both"/>
        <w:ind w:firstLine="656"/>
        <w:spacing w:after="0" w:line="254" w:lineRule="auto"/>
        <w:tabs>
          <w:tab w:leader="none" w:pos="1166"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11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Governing Plan Document</w:t>
      </w:r>
      <w:r>
        <w:rPr>
          <w:rFonts w:ascii="Arial" w:cs="Arial" w:eastAsia="Arial" w:hAnsi="Arial"/>
          <w:sz w:val="19"/>
          <w:szCs w:val="19"/>
          <w:color w:val="auto"/>
        </w:rPr>
        <w:t>. The RSUs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9"/>
          <w:szCs w:val="19"/>
          <w:color w:val="auto"/>
        </w:rPr>
        <w:t>the event of any conflict between the provisions of the Grant Notice, this Award Agreement and those of the Plan, the provisions of the Plan shall control. By accepting the RSUs, you confirm that you have read and understood the Award Agreement, the Plan, the Plan prospectus and related information provided to you and that you accept the terms of those documents accordingly.</w:t>
      </w:r>
    </w:p>
    <w:p>
      <w:pPr>
        <w:spacing w:after="0" w:line="134" w:lineRule="exact"/>
        <w:rPr>
          <w:sz w:val="20"/>
          <w:szCs w:val="20"/>
          <w:color w:val="auto"/>
        </w:rPr>
      </w:pPr>
    </w:p>
    <w:p>
      <w:pPr>
        <w:jc w:val="both"/>
        <w:ind w:right="20" w:firstLine="656"/>
        <w:spacing w:after="0" w:line="254" w:lineRule="auto"/>
        <w:tabs>
          <w:tab w:leader="none" w:pos="116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The RSUs and the provisions of this Award Agreement are governed by, and subject to, the laws of the state of Minnesota, U.S.A. without regard to the conflict of law provisions. For purposes of any action, lawsuit or other proceedings brought to enforce this Award Agreement, relating to it, or arising from it, the parties hereby submit to and consent to the sole and exclusive jurisdiction of the United States District Court for the District of Minnesota or any of the courts of the state of Minnesota, U.S.A..</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sz w:val="20"/>
          <w:szCs w:val="20"/>
          <w:color w:val="auto"/>
        </w:rPr>
      </w:pPr>
    </w:p>
    <w:p>
      <w:pPr>
        <w:ind w:left="6800"/>
        <w:spacing w:after="0"/>
        <w:tabs>
          <w:tab w:leader="none" w:pos="7100" w:val="left"/>
          <w:tab w:leader="none" w:pos="7420" w:val="left"/>
          <w:tab w:leader="none" w:pos="7740" w:val="left"/>
        </w:tabs>
        <w:rPr>
          <w:sz w:val="20"/>
          <w:szCs w:val="20"/>
          <w:color w:val="auto"/>
        </w:rPr>
      </w:pPr>
      <w:r>
        <w:rPr>
          <w:rFonts w:ascii="Arial" w:cs="Arial" w:eastAsia="Arial" w:hAnsi="Arial"/>
          <w:sz w:val="22"/>
          <w:szCs w:val="22"/>
          <w:color w:val="auto"/>
        </w:rPr>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5" w:name="page56"/>
    <w:bookmarkEnd w:id="55"/>
    <w:p>
      <w:pPr>
        <w:ind w:left="514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PENTAIR PLC CONFIDENTIALITY, NON-COMPETITION,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AND NON-DISPARAGEMENT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result of your intimate familiarity with proprietary and confidential information of the Company, the Award Agreement is subject to the restrictions set forth below. Any violation of these provisions will result in a rescission of the RSUs made under the Award Agreement and a forfeiture of any rights you have with respect thereto, as well as the remedies that are described in Section 5 hereof.</w:t>
      </w:r>
    </w:p>
    <w:p>
      <w:pPr>
        <w:spacing w:after="0" w:line="188" w:lineRule="exact"/>
        <w:rPr>
          <w:sz w:val="20"/>
          <w:szCs w:val="20"/>
          <w:color w:val="auto"/>
        </w:rPr>
      </w:pPr>
    </w:p>
    <w:p>
      <w:pPr>
        <w:jc w:val="both"/>
        <w:ind w:left="80" w:firstLine="576"/>
        <w:spacing w:after="0" w:line="289" w:lineRule="auto"/>
        <w:tabs>
          <w:tab w:leader="none" w:pos="14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agree that you will treat during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57" w:lineRule="exact"/>
        <w:rPr>
          <w:rFonts w:ascii="Arial" w:cs="Arial" w:eastAsia="Arial" w:hAnsi="Arial"/>
          <w:sz w:val="19"/>
          <w:szCs w:val="19"/>
          <w:color w:val="auto"/>
        </w:rPr>
      </w:pPr>
    </w:p>
    <w:p>
      <w:pPr>
        <w:jc w:val="both"/>
        <w:ind w:left="80" w:firstLine="576"/>
        <w:spacing w:after="0" w:line="297" w:lineRule="auto"/>
        <w:tabs>
          <w:tab w:leader="none" w:pos="14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You agree that, for a 12-month period (24-month period, if you are a Section 16 Participant at the time of your termination) following your termination (voluntary or involuntary) from the Company or any of its Affiliates, you will not, for yourself or any third party, directly or indirectly, (i) solicit or accept competitive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You agree that engaging in any of the following activities will be a violation of the above paragraph: (1) soliciting for a hire or soliciting for retainer as an independent consultant or as contingent worker any employee of the Company or its Affiliates; (2) participating in the recruitment of any employee of the Company or its Affiliates; (3) serving as a reference for an employee of the Company or its Affiliates; (4) offering an opinion regarding the candidacy as a potential employee, independent consultant or contingent worker of an individual employed by the Company or its Affiliates; (5) assisting or encouraging any third party to pursue an employee of the Company or its Affiliates for potential employment, independent consulting or contingent worker opportunities; or (6) assisting or encouraging any employee of the Company or its Affiliates to leave their current position in order to be an employee, independent consultant or contingent worker for a third party.</w:t>
      </w:r>
    </w:p>
    <w:p>
      <w:pPr>
        <w:spacing w:after="0" w:line="184" w:lineRule="exact"/>
        <w:rPr>
          <w:sz w:val="20"/>
          <w:szCs w:val="20"/>
          <w:color w:val="auto"/>
        </w:rPr>
      </w:pPr>
    </w:p>
    <w:p>
      <w:pPr>
        <w:jc w:val="both"/>
        <w:ind w:left="80" w:firstLine="576"/>
        <w:spacing w:after="0" w:line="250" w:lineRule="auto"/>
        <w:tabs>
          <w:tab w:leader="none" w:pos="143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You agree that, for a 12-month period (24-month period, if you are a Section 16 Participant at the time of your termination) month period following your termination (voluntary or involuntary) from the Company or its Affiliates, you will not, for yourself or for any third party, directly or indirectly, in whole or in part, provide services, whether as an employee, employer, owner, operator, manager, advisor, consultant,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25" w:right="239" w:bottom="1440" w:gutter="0" w:footer="0" w:header="0"/>
        </w:sectPr>
      </w:pPr>
    </w:p>
    <w:bookmarkStart w:id="56" w:name="page57"/>
    <w:bookmarkEnd w:id="56"/>
    <w:p>
      <w:pPr>
        <w:jc w:val="both"/>
        <w:ind w:left="80"/>
        <w:spacing w:after="0" w:line="258" w:lineRule="auto"/>
        <w:rPr>
          <w:sz w:val="20"/>
          <w:szCs w:val="20"/>
          <w:color w:val="auto"/>
        </w:rPr>
      </w:pPr>
      <w:r>
        <w:rPr>
          <w:rFonts w:ascii="Arial" w:cs="Arial" w:eastAsia="Arial" w:hAnsi="Arial"/>
          <w:sz w:val="21"/>
          <w:szCs w:val="21"/>
          <w:color w:val="auto"/>
        </w:rPr>
        <w:t>partner, director, stockholder, officer, volunteer, intern, or any other similar capacity, to any entity anywhere in the world engaged in a business that is competitive with the Company or its Affiliates. Notwithstanding the prior sentence, you are not prohibited from providing services to a competing entity if: (i) the duties and services provided by you to the competitor are not, in whole or in part, substantially similar to the duties and services you provided to the Company or its Affiliates; and (ii) the duties and services provided by you to the competitor are not reasonably likely to cause you to reveal trade secrets, know-how, customer lists, customer contracts, customer needs, business strategies, marketing strategies, product development, proprietary information and confidential information concerning the business of the Company or its Affiliates. Nothing in this Award Agreement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spacing w:after="0" w:line="186" w:lineRule="exact"/>
        <w:rPr>
          <w:sz w:val="20"/>
          <w:szCs w:val="20"/>
          <w:color w:val="auto"/>
        </w:rPr>
      </w:pPr>
    </w:p>
    <w:p>
      <w:pPr>
        <w:jc w:val="both"/>
        <w:ind w:firstLine="656"/>
        <w:spacing w:after="0" w:line="250" w:lineRule="auto"/>
        <w:tabs>
          <w:tab w:leader="none" w:pos="101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09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By accepting the RSUs, you agree that in light of the award conferred to you under this Award Agreement, the narrow and restrictive covenants imposed above are reasonable and will not result in any hardship to you. Further, you acknowledge and agree that a breach of any obligation under this Award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Award Agreement,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this Award Agreement, including, but not limited to, the cash or Shares awarded. In addition to the foregoing, the Company shall be entitled to collect from you any reasonable attorney’s fees and costs occurred in brining any action against you or otherwise to enforce the terms of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1420"/>
          </w:cols>
          <w:pgMar w:left="240" w:top="631" w:right="239" w:bottom="1440" w:gutter="0" w:footer="0" w:header="0"/>
        </w:sectPr>
      </w:pPr>
    </w:p>
    <w:bookmarkStart w:id="57" w:name="page58"/>
    <w:bookmarkEnd w:id="57"/>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[ADDENDUM TO RESTRICTED STOCK UNIT AWARD AGREEMENT]</w:t>
      </w: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[COUNTRY-SPECIFIC TERMS AND CONDITIONS]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4830-7776-4957.2</w:t>
      </w:r>
    </w:p>
    <w:p>
      <w:pPr>
        <w:sectPr>
          <w:pgSz w:w="11900" w:h="16838" w:orient="portrait"/>
          <w:cols w:equalWidth="0" w:num="1">
            <w:col w:w="10219"/>
          </w:cols>
          <w:pgMar w:left="240" w:top="625"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2012 STOCK AND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Pursuant to the notice of grant (the “Grant Notice”) and this Restricted Stock Unit Award Agreement, including any country-specific terms in the applicable addendum hereto (the “Addendum”) (together, this “Award Agreement”), Pentair plc (the “Company”) has granted to you Restricted Stock Units (“RSUs”) with respect to the number of ordinary shares of the Company (“Shares”) specified in the Grant Notice. Capitalized terms not defined in this Award Agreement but defined in the Pentair plc 2012 Stock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spacing w:after="0" w:line="197" w:lineRule="exact"/>
        <w:rPr>
          <w:sz w:val="20"/>
          <w:szCs w:val="20"/>
          <w:color w:val="auto"/>
        </w:rPr>
      </w:pPr>
    </w:p>
    <w:p>
      <w:pPr>
        <w:ind w:left="1460" w:hanging="804"/>
        <w:spacing w:after="0"/>
        <w:tabs>
          <w:tab w:leader="none" w:pos="14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the Plan or this Award Agreement, the RSUs will vest as provided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 Notice.</w:t>
      </w:r>
    </w:p>
    <w:p>
      <w:pPr>
        <w:spacing w:after="0" w:line="201" w:lineRule="exact"/>
        <w:rPr>
          <w:rFonts w:ascii="Arial" w:cs="Arial" w:eastAsia="Arial" w:hAnsi="Arial"/>
          <w:sz w:val="19"/>
          <w:szCs w:val="19"/>
          <w:color w:val="auto"/>
        </w:rPr>
      </w:pPr>
    </w:p>
    <w:p>
      <w:pPr>
        <w:jc w:val="both"/>
        <w:ind w:firstLine="656"/>
        <w:spacing w:after="0" w:line="254" w:lineRule="auto"/>
        <w:tabs>
          <w:tab w:leader="none" w:pos="99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The Company shall deliver to you a whole number of Shares equal to the number of RSUs (if any) that vest pursuant to this Award Agreement, subject to withholding of any Tax-Related Items (as defined in Section 6 below). Such delivery shall take place as soon as administratively practicable following the vesting date, but in no event more than 30 days after the applicable vesting date.</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foregoing, if you are resident or provide services outside of the United States, the Company, in its sole discretion, may provide for the settlement of the RSUs in the form of:</w:t>
      </w:r>
    </w:p>
    <w:p>
      <w:pPr>
        <w:spacing w:after="0" w:line="175" w:lineRule="exact"/>
        <w:rPr>
          <w:sz w:val="20"/>
          <w:szCs w:val="20"/>
          <w:color w:val="auto"/>
        </w:rPr>
      </w:pPr>
    </w:p>
    <w:p>
      <w:pPr>
        <w:jc w:val="both"/>
        <w:ind w:firstLine="1305"/>
        <w:spacing w:after="0" w:line="248" w:lineRule="auto"/>
        <w:tabs>
          <w:tab w:leader="none" w:pos="1998" w:val="left"/>
        </w:tabs>
        <w:numPr>
          <w:ilvl w:val="1"/>
          <w:numId w:val="62"/>
        </w:numPr>
        <w:rPr>
          <w:rFonts w:ascii="Arial" w:cs="Arial" w:eastAsia="Arial" w:hAnsi="Arial"/>
          <w:sz w:val="22"/>
          <w:szCs w:val="22"/>
          <w:color w:val="auto"/>
        </w:rPr>
      </w:pPr>
      <w:r>
        <w:rPr>
          <w:rFonts w:ascii="Arial" w:cs="Arial" w:eastAsia="Arial" w:hAnsi="Arial"/>
          <w:sz w:val="22"/>
          <w:szCs w:val="22"/>
          <w:color w:val="auto"/>
        </w:rPr>
        <w:t>a cash payment in an amount equal to the Fair Market Value of the Shares as of the vesting date that correspond to the number of vested RSUs,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072" w:val="left"/>
        </w:tabs>
        <w:numPr>
          <w:ilvl w:val="1"/>
          <w:numId w:val="62"/>
        </w:numPr>
        <w:rPr>
          <w:rFonts w:ascii="Arial" w:cs="Arial" w:eastAsia="Arial" w:hAnsi="Arial"/>
          <w:sz w:val="22"/>
          <w:szCs w:val="22"/>
          <w:color w:val="auto"/>
        </w:rPr>
      </w:pPr>
      <w:r>
        <w:rPr>
          <w:rFonts w:ascii="Arial" w:cs="Arial" w:eastAsia="Arial" w:hAnsi="Arial"/>
          <w:sz w:val="22"/>
          <w:szCs w:val="22"/>
          <w:color w:val="auto"/>
        </w:rPr>
        <w:t>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spacing w:after="0" w:line="185" w:lineRule="exact"/>
        <w:rPr>
          <w:rFonts w:ascii="Arial" w:cs="Arial" w:eastAsia="Arial" w:hAnsi="Arial"/>
          <w:sz w:val="22"/>
          <w:szCs w:val="22"/>
          <w:color w:val="auto"/>
        </w:rPr>
      </w:pPr>
    </w:p>
    <w:p>
      <w:pPr>
        <w:ind w:right="20" w:firstLine="656"/>
        <w:spacing w:after="0" w:line="276" w:lineRule="auto"/>
        <w:tabs>
          <w:tab w:leader="none" w:pos="99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 Fractional Shares</w:t>
      </w:r>
      <w:r>
        <w:rPr>
          <w:rFonts w:ascii="Arial" w:cs="Arial" w:eastAsia="Arial" w:hAnsi="Arial"/>
          <w:sz w:val="22"/>
          <w:szCs w:val="22"/>
          <w:color w:val="auto"/>
        </w:rPr>
        <w:t>. Only whole Shares will be issuable pursuant to the RSUs; any fractional Share otherwise issuable under the RSUs will be rounded up to the nearst whole Share.</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0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w:t>
      </w:r>
      <w:r>
        <w:rPr>
          <w:rFonts w:ascii="Arial" w:cs="Arial" w:eastAsia="Arial" w:hAnsi="Arial"/>
          <w:sz w:val="22"/>
          <w:szCs w:val="22"/>
          <w:color w:val="auto"/>
        </w:rPr>
        <w:t>. Unless otherwise provided in the Grant Notice or the Plan, in the event of termination of your service with the Company or any of its Affiliates for any reason (whether voluntarily or involuntarily), all your unvested RSUs will be cancelled and forfeited. Exceptions are made for termination of service due to death, Retirement, Disability or a Covered Termination, in accordance with the terms of the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342" w:right="239" w:bottom="1440" w:gutter="0" w:footer="0" w:header="0"/>
        </w:sectPr>
      </w:pPr>
    </w:p>
    <w:bookmarkStart w:id="59" w:name="page60"/>
    <w:bookmarkEnd w:id="59"/>
    <w:p>
      <w:pPr>
        <w:jc w:val="both"/>
        <w:ind w:firstLine="648"/>
        <w:spacing w:after="0" w:line="289" w:lineRule="auto"/>
        <w:rPr>
          <w:sz w:val="20"/>
          <w:szCs w:val="20"/>
          <w:color w:val="auto"/>
        </w:rPr>
      </w:pPr>
      <w:r>
        <w:rPr>
          <w:rFonts w:ascii="Arial" w:cs="Arial" w:eastAsia="Arial" w:hAnsi="Arial"/>
          <w:sz w:val="19"/>
          <w:szCs w:val="19"/>
          <w:color w:val="auto"/>
        </w:rPr>
        <w:t>For purposes of the RSUs,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RSUs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RSU grant (including whether you may still be considered to be providing services while on a leave of absence).</w:t>
      </w:r>
    </w:p>
    <w:p>
      <w:pPr>
        <w:spacing w:after="0" w:line="158" w:lineRule="exact"/>
        <w:rPr>
          <w:sz w:val="20"/>
          <w:szCs w:val="20"/>
          <w:color w:val="auto"/>
        </w:rPr>
      </w:pPr>
    </w:p>
    <w:p>
      <w:pPr>
        <w:jc w:val="both"/>
        <w:ind w:firstLine="656"/>
        <w:spacing w:after="0" w:line="270" w:lineRule="auto"/>
        <w:tabs>
          <w:tab w:leader="none" w:pos="1031"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Dividend Equivalent Units</w:t>
      </w:r>
      <w:r>
        <w:rPr>
          <w:rFonts w:ascii="Arial" w:cs="Arial" w:eastAsia="Arial" w:hAnsi="Arial"/>
          <w:sz w:val="21"/>
          <w:szCs w:val="21"/>
          <w:color w:val="auto"/>
        </w:rPr>
        <w:t>. With respect to record dates occurring from and after the Date of Grant until the date that the RSUs are settled, you will be entitled to a cash payment equal to any cash dividend or cash distribution that would have been paid on the RSUs had the RSUs been issued and outstanding Shares on the record date for such dividend or distribution. Dividend Equivalent Units are not eligible for dividend reinvestment during the vesting period.</w:t>
      </w:r>
    </w:p>
    <w:p>
      <w:pPr>
        <w:spacing w:after="0" w:line="169" w:lineRule="exact"/>
        <w:rPr>
          <w:rFonts w:ascii="Arial" w:cs="Arial" w:eastAsia="Arial" w:hAnsi="Arial"/>
          <w:sz w:val="21"/>
          <w:szCs w:val="21"/>
          <w:color w:val="auto"/>
        </w:rPr>
      </w:pPr>
    </w:p>
    <w:p>
      <w:pPr>
        <w:ind w:right="20" w:firstLine="1305"/>
        <w:spacing w:after="0" w:line="263" w:lineRule="auto"/>
        <w:tabs>
          <w:tab w:leader="none" w:pos="1839"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you are a United States taxpayer, payment of the Dividend Equivalent Units will be made to you in cash as soon as practicable after the dividend payment date set forth by the Company’s Board of Directors.</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886"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you are not a United States taxpayer, Dividend Equivalent Units will accrue on your unvested RSUs over the vesting period, and you will be paid in cash at the same time the related RSUs vest. If you forfeit your unvested RSUs, then the related accrued Dividend Equivalent Units will also be forfeited.</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04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You acknowledge that, regardless of any action taken by the Company 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dividend equivalents; and (b)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0" w:name="page61"/>
    <w:bookmarkEnd w:id="60"/>
    <w:p>
      <w:pPr>
        <w:jc w:val="both"/>
        <w:ind w:firstLine="648"/>
        <w:spacing w:after="0" w:line="285" w:lineRule="auto"/>
        <w:rPr>
          <w:sz w:val="20"/>
          <w:szCs w:val="20"/>
          <w:color w:val="auto"/>
        </w:rPr>
      </w:pPr>
      <w:r>
        <w:rPr>
          <w:rFonts w:ascii="Arial" w:cs="Arial" w:eastAsia="Arial" w:hAnsi="Arial"/>
          <w:sz w:val="19"/>
          <w:szCs w:val="19"/>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RSUs either through a voluntary sale or through a mandatory sale arranged by the Company (on your behalf pursuant to this authorization without further consent);</w:t>
      </w:r>
    </w:p>
    <w:p>
      <w:pPr>
        <w:spacing w:after="0" w:line="1" w:lineRule="exact"/>
        <w:rPr>
          <w:sz w:val="20"/>
          <w:szCs w:val="20"/>
          <w:color w:val="auto"/>
        </w:rPr>
      </w:pPr>
    </w:p>
    <w:p>
      <w:pPr>
        <w:jc w:val="both"/>
        <w:ind w:firstLine="8"/>
        <w:spacing w:after="0" w:line="244" w:lineRule="auto"/>
        <w:tabs>
          <w:tab w:leader="none" w:pos="393" w:val="left"/>
        </w:tabs>
        <w:numPr>
          <w:ilvl w:val="0"/>
          <w:numId w:val="65"/>
        </w:numPr>
        <w:rPr>
          <w:rFonts w:ascii="Arial" w:cs="Arial" w:eastAsia="Arial" w:hAnsi="Arial"/>
          <w:sz w:val="22"/>
          <w:szCs w:val="22"/>
          <w:color w:val="auto"/>
        </w:rPr>
      </w:pPr>
      <w:r>
        <w:rPr>
          <w:rFonts w:ascii="Arial" w:cs="Arial" w:eastAsia="Arial" w:hAnsi="Arial"/>
          <w:sz w:val="22"/>
          <w:szCs w:val="22"/>
          <w:color w:val="auto"/>
        </w:rPr>
        <w:t>withholding from the Shares to be delivered upon settlement of the RSUs that number of Shares having a Fair Market Value equal to the amount required by law to be withheld; or (iv) permitting you to tender back to the Company a number of Shares delivered upon settlement of the RSUs or Shares previously owned by you having a Fair Market Value equal to the amount required by law to be withheld. For purposes of the foregoing, no fractional Share will be withheld or issued pursuant to the grant of the RSUs and the issuance of Shares hereunder. Notwithstanding the foregoing, if you are a Section 16 Participant, your withholding obligations shall be satisfied as described in clause (iii) above, unless the Committee approves another form of payment for such Tax-Related Items.</w:t>
      </w:r>
    </w:p>
    <w:p>
      <w:pPr>
        <w:spacing w:after="0" w:line="1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statutory withholding rates (as determined by the Company in good faith and in its sold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RSUs, for tax purposes, you are deemed to have been issued the full number of Shares subject to the vested RSUs, notwithstanding that a number of Shares are held back solely for the purpose of paying the Tax-Related Items.</w:t>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w:t>
      </w:r>
    </w:p>
    <w:p>
      <w:pPr>
        <w:spacing w:after="0" w:line="149" w:lineRule="exact"/>
        <w:rPr>
          <w:sz w:val="20"/>
          <w:szCs w:val="20"/>
          <w:color w:val="auto"/>
        </w:rPr>
      </w:pPr>
    </w:p>
    <w:p>
      <w:pPr>
        <w:jc w:val="both"/>
        <w:ind w:firstLine="656"/>
        <w:spacing w:after="0" w:line="251" w:lineRule="auto"/>
        <w:tabs>
          <w:tab w:leader="none" w:pos="105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The RSUs (and any compensation paid or Shares issued under the RSUs)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spacing w:after="0" w:line="162" w:lineRule="exact"/>
        <w:rPr>
          <w:rFonts w:ascii="Arial" w:cs="Arial" w:eastAsia="Arial" w:hAnsi="Arial"/>
          <w:sz w:val="22"/>
          <w:szCs w:val="22"/>
          <w:color w:val="auto"/>
        </w:rPr>
      </w:pPr>
    </w:p>
    <w:p>
      <w:pPr>
        <w:jc w:val="both"/>
        <w:ind w:firstLine="656"/>
        <w:spacing w:after="0" w:line="254" w:lineRule="auto"/>
        <w:tabs>
          <w:tab w:leader="none" w:pos="100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Non-Solicitation and Non-Disparagement</w:t>
      </w:r>
      <w:r>
        <w:rPr>
          <w:rFonts w:ascii="Arial" w:cs="Arial" w:eastAsia="Arial" w:hAnsi="Arial"/>
          <w:sz w:val="22"/>
          <w:szCs w:val="22"/>
          <w:color w:val="auto"/>
        </w:rPr>
        <w:t>. As a condition to the receipt of the RSUs, you expressly agree to the terms and conditions in the Confidentiality, Non-Competition, Non-Solicitation and Non-Disparagement Agreement attached hereto as Exhibit A. In addition to any remedies available to the Company under Section 5 of Exhibit A, any violation of the terms and conditions of Exhibit A will result in 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rescission of the RSUs made under this Award Agreement and a forfeiture of rights you have with respect thereto.</w:t>
      </w:r>
    </w:p>
    <w:p>
      <w:pPr>
        <w:spacing w:after="0" w:line="193" w:lineRule="exact"/>
        <w:rPr>
          <w:sz w:val="20"/>
          <w:szCs w:val="20"/>
          <w:color w:val="auto"/>
        </w:rPr>
      </w:pPr>
    </w:p>
    <w:p>
      <w:pPr>
        <w:jc w:val="both"/>
        <w:ind w:firstLine="656"/>
        <w:spacing w:after="0" w:line="294" w:lineRule="auto"/>
        <w:tabs>
          <w:tab w:leader="none" w:pos="103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RSUs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RSUs. The Company may impose such restrictions on any Shares issued under the Plan as the Company determines necessary or desirable to comply with all applicable laws, rules and regulations or requirements.</w:t>
      </w:r>
    </w:p>
    <w:p>
      <w:pPr>
        <w:spacing w:after="0" w:line="152" w:lineRule="exact"/>
        <w:rPr>
          <w:rFonts w:ascii="Arial" w:cs="Arial" w:eastAsia="Arial" w:hAnsi="Arial"/>
          <w:sz w:val="19"/>
          <w:szCs w:val="19"/>
          <w:color w:val="auto"/>
        </w:rPr>
      </w:pPr>
    </w:p>
    <w:p>
      <w:pPr>
        <w:jc w:val="both"/>
        <w:ind w:firstLine="656"/>
        <w:spacing w:after="0" w:line="307" w:lineRule="auto"/>
        <w:tabs>
          <w:tab w:leader="none" w:pos="1233"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RSUs shall be exercisable during your lifetime only by you or your guardian or legal representative or permitted transferee.</w:t>
      </w:r>
    </w:p>
    <w:p>
      <w:pPr>
        <w:spacing w:after="0" w:line="138" w:lineRule="exact"/>
        <w:rPr>
          <w:rFonts w:ascii="Arial" w:cs="Arial" w:eastAsia="Arial" w:hAnsi="Arial"/>
          <w:sz w:val="19"/>
          <w:szCs w:val="19"/>
          <w:color w:val="auto"/>
        </w:rPr>
      </w:pPr>
    </w:p>
    <w:p>
      <w:pPr>
        <w:jc w:val="both"/>
        <w:ind w:firstLine="656"/>
        <w:spacing w:after="0" w:line="320" w:lineRule="auto"/>
        <w:tabs>
          <w:tab w:leader="none" w:pos="117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You shall not have any voting rights or any other rights and privileges of a shareholder of the Company unless and until Shares (if any) are issued upon settlement of the RSUs. Prior to actual payment of any RSUs, such RSUs will represent an unsecured obligation of the Company, payable (if at all) only from the general assets of the Company.</w:t>
      </w:r>
    </w:p>
    <w:p>
      <w:pPr>
        <w:spacing w:after="0" w:line="125" w:lineRule="exact"/>
        <w:rPr>
          <w:rFonts w:ascii="Arial" w:cs="Arial" w:eastAsia="Arial" w:hAnsi="Arial"/>
          <w:sz w:val="19"/>
          <w:szCs w:val="19"/>
          <w:color w:val="auto"/>
        </w:rPr>
      </w:pPr>
    </w:p>
    <w:p>
      <w:pPr>
        <w:jc w:val="both"/>
        <w:ind w:firstLine="656"/>
        <w:spacing w:after="0" w:line="259" w:lineRule="auto"/>
        <w:tabs>
          <w:tab w:leader="none" w:pos="1098"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Insider Trading and/or Market Abuse</w:t>
      </w:r>
      <w:r>
        <w:rPr>
          <w:rFonts w:ascii="Arial" w:cs="Arial" w:eastAsia="Arial" w:hAnsi="Arial"/>
          <w:sz w:val="21"/>
          <w:szCs w:val="21"/>
          <w:color w:val="auto"/>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spacing w:after="0" w:line="181" w:lineRule="exact"/>
        <w:rPr>
          <w:rFonts w:ascii="Arial" w:cs="Arial" w:eastAsia="Arial" w:hAnsi="Arial"/>
          <w:sz w:val="21"/>
          <w:szCs w:val="21"/>
          <w:color w:val="auto"/>
        </w:rPr>
      </w:pPr>
    </w:p>
    <w:p>
      <w:pPr>
        <w:jc w:val="both"/>
        <w:ind w:firstLine="656"/>
        <w:spacing w:after="0" w:line="270" w:lineRule="auto"/>
        <w:tabs>
          <w:tab w:leader="none" w:pos="120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Code Section 409A</w:t>
      </w:r>
      <w:r>
        <w:rPr>
          <w:rFonts w:ascii="Arial" w:cs="Arial" w:eastAsia="Arial" w:hAnsi="Arial"/>
          <w:sz w:val="21"/>
          <w:szCs w:val="21"/>
          <w:color w:val="auto"/>
        </w:rPr>
        <w:t>. For U.S. taxpayers, it is the intent that the RSUs as set forth in this Award Agreement shall qualify for exemption from or comply with the requirements of Section 409A of the Code, and any ambiguities herein will be interpreted to so qualify or comply. Notwithstanding the foregoing, if it is determined that the RSUs fail to satisfy the requirements of the short-term deferral period exemption and are otherwise deferred compensation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9"/>
          <w:szCs w:val="19"/>
          <w:color w:val="auto"/>
        </w:rPr>
        <w:t>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RSUs provided for under this Award Agreement will be exempt from or comply with Section 409A of the Code and makes no undertaking to preclude Section 409A of the Code from applying to the grant, vesting or settlement of RSUs provided for under this Award Agreement. The Company will have no liability to you or any other party if the RSUs, the delivery of Shares upon settlement of the RSUs or other payment hereunder that is intended to be exempt from, or compliant with, Section 409A of the Code, is not so exempt or compliant or for any action taken by the Company with respect thereto.</w:t>
      </w:r>
    </w:p>
    <w:p>
      <w:pPr>
        <w:spacing w:after="0" w:line="109" w:lineRule="exact"/>
        <w:rPr>
          <w:sz w:val="20"/>
          <w:szCs w:val="20"/>
          <w:color w:val="auto"/>
        </w:rPr>
      </w:pPr>
    </w:p>
    <w:p>
      <w:pPr>
        <w:jc w:val="both"/>
        <w:ind w:firstLine="656"/>
        <w:spacing w:after="0" w:line="251" w:lineRule="auto"/>
        <w:tabs>
          <w:tab w:leader="none" w:pos="109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spacing w:after="0" w:line="135" w:lineRule="exact"/>
        <w:rPr>
          <w:rFonts w:ascii="Arial" w:cs="Arial" w:eastAsia="Arial" w:hAnsi="Arial"/>
          <w:sz w:val="22"/>
          <w:szCs w:val="22"/>
          <w:color w:val="auto"/>
        </w:rPr>
      </w:pPr>
    </w:p>
    <w:p>
      <w:pPr>
        <w:ind w:left="1100" w:hanging="444"/>
        <w:spacing w:after="0"/>
        <w:tabs>
          <w:tab w:leader="none" w:pos="11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RSUs, you acknowledge and agree that:</w:t>
      </w:r>
    </w:p>
    <w:p>
      <w:pPr>
        <w:spacing w:after="0" w:line="179" w:lineRule="exact"/>
        <w:rPr>
          <w:rFonts w:ascii="Arial" w:cs="Arial" w:eastAsia="Arial" w:hAnsi="Arial"/>
          <w:sz w:val="22"/>
          <w:szCs w:val="22"/>
          <w:color w:val="auto"/>
        </w:rPr>
      </w:pPr>
    </w:p>
    <w:p>
      <w:pPr>
        <w:jc w:val="both"/>
        <w:ind w:firstLine="1305"/>
        <w:spacing w:after="0" w:line="260" w:lineRule="auto"/>
        <w:tabs>
          <w:tab w:leader="none" w:pos="1851"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in its sole discretion, at any time (subject to any limitations set forth in the Plan);</w:t>
      </w:r>
    </w:p>
    <w:p>
      <w:pPr>
        <w:spacing w:after="0" w:line="123" w:lineRule="exact"/>
        <w:rPr>
          <w:rFonts w:ascii="Arial" w:cs="Arial" w:eastAsia="Arial" w:hAnsi="Arial"/>
          <w:sz w:val="22"/>
          <w:szCs w:val="22"/>
          <w:color w:val="auto"/>
        </w:rPr>
      </w:pPr>
    </w:p>
    <w:p>
      <w:pPr>
        <w:ind w:firstLine="1305"/>
        <w:spacing w:after="0" w:line="301" w:lineRule="auto"/>
        <w:tabs>
          <w:tab w:leader="none" w:pos="1823"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grant of RSUs is voluntary and occasional and does not create any contractual or other right to receive future grants of RSUs, or benefits in lieu of RSUs, even if RSUs or other awards have been granted in the past;</w:t>
      </w:r>
    </w:p>
    <w:p>
      <w:pPr>
        <w:spacing w:after="0" w:line="83" w:lineRule="exact"/>
        <w:rPr>
          <w:rFonts w:ascii="Arial" w:cs="Arial" w:eastAsia="Arial" w:hAnsi="Arial"/>
          <w:sz w:val="21"/>
          <w:szCs w:val="21"/>
          <w:color w:val="auto"/>
        </w:rPr>
      </w:pPr>
    </w:p>
    <w:p>
      <w:pPr>
        <w:ind w:left="1720" w:hanging="415"/>
        <w:spacing w:after="0"/>
        <w:tabs>
          <w:tab w:leader="none" w:pos="17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179" w:lineRule="exact"/>
        <w:rPr>
          <w:rFonts w:ascii="Arial" w:cs="Arial" w:eastAsia="Arial" w:hAnsi="Arial"/>
          <w:sz w:val="22"/>
          <w:szCs w:val="22"/>
          <w:color w:val="auto"/>
        </w:rPr>
      </w:pPr>
    </w:p>
    <w:p>
      <w:pPr>
        <w:jc w:val="both"/>
        <w:ind w:firstLine="1305"/>
        <w:spacing w:after="0" w:line="254" w:lineRule="auto"/>
        <w:tabs>
          <w:tab w:leader="none" w:pos="173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RSUs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w:t>
      </w:r>
    </w:p>
    <w:p>
      <w:pPr>
        <w:spacing w:after="0" w:line="131" w:lineRule="exact"/>
        <w:rPr>
          <w:rFonts w:ascii="Arial" w:cs="Arial" w:eastAsia="Arial" w:hAnsi="Arial"/>
          <w:sz w:val="22"/>
          <w:szCs w:val="22"/>
          <w:color w:val="auto"/>
        </w:rPr>
      </w:pPr>
    </w:p>
    <w:p>
      <w:pPr>
        <w:ind w:right="20" w:firstLine="1305"/>
        <w:spacing w:after="0" w:line="276" w:lineRule="auto"/>
        <w:tabs>
          <w:tab w:leader="none" w:pos="169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RSUs and the Shares, and the income and value of the same, subject to the RSUs are not intended to replace any pension rights or compensation;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3" w:name="page64"/>
    <w:bookmarkEnd w:id="63"/>
    <w:p>
      <w:pPr>
        <w:jc w:val="both"/>
        <w:ind w:firstLine="1305"/>
        <w:spacing w:after="0" w:line="307" w:lineRule="auto"/>
        <w:tabs>
          <w:tab w:leader="none" w:pos="1756"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RSUs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67" w:lineRule="exact"/>
        <w:rPr>
          <w:rFonts w:ascii="Arial" w:cs="Arial" w:eastAsia="Arial" w:hAnsi="Arial"/>
          <w:sz w:val="19"/>
          <w:szCs w:val="19"/>
          <w:color w:val="auto"/>
        </w:rPr>
      </w:pPr>
    </w:p>
    <w:p>
      <w:pPr>
        <w:jc w:val="both"/>
        <w:ind w:firstLine="1305"/>
        <w:spacing w:after="0" w:line="251" w:lineRule="auto"/>
        <w:tabs>
          <w:tab w:leader="none" w:pos="1775" w:val="left"/>
        </w:tabs>
        <w:numPr>
          <w:ilvl w:val="1"/>
          <w:numId w:val="6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termination of your service (for any reason whatsoever and whether or not in breach of local labor laws or later found invalid), and in consideration of the grant of the RSUs to which you are otherwise not entitled, you irrevocably agree never to institute any claim against the Company, any of its Affiliates, or the Employer, waive your ability, if any, to bring any such claim, and release the Company, its Affiliates and the Employer, from any such claim;</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75"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RSUs and the benefits evidenced by this Award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Shares; and</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810"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you are employed or providing services outside of the United States, neither the Company nor any of its Affiliates shall be liable for any foreign exchange rate fluctuation between your local currency and the U.S. dollar that may affect the value of the RSUs or any amounts due to you pursuant to the settlement of the RSUs or the subsequent sale of any Shares acquired upon settlement of the RSUs.</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79" w:val="left"/>
        </w:tabs>
        <w:numPr>
          <w:ilvl w:val="0"/>
          <w:numId w:val="70"/>
        </w:numPr>
        <w:rPr>
          <w:rFonts w:ascii="Arial" w:cs="Arial" w:eastAsia="Arial" w:hAnsi="Arial"/>
          <w:sz w:val="22"/>
          <w:szCs w:val="22"/>
          <w:color w:val="auto"/>
        </w:rPr>
      </w:pPr>
      <w:r>
        <w:rPr>
          <w:rFonts w:ascii="Arial" w:cs="Arial" w:eastAsia="Arial" w:hAnsi="Arial"/>
          <w:sz w:val="22"/>
          <w:szCs w:val="22"/>
          <w:i w:val="1"/>
          <w:i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i w:val="1"/>
          <w:iCs w:val="1"/>
          <w:color w:val="auto"/>
        </w:rPr>
        <w:t xml:space="preserve"> You hereby explicitly and unambiguously consent to the collection, use and transfer, in electronic or other form, of your personal data as described in this Award Agreement, the Grant Notice and any other RSU grant materials by and among, as necessary and applicable, the Company or any of its Affiliates, for the exclusive purpose of implementing, administering and managing your participation in the Plan. If there is a conflict between this Section 16 and the Company’s existing policies and/or data protection charters, the terms of this Section 16 will prevail with respect to issues related to the RSUs and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i w:val="1"/>
          <w:iCs w:val="1"/>
          <w:color w:val="auto"/>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exercised, vested, unvested or outstanding in your favor (“Data”), for the purpose of implementing, administering and managing the Plan.</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You understand that Data will be transferred to Fidelity Stock Plan Services or such other stock plan service provider as may be selected by the Company in the future, which is assisting the Company with the implementation, administration and management of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9"/>
          <w:szCs w:val="19"/>
          <w:i w:val="1"/>
          <w:iCs w:val="1"/>
          <w:color w:val="auto"/>
        </w:rPr>
        <w:t>You understand that the recipients of Data may be located in the United States or elsewhere, and that the recipients’ country (</w:t>
      </w:r>
      <w:r>
        <w:rPr>
          <w:rFonts w:ascii="Arial" w:cs="Arial" w:eastAsia="Arial" w:hAnsi="Arial"/>
          <w:sz w:val="19"/>
          <w:szCs w:val="19"/>
          <w:color w:val="auto"/>
        </w:rPr>
        <w:t>e.g.</w:t>
      </w:r>
      <w:r>
        <w:rPr>
          <w:rFonts w:ascii="Arial" w:cs="Arial" w:eastAsia="Arial" w:hAnsi="Arial"/>
          <w:sz w:val="19"/>
          <w:szCs w:val="19"/>
          <w:i w:val="1"/>
          <w:iCs w:val="1"/>
          <w:color w:val="auto"/>
        </w:rPr>
        <w:t>,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For more information on the consequences of your refusal to consent or withdrawal of consent, you understand that you may contact your local human resources representative.</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94" w:lineRule="exact"/>
        <w:rPr>
          <w:sz w:val="20"/>
          <w:szCs w:val="20"/>
          <w:color w:val="auto"/>
        </w:rPr>
      </w:pPr>
    </w:p>
    <w:p>
      <w:pPr>
        <w:jc w:val="both"/>
        <w:ind w:firstLine="656"/>
        <w:spacing w:after="0" w:line="270" w:lineRule="auto"/>
        <w:tabs>
          <w:tab w:leader="none" w:pos="1125"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Not a Public Offering</w:t>
      </w:r>
      <w:r>
        <w:rPr>
          <w:rFonts w:ascii="Arial" w:cs="Arial" w:eastAsia="Arial" w:hAnsi="Arial"/>
          <w:sz w:val="21"/>
          <w:szCs w:val="21"/>
          <w:color w:val="auto"/>
        </w:rPr>
        <w:t>. If you are a resident outside of the United States, the grant of the RSUs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169" w:lineRule="exact"/>
        <w:rPr>
          <w:rFonts w:ascii="Arial" w:cs="Arial" w:eastAsia="Arial" w:hAnsi="Arial"/>
          <w:sz w:val="21"/>
          <w:szCs w:val="21"/>
          <w:color w:val="auto"/>
        </w:rPr>
      </w:pPr>
    </w:p>
    <w:p>
      <w:pPr>
        <w:jc w:val="both"/>
        <w:ind w:firstLine="656"/>
        <w:spacing w:after="0" w:line="251" w:lineRule="auto"/>
        <w:tabs>
          <w:tab w:leader="none" w:pos="109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RSUs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22"/>
          <w:szCs w:val="22"/>
          <w:color w:val="auto"/>
        </w:rPr>
      </w:pPr>
    </w:p>
    <w:p>
      <w:pPr>
        <w:jc w:val="both"/>
        <w:ind w:right="20" w:firstLine="656"/>
        <w:spacing w:after="0" w:line="260" w:lineRule="auto"/>
        <w:tabs>
          <w:tab w:leader="none" w:pos="116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22"/>
          <w:szCs w:val="22"/>
          <w:color w:val="auto"/>
        </w:rPr>
        <w:t>consult with your own personal tax, legal and financial advisors regarding your participation in the Plan before taking any action related to the Plan.</w:t>
      </w:r>
    </w:p>
    <w:p>
      <w:pPr>
        <w:spacing w:after="0" w:line="175" w:lineRule="exact"/>
        <w:rPr>
          <w:sz w:val="20"/>
          <w:szCs w:val="20"/>
          <w:color w:val="auto"/>
        </w:rPr>
      </w:pPr>
    </w:p>
    <w:p>
      <w:pPr>
        <w:jc w:val="both"/>
        <w:ind w:firstLine="656"/>
        <w:spacing w:after="0" w:line="294" w:lineRule="auto"/>
        <w:tabs>
          <w:tab w:leader="none" w:pos="117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w:t>
      </w:r>
      <w:r>
        <w:rPr>
          <w:rFonts w:ascii="Arial" w:cs="Arial" w:eastAsia="Arial" w:hAnsi="Arial"/>
          <w:sz w:val="19"/>
          <w:szCs w:val="19"/>
          <w:color w:val="auto"/>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spacing w:after="0" w:line="152" w:lineRule="exact"/>
        <w:rPr>
          <w:rFonts w:ascii="Arial" w:cs="Arial" w:eastAsia="Arial" w:hAnsi="Arial"/>
          <w:sz w:val="19"/>
          <w:szCs w:val="19"/>
          <w:color w:val="auto"/>
        </w:rPr>
      </w:pPr>
    </w:p>
    <w:p>
      <w:pPr>
        <w:jc w:val="both"/>
        <w:ind w:firstLine="656"/>
        <w:spacing w:after="0" w:line="264" w:lineRule="auto"/>
        <w:tabs>
          <w:tab w:leader="none" w:pos="112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Addendum</w:t>
      </w:r>
      <w:r>
        <w:rPr>
          <w:rFonts w:ascii="Arial" w:cs="Arial" w:eastAsia="Arial" w:hAnsi="Arial"/>
          <w:sz w:val="21"/>
          <w:szCs w:val="21"/>
          <w:color w:val="auto"/>
        </w:rPr>
        <w:t>. Notwithstanding any provisions in this Award Agreement, the RSUs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spacing w:after="0" w:line="175" w:lineRule="exact"/>
        <w:rPr>
          <w:rFonts w:ascii="Arial" w:cs="Arial" w:eastAsia="Arial" w:hAnsi="Arial"/>
          <w:sz w:val="21"/>
          <w:szCs w:val="21"/>
          <w:color w:val="auto"/>
        </w:rPr>
      </w:pPr>
    </w:p>
    <w:p>
      <w:pPr>
        <w:jc w:val="both"/>
        <w:ind w:firstLine="656"/>
        <w:spacing w:after="0" w:line="270" w:lineRule="auto"/>
        <w:tabs>
          <w:tab w:leader="none" w:pos="1098"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RSUs,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69" w:lineRule="exact"/>
        <w:rPr>
          <w:rFonts w:ascii="Arial" w:cs="Arial" w:eastAsia="Arial" w:hAnsi="Arial"/>
          <w:sz w:val="21"/>
          <w:szCs w:val="21"/>
          <w:color w:val="auto"/>
        </w:rPr>
      </w:pPr>
    </w:p>
    <w:p>
      <w:pPr>
        <w:jc w:val="both"/>
        <w:ind w:firstLine="656"/>
        <w:spacing w:after="0" w:line="254" w:lineRule="auto"/>
        <w:tabs>
          <w:tab w:leader="none" w:pos="116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11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Governing Plan Document</w:t>
      </w:r>
      <w:r>
        <w:rPr>
          <w:rFonts w:ascii="Arial" w:cs="Arial" w:eastAsia="Arial" w:hAnsi="Arial"/>
          <w:sz w:val="19"/>
          <w:szCs w:val="19"/>
          <w:color w:val="auto"/>
        </w:rPr>
        <w:t>. The RSUs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By accepting the RSUs, you confirm that you have read and understood the Award Agreement, the Plan, the Plan prospectus and related information provided to you and that you accept the terms of those documents accordingly.</w:t>
      </w:r>
    </w:p>
    <w:p>
      <w:pPr>
        <w:spacing w:after="0" w:line="146" w:lineRule="exact"/>
        <w:rPr>
          <w:rFonts w:ascii="Arial" w:cs="Arial" w:eastAsia="Arial" w:hAnsi="Arial"/>
          <w:sz w:val="19"/>
          <w:szCs w:val="19"/>
          <w:color w:val="auto"/>
        </w:rPr>
      </w:pPr>
    </w:p>
    <w:p>
      <w:pPr>
        <w:jc w:val="both"/>
        <w:ind w:right="20" w:firstLine="656"/>
        <w:spacing w:after="0" w:line="260" w:lineRule="auto"/>
        <w:tabs>
          <w:tab w:leader="none" w:pos="116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You expressly understand that the Administrator is authorized to administer, construe, and make all determinations necessary or appropriate for the administration of the Award Agreement and the Plan, and that any interpretation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6" w:name="page67"/>
    <w:bookmarkEnd w:id="66"/>
    <w:p>
      <w:pPr>
        <w:spacing w:after="0"/>
        <w:rPr>
          <w:sz w:val="20"/>
          <w:szCs w:val="20"/>
          <w:color w:val="auto"/>
        </w:rPr>
      </w:pPr>
      <w:r>
        <w:rPr>
          <w:rFonts w:ascii="Arial" w:cs="Arial" w:eastAsia="Arial" w:hAnsi="Arial"/>
          <w:sz w:val="21"/>
          <w:szCs w:val="21"/>
          <w:color w:val="auto"/>
        </w:rPr>
        <w:t>determination made by the Administrator under the Award Agreement or the Plan, will be final, binding and conclusive.</w:t>
      </w:r>
    </w:p>
    <w:p>
      <w:pPr>
        <w:spacing w:after="0" w:line="231" w:lineRule="exact"/>
        <w:rPr>
          <w:sz w:val="20"/>
          <w:szCs w:val="20"/>
          <w:color w:val="auto"/>
        </w:rPr>
      </w:pPr>
    </w:p>
    <w:p>
      <w:pPr>
        <w:jc w:val="both"/>
        <w:ind w:firstLine="656"/>
        <w:spacing w:after="0" w:line="251" w:lineRule="auto"/>
        <w:tabs>
          <w:tab w:leader="none" w:pos="109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The RSUs and the provisions of this Award Agreement are governed by, and subject to, the laws of the state of Minnesota, U.S.A. without regard to the conflict of law provisions. For purposes of any action, lawsuit or other proceedings brought to enforce this Award Agreement, relating to it, or arising from it, the parties hereby submit to and consent to the sole and exclusive jurisdiction of the United States District Court for the District of Minnesota or any of the courts of the state of Minnesota, U.S.A..</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sz w:val="20"/>
          <w:szCs w:val="20"/>
          <w:color w:val="auto"/>
        </w:rPr>
      </w:pPr>
    </w:p>
    <w:p>
      <w:pPr>
        <w:ind w:left="6800"/>
        <w:spacing w:after="0"/>
        <w:tabs>
          <w:tab w:leader="none" w:pos="7100" w:val="left"/>
          <w:tab w:leader="none" w:pos="7420" w:val="left"/>
          <w:tab w:leader="none" w:pos="7740" w:val="left"/>
        </w:tabs>
        <w:rPr>
          <w:sz w:val="20"/>
          <w:szCs w:val="20"/>
          <w:color w:val="auto"/>
        </w:rPr>
      </w:pPr>
      <w:r>
        <w:rPr>
          <w:rFonts w:ascii="Arial" w:cs="Arial" w:eastAsia="Arial" w:hAnsi="Arial"/>
          <w:sz w:val="22"/>
          <w:szCs w:val="22"/>
          <w:color w:val="auto"/>
        </w:rPr>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7" w:name="page68"/>
    <w:bookmarkEnd w:id="67"/>
    <w:p>
      <w:pPr>
        <w:ind w:left="514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PENTAIR PLC CONFIDENTIALITY, NON-COMPETITION,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AND NON-DISPARAGEMENT AGREEMENT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As a result of your intimate familiarity with proprietary and confidential information of the Company, the Award Agreement is subject to the restrictions set forth below. Any violation of these provisions will result in a rescission of the RSUs made under the Award Agreement and a forfeiture of any rights you have with respect thereto, as well as the remedies that are described in Section</w:t>
      </w:r>
    </w:p>
    <w:p>
      <w:pPr>
        <w:spacing w:after="0" w:line="1"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hereof.</w:t>
      </w:r>
    </w:p>
    <w:p>
      <w:pPr>
        <w:spacing w:after="0" w:line="201" w:lineRule="exact"/>
        <w:rPr>
          <w:rFonts w:ascii="Arial" w:cs="Arial" w:eastAsia="Arial" w:hAnsi="Arial"/>
          <w:sz w:val="22"/>
          <w:szCs w:val="22"/>
          <w:color w:val="auto"/>
        </w:rPr>
      </w:pPr>
    </w:p>
    <w:p>
      <w:pPr>
        <w:jc w:val="both"/>
        <w:ind w:left="80" w:firstLine="576"/>
        <w:spacing w:after="0" w:line="289" w:lineRule="auto"/>
        <w:tabs>
          <w:tab w:leader="none" w:pos="1431"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agree that you will treat during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57" w:lineRule="exact"/>
        <w:rPr>
          <w:rFonts w:ascii="Arial" w:cs="Arial" w:eastAsia="Arial" w:hAnsi="Arial"/>
          <w:sz w:val="19"/>
          <w:szCs w:val="19"/>
          <w:color w:val="auto"/>
        </w:rPr>
      </w:pPr>
    </w:p>
    <w:p>
      <w:pPr>
        <w:jc w:val="both"/>
        <w:ind w:left="80" w:firstLine="576"/>
        <w:spacing w:after="0" w:line="297" w:lineRule="auto"/>
        <w:tabs>
          <w:tab w:leader="none" w:pos="1431"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You agree that, for a 12 month period (24 month period, if you are a Section 16 Particpant at the time of your termination) following your termination (voluntary or involuntary) from the Company or any of its Affiliates, you will not, for yourself or any third party, directly or indirectly, (i) solicit or accept competitive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You agree that engaging in any of the following activities will be a violation of the above paragraph: (1) soliciting for a hire or soliciting for retainer as an independent consultant or as contingent worker any employee of the Company or its Affiliates; (2) participating in the recruitment of any employee of the Company or its Affiliates; (3) serving as a reference for an employee of the Company or its Affiliates; (4) offering an opinion regarding the candidacy as a potential employee, independent consultant or contingent worker of an individual employed by the Company or its Affiliates; (5) assisting or encouraging any third party to pursue an employee of the Company or its Affiliates for potential employment, independent consulting or contingent worker opportunities; or (6) assisting or encouraging any employee of the Company or its Affiliates to leave their current position in order to be an employee, independent consultant or contingent worker for a third party.</w:t>
      </w:r>
    </w:p>
    <w:p>
      <w:pPr>
        <w:spacing w:after="0" w:line="184" w:lineRule="exact"/>
        <w:rPr>
          <w:sz w:val="20"/>
          <w:szCs w:val="20"/>
          <w:color w:val="auto"/>
        </w:rPr>
      </w:pPr>
    </w:p>
    <w:p>
      <w:pPr>
        <w:jc w:val="both"/>
        <w:ind w:firstLine="656"/>
        <w:spacing w:after="0" w:line="270" w:lineRule="auto"/>
        <w:tabs>
          <w:tab w:leader="none" w:pos="105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You agree that, for a 12 month period (24 month period, if you are a Section 16 Participant at the time of your termination following your termination (voluntary or involuntary) from the Company or its Affiliates, you will not, for yourself or for any third party, directly or indirectly, in whole or in part, provide services, whether as an employee, employer, owner, operator, manager, advisor, consultant, agent, partner, director, stockholder,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25" w:right="239" w:bottom="1440" w:gutter="0" w:footer="0" w:header="0"/>
        </w:sectPr>
      </w:pPr>
    </w:p>
    <w:bookmarkStart w:id="68" w:name="page69"/>
    <w:bookmarkEnd w:id="68"/>
    <w:p>
      <w:pPr>
        <w:jc w:val="both"/>
        <w:spacing w:after="0" w:line="289" w:lineRule="auto"/>
        <w:rPr>
          <w:sz w:val="20"/>
          <w:szCs w:val="20"/>
          <w:color w:val="auto"/>
        </w:rPr>
      </w:pPr>
      <w:r>
        <w:rPr>
          <w:rFonts w:ascii="Arial" w:cs="Arial" w:eastAsia="Arial" w:hAnsi="Arial"/>
          <w:sz w:val="19"/>
          <w:szCs w:val="19"/>
          <w:color w:val="auto"/>
        </w:rPr>
        <w:t>officer, volunteer, intern, or any other similar capacity, to any entity anywhere in the world engaged in a business that is competitive with the Company or its Affiliates. Notwithstanding the prior sentence, you are not prohibited from providing services to a competing entity if: (i) the duties and services provided by you to the competitor are not, in whole or in part, substantially similar to the duties and services you provided to the Company or its Affiliates; and (ii) the duties and services provided by you to the competitor are not reasonably likely to cause you to reveal trade secrets, know-how, customer lists, customer contracts, customer needs, business strategies, marketing strategies, product development, proprietary information and confidential information concerning the business of the Company or its Affiliates. Nothing in this Award Agreement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spacing w:after="0" w:line="158" w:lineRule="exact"/>
        <w:rPr>
          <w:sz w:val="20"/>
          <w:szCs w:val="20"/>
          <w:color w:val="auto"/>
        </w:rPr>
      </w:pPr>
    </w:p>
    <w:p>
      <w:pPr>
        <w:jc w:val="both"/>
        <w:ind w:firstLine="656"/>
        <w:spacing w:after="0" w:line="250" w:lineRule="auto"/>
        <w:tabs>
          <w:tab w:leader="none" w:pos="101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098"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By accepting the RSUs, you agree that in light of the award conferred to you under this Award Agreement, the narrow and restrictive covenants imposed above are reasonable and will not result in any hardship to you. Further, you acknowledge and agree that a breach of any obligation under this Award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Award Agreement,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this Award Agreement, including, but not limited to, the cash or Shares awarded. In addition to the foregoing, the Company shall be entitled to collect from you any reasonable attorney’s fees and costs occurred in brining any action against you or otherwise to enforce the terms of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1420"/>
          </w:cols>
          <w:pgMar w:left="240" w:top="631" w:right="239" w:bottom="1440" w:gutter="0" w:footer="0" w:header="0"/>
        </w:sectPr>
      </w:pPr>
    </w:p>
    <w:bookmarkStart w:id="69" w:name="page70"/>
    <w:bookmarkEnd w:id="69"/>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[ADDENDUM TO RESTRICTED STOCK UNIT AWARD AGREEMENT]</w:t>
      </w: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[COUNTRY-SPECIFIC TERMS AND CONDITIONS]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4827-5735-1003.2</w:t>
      </w:r>
    </w:p>
    <w:p>
      <w:pPr>
        <w:sectPr>
          <w:pgSz w:w="11900" w:h="16838" w:orient="portrait"/>
          <w:cols w:equalWidth="0" w:num="1">
            <w:col w:w="10219"/>
          </w:cols>
          <w:pgMar w:left="240" w:top="882"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2012 STOCK AND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Pursuant to the notice of grant (the “Grant Notice”) and this Stock Option Award Agreement, including any country-specific terms in the applicable addendum hereto (the “Addendum”) (together, this “Award Agreement”), Pentair plc (the “Company”) has granted to you an option to purchase (the “Option”) the number of ordinary shares of the Company (“Shares”) indicated in the Grant Notice at the exercise price indicated in the Grant Notice. If the Option is designated as an Incentive Stock Option in the Grant Notice, additional terms are set forth in the Addendum for the United States. Capitalized terms not defined in this Award Agreement but defined in the Pentair plc 2012 Stock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spacing w:after="0" w:line="157" w:lineRule="exact"/>
        <w:rPr>
          <w:sz w:val="20"/>
          <w:szCs w:val="20"/>
          <w:color w:val="auto"/>
        </w:rPr>
      </w:pPr>
    </w:p>
    <w:p>
      <w:pPr>
        <w:ind w:left="1460" w:hanging="804"/>
        <w:spacing w:after="0"/>
        <w:tabs>
          <w:tab w:leader="none" w:pos="146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the Plan or this Award Agreement, the Option will vest as provided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 Notice.</w:t>
      </w:r>
    </w:p>
    <w:p>
      <w:pPr>
        <w:spacing w:after="0" w:line="201" w:lineRule="exact"/>
        <w:rPr>
          <w:rFonts w:ascii="Arial" w:cs="Arial" w:eastAsia="Arial" w:hAnsi="Arial"/>
          <w:sz w:val="19"/>
          <w:szCs w:val="19"/>
          <w:color w:val="auto"/>
        </w:rPr>
      </w:pPr>
    </w:p>
    <w:p>
      <w:pPr>
        <w:ind w:left="1460" w:hanging="804"/>
        <w:spacing w:after="0"/>
        <w:tabs>
          <w:tab w:leader="none" w:pos="14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Exercise of the Option</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i w:val="1"/>
          <w:iCs w:val="1"/>
          <w:color w:val="auto"/>
        </w:rPr>
        <w:t>2.1 Method of Exercise</w:t>
      </w:r>
      <w:r>
        <w:rPr>
          <w:rFonts w:ascii="Arial" w:cs="Arial" w:eastAsia="Arial" w:hAnsi="Arial"/>
          <w:sz w:val="19"/>
          <w:szCs w:val="19"/>
          <w:color w:val="auto"/>
        </w:rPr>
        <w:t>. You may exercise the vested portion of the Option (provided the Fair Market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Shares exercised exceeds the exercise price) at any time prior to the expiration of the Option (as described in Section 4 below) by delivering a notice of exercise in such form as may be designated by the Company from time to time, or making the required electronic election with the Company’s designated broker, and paying the exercise price and any Tax-Related Items (as defined in Section 5 below) to the Company’s stock plan administrator or such other person as the Company may designate, together with such additional documents as the Company may then require pursuant to the terms of the Plan.</w:t>
      </w:r>
    </w:p>
    <w:p>
      <w:pPr>
        <w:spacing w:after="0" w:line="147"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i w:val="1"/>
          <w:iCs w:val="1"/>
          <w:color w:val="auto"/>
        </w:rPr>
        <w:t>2.2</w:t>
      </w:r>
      <w:r>
        <w:rPr>
          <w:sz w:val="20"/>
          <w:szCs w:val="20"/>
          <w:color w:val="auto"/>
        </w:rPr>
        <w:tab/>
      </w:r>
      <w:r>
        <w:rPr>
          <w:rFonts w:ascii="Arial" w:cs="Arial" w:eastAsia="Arial" w:hAnsi="Arial"/>
          <w:sz w:val="19"/>
          <w:szCs w:val="19"/>
          <w:i w:val="1"/>
          <w:iCs w:val="1"/>
          <w:color w:val="auto"/>
        </w:rPr>
        <w:t>Method of Payment</w:t>
      </w:r>
      <w:r>
        <w:rPr>
          <w:rFonts w:ascii="Arial" w:cs="Arial" w:eastAsia="Arial" w:hAnsi="Arial"/>
          <w:sz w:val="19"/>
          <w:szCs w:val="19"/>
          <w:color w:val="auto"/>
        </w:rPr>
        <w:t>. Payment of the exercise price may be made by one of the methods available under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Company’s exercise procedures, which may include:</w:t>
      </w:r>
    </w:p>
    <w:p>
      <w:pPr>
        <w:spacing w:after="0" w:line="215" w:lineRule="exact"/>
        <w:rPr>
          <w:sz w:val="20"/>
          <w:szCs w:val="20"/>
          <w:color w:val="auto"/>
        </w:rPr>
      </w:pPr>
    </w:p>
    <w:p>
      <w:pPr>
        <w:ind w:left="2380" w:hanging="427"/>
        <w:spacing w:after="0"/>
        <w:tabs>
          <w:tab w:leader="none" w:pos="23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Payment by cash or check.</w:t>
      </w:r>
    </w:p>
    <w:p>
      <w:pPr>
        <w:spacing w:after="0" w:line="233" w:lineRule="exact"/>
        <w:rPr>
          <w:rFonts w:ascii="Arial" w:cs="Arial" w:eastAsia="Arial" w:hAnsi="Arial"/>
          <w:sz w:val="22"/>
          <w:szCs w:val="22"/>
          <w:color w:val="auto"/>
        </w:rPr>
      </w:pPr>
    </w:p>
    <w:p>
      <w:pPr>
        <w:ind w:firstLine="1953"/>
        <w:spacing w:after="0" w:line="358" w:lineRule="auto"/>
        <w:tabs>
          <w:tab w:leader="none" w:pos="2471" w:val="left"/>
        </w:tabs>
        <w:numPr>
          <w:ilvl w:val="0"/>
          <w:numId w:val="78"/>
        </w:numPr>
        <w:rPr>
          <w:rFonts w:ascii="Arial" w:cs="Arial" w:eastAsia="Arial" w:hAnsi="Arial"/>
          <w:sz w:val="19"/>
          <w:szCs w:val="19"/>
          <w:color w:val="auto"/>
        </w:rPr>
      </w:pPr>
      <w:r>
        <w:rPr>
          <w:rFonts w:ascii="Arial" w:cs="Arial" w:eastAsia="Arial" w:hAnsi="Arial"/>
          <w:sz w:val="19"/>
          <w:szCs w:val="19"/>
          <w:color w:val="auto"/>
        </w:rPr>
        <w:t>Payment by transfer to the Company of whole Shares you already own having a Fair Market Value determined at the time of exercise of the Option equal to, but not exceeding, the exercise price and any Tax-Related Items.</w:t>
      </w:r>
    </w:p>
    <w:p>
      <w:pPr>
        <w:spacing w:after="0" w:line="90" w:lineRule="exact"/>
        <w:rPr>
          <w:rFonts w:ascii="Arial" w:cs="Arial" w:eastAsia="Arial" w:hAnsi="Arial"/>
          <w:sz w:val="19"/>
          <w:szCs w:val="19"/>
          <w:color w:val="auto"/>
        </w:rPr>
      </w:pPr>
    </w:p>
    <w:p>
      <w:pPr>
        <w:jc w:val="both"/>
        <w:ind w:firstLine="1953"/>
        <w:spacing w:after="0" w:line="254" w:lineRule="auto"/>
        <w:tabs>
          <w:tab w:leader="none" w:pos="23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“same day sale” transaction pursuant to which a third party (engaged by you or the Company) loans funds to you to enable you to purchase Shares and pay any Tax-Related Items, and then sells a sufficient number of the exercised Shares on your behalf to enable you to repay the loan and any fees. The remaining Shares and/or cash are then delivered by the third party to you.</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17"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“net exercise” transaction, pursuant to which the Company delivers to you the net number of whole Shares remaining from the portion of the Option being exercised after deduction of a number of Shares with a Fair Market Value equal to the exercise price and any Tax-Related Items.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6675802-v</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82" w:right="239" w:bottom="1440" w:gutter="0" w:footer="0" w:header="0"/>
        </w:sectPr>
      </w:pPr>
    </w:p>
    <w:bookmarkStart w:id="71" w:name="page72"/>
    <w:bookmarkEnd w:id="71"/>
    <w:p>
      <w:pPr>
        <w:jc w:val="both"/>
        <w:ind w:firstLine="648"/>
        <w:spacing w:after="0" w:line="290" w:lineRule="auto"/>
        <w:rPr>
          <w:sz w:val="20"/>
          <w:szCs w:val="20"/>
          <w:color w:val="auto"/>
        </w:rPr>
      </w:pPr>
      <w:r>
        <w:rPr>
          <w:rFonts w:ascii="Arial" w:cs="Arial" w:eastAsia="Arial" w:hAnsi="Arial"/>
          <w:sz w:val="19"/>
          <w:szCs w:val="19"/>
          <w:color w:val="auto"/>
        </w:rPr>
        <w:t>The Company may suspend, or eliminate, various forms of permissible payment of the exercise price from time to time in its sole discretion. Further, notwithstanding any provision within this Award Agreement to the contrary, if you are resident or provide services outside of the United States, the Administrator may require that you (or in the event of your death, your legal representative, as the case may be) exercise the Option in a method other than as specified above, may require you to exercise the Option only by means of a “same day sale” transaction (either a “sell-all” transaction or a “sell-to-cover” transaction) as it determines in its sole discretion, or may require you to sell any Shares you acquire under the Plan immediately or within a specified period following your termination of service from the Company or any of its Affiliates (in which case, you hereby agree that the Company shall have the authority to issue sale instructions in relation to such Shares on your behalf).</w:t>
      </w:r>
    </w:p>
    <w:p>
      <w:pPr>
        <w:spacing w:after="0" w:line="157"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i w:val="1"/>
          <w:iCs w:val="1"/>
          <w:color w:val="auto"/>
        </w:rPr>
        <w:t>2.3 Responsibility for Exercise</w:t>
      </w:r>
      <w:r>
        <w:rPr>
          <w:rFonts w:ascii="Arial" w:cs="Arial" w:eastAsia="Arial" w:hAnsi="Arial"/>
          <w:sz w:val="19"/>
          <w:szCs w:val="19"/>
          <w:color w:val="auto"/>
        </w:rPr>
        <w:t>. You are responsible for taking any and all actions as may be required to exercise</w:t>
      </w:r>
      <w:r>
        <w:rPr>
          <w:rFonts w:ascii="Arial" w:cs="Arial" w:eastAsia="Arial" w:hAnsi="Arial"/>
          <w:sz w:val="19"/>
          <w:szCs w:val="19"/>
          <w:i w:val="1"/>
          <w:iCs w:val="1"/>
          <w:color w:val="auto"/>
        </w:rPr>
        <w:t xml:space="preserve"> </w:t>
      </w:r>
      <w:r>
        <w:rPr>
          <w:rFonts w:ascii="Arial" w:cs="Arial" w:eastAsia="Arial" w:hAnsi="Arial"/>
          <w:sz w:val="19"/>
          <w:szCs w:val="19"/>
          <w:color w:val="auto"/>
        </w:rPr>
        <w:t>the Option in a timely manner and for properly executing any such documents as may be required for exercise in accordance with such rules and procedures as may be established from time to time. By accepting the Option you acknowledge that information regarding the procedures and requirements for the exercise of the Option is available to you on request. Neither the Company nor any Affiliate shall have any duty or obligation to notify you of the expiration date of the Option.</w:t>
      </w:r>
    </w:p>
    <w:p>
      <w:pPr>
        <w:spacing w:after="0" w:line="14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i w:val="1"/>
          <w:iCs w:val="1"/>
          <w:color w:val="auto"/>
        </w:rPr>
        <w:t>2.4 No Fractional Shares</w:t>
      </w:r>
      <w:r>
        <w:rPr>
          <w:rFonts w:ascii="Arial" w:cs="Arial" w:eastAsia="Arial" w:hAnsi="Arial"/>
          <w:sz w:val="22"/>
          <w:szCs w:val="22"/>
          <w:color w:val="auto"/>
        </w:rPr>
        <w:t>. Only whole Shares will be issuable pursuant to the Option; any fractional Share</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issuable under the Option will be rounded up to the nearest whole Share.</w:t>
      </w:r>
    </w:p>
    <w:p>
      <w:pPr>
        <w:spacing w:after="0" w:line="161" w:lineRule="exact"/>
        <w:rPr>
          <w:sz w:val="20"/>
          <w:szCs w:val="20"/>
          <w:color w:val="auto"/>
        </w:rPr>
      </w:pPr>
    </w:p>
    <w:p>
      <w:pPr>
        <w:jc w:val="both"/>
        <w:ind w:firstLine="656"/>
        <w:spacing w:after="0" w:line="251" w:lineRule="auto"/>
        <w:tabs>
          <w:tab w:leader="none" w:pos="103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w:t>
      </w:r>
      <w:r>
        <w:rPr>
          <w:rFonts w:ascii="Arial" w:cs="Arial" w:eastAsia="Arial" w:hAnsi="Arial"/>
          <w:sz w:val="22"/>
          <w:szCs w:val="22"/>
          <w:color w:val="auto"/>
        </w:rPr>
        <w:t>. Subject to earlier termination of the Option as otherwise provided herein and unless otherwise provided in the Grant Notice or the Plan, the Option shall be exercisable after your termination of service (for any reason except for Cause) with the Company or any of its Affiliate, for up to 90 days after your termination date or, if earlier, the expiration of the Option. Exceptions are made for termination of service due to reasons of death, Retirement, Disability or a Covered Termination in accordance with the terms of the Plan.</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your service with the Company or any of its Affiliates terminates for Cause, the Option (whether or not then vested) shall terminate in its entirety no later than your last day of service. In addition, if after your service terminates, the Company determines that it or an Affiliate could have terminated your service for Cause had all relevant facts been known at the time of your termination, then the Company may terminate the Option (whether vested or unvested) immediately upon such determination, and you will be prohibited from exercising the Option thereafter. In such event, you will be notified of the termination of the Option.</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Further, for purposes of the Option,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(a) your right to vest in the Option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your period of service would not include any contractual notice period or any period of “garden leave” or similar period mandated under employment laws in the jurisdiction where you provide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2" w:name="page73"/>
    <w:bookmarkEnd w:id="72"/>
    <w:p>
      <w:pPr>
        <w:jc w:val="both"/>
        <w:spacing w:after="0" w:line="247" w:lineRule="auto"/>
        <w:rPr>
          <w:sz w:val="20"/>
          <w:szCs w:val="20"/>
          <w:color w:val="auto"/>
        </w:rPr>
      </w:pPr>
      <w:r>
        <w:rPr>
          <w:rFonts w:ascii="Arial" w:cs="Arial" w:eastAsia="Arial" w:hAnsi="Arial"/>
          <w:sz w:val="22"/>
          <w:szCs w:val="22"/>
          <w:color w:val="auto"/>
        </w:rPr>
        <w:t>services or the terms of your employment or service agreement, if any); and (b) the period (if any) during which you may exercise the Option after such termination of service will commence on the date you cease active service and will not be extended by any notice period mandated under employment laws in the jurisdiction where you provide services or the terms of your employment or service agreement, if any; the Company shall have the exclusive discretion to determine when you have ceased active service for purposes of your Option grant (including whether you may still be considered to be providing services while on a leave of absence).</w:t>
      </w:r>
    </w:p>
    <w:p>
      <w:pPr>
        <w:spacing w:after="0" w:line="194" w:lineRule="exact"/>
        <w:rPr>
          <w:sz w:val="20"/>
          <w:szCs w:val="20"/>
          <w:color w:val="auto"/>
        </w:rPr>
      </w:pPr>
    </w:p>
    <w:p>
      <w:pPr>
        <w:ind w:firstLine="656"/>
        <w:spacing w:after="0" w:line="276" w:lineRule="auto"/>
        <w:tabs>
          <w:tab w:leader="none" w:pos="105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Term of the Option</w:t>
      </w:r>
      <w:r>
        <w:rPr>
          <w:rFonts w:ascii="Arial" w:cs="Arial" w:eastAsia="Arial" w:hAnsi="Arial"/>
          <w:sz w:val="22"/>
          <w:szCs w:val="22"/>
          <w:color w:val="auto"/>
        </w:rPr>
        <w:t>. The term of the Option commences on the Date of Grant (as specified in the Grant Notice) and expires upon the earliest of:</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Expiration Date indicated in the Grant Notice; or</w:t>
      </w:r>
    </w:p>
    <w:p>
      <w:pPr>
        <w:spacing w:after="0" w:line="233" w:lineRule="exact"/>
        <w:rPr>
          <w:rFonts w:ascii="Arial" w:cs="Arial" w:eastAsia="Arial" w:hAnsi="Arial"/>
          <w:sz w:val="22"/>
          <w:szCs w:val="22"/>
          <w:color w:val="auto"/>
        </w:rPr>
      </w:pPr>
    </w:p>
    <w:p>
      <w:pPr>
        <w:ind w:firstLine="1305"/>
        <w:spacing w:after="0" w:line="276" w:lineRule="auto"/>
        <w:tabs>
          <w:tab w:leader="none" w:pos="1728"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last day for exercising the Option following your termination of service as described in Section 3 above (the “Option Expiration Date”).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an administrative matter, the vested portion of the Option may be exercised only until the close of the New York Stock Exchange (“NYSE”) on the applicable date indicated in this Section 4 or, if such date is not a trading day on the NYSE, the last trading day before such date. The Option shall no longer be exercisable after the Option Expirate Date and any later attempt to exercise the Option will not be honored.</w:t>
      </w:r>
    </w:p>
    <w:p>
      <w:pPr>
        <w:spacing w:after="0" w:line="188" w:lineRule="exact"/>
        <w:rPr>
          <w:sz w:val="20"/>
          <w:szCs w:val="20"/>
          <w:color w:val="auto"/>
        </w:rPr>
      </w:pPr>
    </w:p>
    <w:p>
      <w:pPr>
        <w:jc w:val="both"/>
        <w:ind w:firstLine="656"/>
        <w:spacing w:after="0" w:line="288" w:lineRule="auto"/>
        <w:tabs>
          <w:tab w:leader="none" w:pos="104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You acknowledge that, regardless of any action taken by the Company 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exercise of the Option either through a voluntary sale or through a mandatory sale arranged by the Company (on your behalf pursuant to this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21"/>
          <w:szCs w:val="21"/>
          <w:color w:val="auto"/>
        </w:rPr>
        <w:t>authorization without further consent); (iii) withholding from the Shares to be delivered upon exercise of the Option that number of Shares having a Fair Market Value equal to the amount required by law to be withheld; or (iv) permitting you to tender back to the Company a number of Shares delivered upon exercise of the Option or Shares previously owned by you having a Fair Market Value equal to the amount required by law to be withheld. For purposes of the foregoing, no fractional Share will be withheld or issued pursuant to the grant of the Option and the issuance of Shares hereunder.</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statutory withholding rates (as determined by the Company in good faith and in its sold discretion) or other applicable withholding rates, including maximum applicable rates, in which case you will receive a refund from the relevant taxing authority of any over-withheld amount in cash and will have no entitlement to the share equivalent. If the obligation for Tax-Related Items is satisfied by withholding from the Shares to be delivered upon exercise of the Option, for tax purposes, you are deemed to have been issued the full number of Shares subject to the exercised Option, notwithstanding that a number of Shares are held back solely for the purpose of paying the Tax-Related Items.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w:t>
      </w:r>
    </w:p>
    <w:p>
      <w:pPr>
        <w:spacing w:after="0" w:line="176" w:lineRule="exact"/>
        <w:rPr>
          <w:sz w:val="20"/>
          <w:szCs w:val="20"/>
          <w:color w:val="auto"/>
        </w:rPr>
      </w:pPr>
    </w:p>
    <w:p>
      <w:pPr>
        <w:jc w:val="both"/>
        <w:ind w:firstLine="656"/>
        <w:spacing w:after="0" w:line="307" w:lineRule="auto"/>
        <w:tabs>
          <w:tab w:leader="none" w:pos="107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The Option and any Shares issued under the Option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spacing w:after="0" w:line="138" w:lineRule="exact"/>
        <w:rPr>
          <w:rFonts w:ascii="Arial" w:cs="Arial" w:eastAsia="Arial" w:hAnsi="Arial"/>
          <w:sz w:val="19"/>
          <w:szCs w:val="19"/>
          <w:color w:val="auto"/>
        </w:rPr>
      </w:pPr>
    </w:p>
    <w:p>
      <w:pPr>
        <w:jc w:val="both"/>
        <w:ind w:firstLine="656"/>
        <w:spacing w:after="0" w:line="251" w:lineRule="auto"/>
        <w:tabs>
          <w:tab w:leader="none" w:pos="115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Non-Solicitation and Non-Disparagement</w:t>
      </w:r>
      <w:r>
        <w:rPr>
          <w:rFonts w:ascii="Arial" w:cs="Arial" w:eastAsia="Arial" w:hAnsi="Arial"/>
          <w:sz w:val="22"/>
          <w:szCs w:val="22"/>
          <w:color w:val="auto"/>
        </w:rPr>
        <w:t>. As a condition to the receipt of the Option, you expressly agree to the terms and conditions in the Confidentiality, Non-Competition, Non-Solicitation and Non-Disparagement Agreement attached hereto as Exhibit A. In addition to any remedies available to the Company under Section 5 of Exhibit A, any violation of the terms and conditions of Exhibit A will result in a rescission of the Option made under this Award Agreement and a forfeiture of rights you have with respect thereto.</w:t>
      </w:r>
    </w:p>
    <w:p>
      <w:pPr>
        <w:spacing w:after="0" w:line="189" w:lineRule="exact"/>
        <w:rPr>
          <w:rFonts w:ascii="Arial" w:cs="Arial" w:eastAsia="Arial" w:hAnsi="Arial"/>
          <w:sz w:val="22"/>
          <w:szCs w:val="22"/>
          <w:color w:val="auto"/>
        </w:rPr>
      </w:pPr>
    </w:p>
    <w:p>
      <w:pPr>
        <w:jc w:val="both"/>
        <w:ind w:firstLine="656"/>
        <w:spacing w:after="0" w:line="297" w:lineRule="auto"/>
        <w:tabs>
          <w:tab w:leader="none" w:pos="100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Option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Option. The Company may impose such restrictions on any Shares issued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4" w:name="page75"/>
    <w:bookmarkEnd w:id="74"/>
    <w:p>
      <w:pPr>
        <w:spacing w:after="0" w:line="263" w:lineRule="auto"/>
        <w:rPr>
          <w:sz w:val="20"/>
          <w:szCs w:val="20"/>
          <w:color w:val="auto"/>
        </w:rPr>
      </w:pPr>
      <w:r>
        <w:rPr>
          <w:rFonts w:ascii="Arial" w:cs="Arial" w:eastAsia="Arial" w:hAnsi="Arial"/>
          <w:sz w:val="22"/>
          <w:szCs w:val="22"/>
          <w:color w:val="auto"/>
        </w:rPr>
        <w:t>under the Plan as the Company determines necessary or desirable to comply with all applicable laws, rules and regulations or requirements.</w:t>
      </w:r>
    </w:p>
    <w:p>
      <w:pPr>
        <w:spacing w:after="0" w:line="175" w:lineRule="exact"/>
        <w:rPr>
          <w:sz w:val="20"/>
          <w:szCs w:val="20"/>
          <w:color w:val="auto"/>
        </w:rPr>
      </w:pPr>
    </w:p>
    <w:p>
      <w:pPr>
        <w:jc w:val="both"/>
        <w:ind w:firstLine="656"/>
        <w:spacing w:after="0" w:line="307" w:lineRule="auto"/>
        <w:tabs>
          <w:tab w:leader="none" w:pos="112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your Option shall be exercisable during your lifetime only by you or your guardian or legal representative or permitted transferee.</w:t>
      </w:r>
    </w:p>
    <w:p>
      <w:pPr>
        <w:spacing w:after="0" w:line="138" w:lineRule="exact"/>
        <w:rPr>
          <w:rFonts w:ascii="Arial" w:cs="Arial" w:eastAsia="Arial" w:hAnsi="Arial"/>
          <w:sz w:val="19"/>
          <w:szCs w:val="19"/>
          <w:color w:val="auto"/>
        </w:rPr>
      </w:pPr>
    </w:p>
    <w:p>
      <w:pPr>
        <w:ind w:firstLine="656"/>
        <w:spacing w:after="0" w:line="276" w:lineRule="auto"/>
        <w:tabs>
          <w:tab w:leader="none" w:pos="117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Shareholder Rights</w:t>
      </w:r>
      <w:r>
        <w:rPr>
          <w:rFonts w:ascii="Arial" w:cs="Arial" w:eastAsia="Arial" w:hAnsi="Arial"/>
          <w:sz w:val="22"/>
          <w:szCs w:val="22"/>
          <w:color w:val="auto"/>
        </w:rPr>
        <w:t>. You shall not have any voting rights or any other rights and privileges of a shareholder of the Company unless and until Shares are issued upon exercise of the Option.</w:t>
      </w:r>
    </w:p>
    <w:p>
      <w:pPr>
        <w:spacing w:after="0" w:line="160" w:lineRule="exact"/>
        <w:rPr>
          <w:rFonts w:ascii="Arial" w:cs="Arial" w:eastAsia="Arial" w:hAnsi="Arial"/>
          <w:sz w:val="22"/>
          <w:szCs w:val="22"/>
          <w:color w:val="auto"/>
        </w:rPr>
      </w:pPr>
    </w:p>
    <w:p>
      <w:pPr>
        <w:jc w:val="both"/>
        <w:ind w:firstLine="656"/>
        <w:spacing w:after="0" w:line="259" w:lineRule="auto"/>
        <w:tabs>
          <w:tab w:leader="none" w:pos="1104"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Insider Trading and/or Market Abuse</w:t>
      </w:r>
      <w:r>
        <w:rPr>
          <w:rFonts w:ascii="Arial" w:cs="Arial" w:eastAsia="Arial" w:hAnsi="Arial"/>
          <w:sz w:val="21"/>
          <w:szCs w:val="21"/>
          <w:color w:val="auto"/>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Options)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spacing w:after="0" w:line="181" w:lineRule="exact"/>
        <w:rPr>
          <w:rFonts w:ascii="Arial" w:cs="Arial" w:eastAsia="Arial" w:hAnsi="Arial"/>
          <w:sz w:val="21"/>
          <w:szCs w:val="21"/>
          <w:color w:val="auto"/>
        </w:rPr>
      </w:pPr>
    </w:p>
    <w:p>
      <w:pPr>
        <w:jc w:val="both"/>
        <w:ind w:firstLine="656"/>
        <w:spacing w:after="0" w:line="290" w:lineRule="auto"/>
        <w:tabs>
          <w:tab w:leader="none" w:pos="117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For U.S. taxpayers, it is the intent that the Option as set forth in this Award Agreement shall qualify for exemption from or comply with the requirements of Section 409A of the Code, and any ambiguities herein will be interpreted to so qualify or comply.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Option provided under this Award Agreement will be exempt from or comply with Section 409A of the Code and makes no undertaking to preclude Section 409A from applying to the Option. The Company will have no liability to you or any other party if the Option, the delivery of Shares upon exercise of the Option or other payment hereunder that is intended to be exempt from, or compliant with, Section 409A of the Code, is not so exempt or compliant or for any action taken by the Company with respect thereto.</w:t>
      </w:r>
    </w:p>
    <w:p>
      <w:pPr>
        <w:spacing w:after="0" w:line="155" w:lineRule="exact"/>
        <w:rPr>
          <w:rFonts w:ascii="Arial" w:cs="Arial" w:eastAsia="Arial" w:hAnsi="Arial"/>
          <w:sz w:val="19"/>
          <w:szCs w:val="19"/>
          <w:color w:val="auto"/>
        </w:rPr>
      </w:pPr>
    </w:p>
    <w:p>
      <w:pPr>
        <w:jc w:val="both"/>
        <w:ind w:firstLine="656"/>
        <w:spacing w:after="0" w:line="260" w:lineRule="auto"/>
        <w:tabs>
          <w:tab w:leader="none" w:pos="109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You hereby consent to receive such documents by electronic delivery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22"/>
          <w:szCs w:val="22"/>
          <w:color w:val="auto"/>
        </w:rPr>
        <w:t>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spacing w:after="0" w:line="159" w:lineRule="exact"/>
        <w:rPr>
          <w:sz w:val="20"/>
          <w:szCs w:val="20"/>
          <w:color w:val="auto"/>
        </w:rPr>
      </w:pPr>
    </w:p>
    <w:p>
      <w:pPr>
        <w:ind w:left="1100" w:hanging="444"/>
        <w:spacing w:after="0"/>
        <w:tabs>
          <w:tab w:leader="none" w:pos="11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Option, you acknowledge and agree that:</w:t>
      </w:r>
    </w:p>
    <w:p>
      <w:pPr>
        <w:spacing w:after="0" w:line="206"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in its sole discretion, at any time (subject to any limitations set forth in the Plan);</w:t>
      </w:r>
    </w:p>
    <w:p>
      <w:pPr>
        <w:spacing w:after="0" w:line="158" w:lineRule="exact"/>
        <w:rPr>
          <w:rFonts w:ascii="Arial" w:cs="Arial" w:eastAsia="Arial" w:hAnsi="Arial"/>
          <w:sz w:val="22"/>
          <w:szCs w:val="22"/>
          <w:color w:val="auto"/>
        </w:rPr>
      </w:pPr>
    </w:p>
    <w:p>
      <w:pPr>
        <w:ind w:right="20" w:firstLine="1305"/>
        <w:spacing w:after="0" w:line="343" w:lineRule="auto"/>
        <w:tabs>
          <w:tab w:leader="none" w:pos="2197"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grant of the Option is voluntary and occasional and does not create any contractual or other right to receive future grants of Options, or benefits in lieu of Options, even if Options or other awards have been granted in the past;</w:t>
      </w:r>
    </w:p>
    <w:p>
      <w:pPr>
        <w:spacing w:after="0" w:line="77" w:lineRule="exact"/>
        <w:rPr>
          <w:rFonts w:ascii="Arial" w:cs="Arial" w:eastAsia="Arial" w:hAnsi="Arial"/>
          <w:sz w:val="19"/>
          <w:szCs w:val="19"/>
          <w:color w:val="auto"/>
        </w:rPr>
      </w:pPr>
    </w:p>
    <w:p>
      <w:pPr>
        <w:ind w:left="2200" w:hanging="895"/>
        <w:spacing w:after="0"/>
        <w:tabs>
          <w:tab w:leader="none" w:pos="22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192" w:lineRule="exact"/>
        <w:rPr>
          <w:rFonts w:ascii="Arial" w:cs="Arial" w:eastAsia="Arial" w:hAnsi="Arial"/>
          <w:sz w:val="22"/>
          <w:szCs w:val="22"/>
          <w:color w:val="auto"/>
        </w:rPr>
      </w:pPr>
    </w:p>
    <w:p>
      <w:pPr>
        <w:ind w:left="2200" w:hanging="895"/>
        <w:spacing w:after="0"/>
        <w:tabs>
          <w:tab w:leader="none" w:pos="22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192" w:lineRule="exact"/>
        <w:rPr>
          <w:rFonts w:ascii="Arial" w:cs="Arial" w:eastAsia="Arial" w:hAnsi="Arial"/>
          <w:sz w:val="22"/>
          <w:szCs w:val="22"/>
          <w:color w:val="auto"/>
        </w:rPr>
      </w:pPr>
    </w:p>
    <w:p>
      <w:pPr>
        <w:jc w:val="both"/>
        <w:ind w:firstLine="1305"/>
        <w:spacing w:after="0" w:line="250" w:lineRule="auto"/>
        <w:tabs>
          <w:tab w:leader="none" w:pos="2185"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Option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w:t>
      </w:r>
    </w:p>
    <w:p>
      <w:pPr>
        <w:spacing w:after="0" w:line="161" w:lineRule="exact"/>
        <w:rPr>
          <w:rFonts w:ascii="Arial" w:cs="Arial" w:eastAsia="Arial" w:hAnsi="Arial"/>
          <w:sz w:val="22"/>
          <w:szCs w:val="22"/>
          <w:color w:val="auto"/>
        </w:rPr>
      </w:pPr>
    </w:p>
    <w:p>
      <w:pPr>
        <w:ind w:firstLine="1305"/>
        <w:spacing w:after="0" w:line="263" w:lineRule="auto"/>
        <w:tabs>
          <w:tab w:leader="none" w:pos="2161"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Option and any Shares acquired under the Plan and the income and value of the same are not intended to replace any pension rights or compensation;</w:t>
      </w:r>
    </w:p>
    <w:p>
      <w:pPr>
        <w:spacing w:after="0" w:line="147" w:lineRule="exact"/>
        <w:rPr>
          <w:rFonts w:ascii="Arial" w:cs="Arial" w:eastAsia="Arial" w:hAnsi="Arial"/>
          <w:sz w:val="22"/>
          <w:szCs w:val="22"/>
          <w:color w:val="auto"/>
        </w:rPr>
      </w:pPr>
    </w:p>
    <w:p>
      <w:pPr>
        <w:jc w:val="both"/>
        <w:ind w:firstLine="1305"/>
        <w:spacing w:after="0" w:line="302" w:lineRule="auto"/>
        <w:tabs>
          <w:tab w:leader="none" w:pos="2197"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spacing w:after="0" w:line="115" w:lineRule="exact"/>
        <w:rPr>
          <w:rFonts w:ascii="Arial" w:cs="Arial" w:eastAsia="Arial" w:hAnsi="Arial"/>
          <w:sz w:val="19"/>
          <w:szCs w:val="19"/>
          <w:color w:val="auto"/>
        </w:rPr>
      </w:pPr>
    </w:p>
    <w:p>
      <w:pPr>
        <w:ind w:left="2200" w:hanging="895"/>
        <w:spacing w:after="0"/>
        <w:tabs>
          <w:tab w:leader="none" w:pos="220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certainty;</w:t>
      </w:r>
    </w:p>
    <w:p>
      <w:pPr>
        <w:spacing w:after="0" w:line="174" w:lineRule="exact"/>
        <w:rPr>
          <w:rFonts w:ascii="Arial" w:cs="Arial" w:eastAsia="Arial" w:hAnsi="Arial"/>
          <w:sz w:val="21"/>
          <w:szCs w:val="21"/>
          <w:color w:val="auto"/>
        </w:rPr>
      </w:pPr>
    </w:p>
    <w:p>
      <w:pPr>
        <w:ind w:left="2160" w:hanging="855"/>
        <w:spacing w:after="0"/>
        <w:tabs>
          <w:tab w:leader="none" w:pos="21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Option will have no value;</w:t>
      </w:r>
    </w:p>
    <w:p>
      <w:pPr>
        <w:spacing w:after="0" w:line="192" w:lineRule="exact"/>
        <w:rPr>
          <w:rFonts w:ascii="Arial" w:cs="Arial" w:eastAsia="Arial" w:hAnsi="Arial"/>
          <w:sz w:val="22"/>
          <w:szCs w:val="22"/>
          <w:color w:val="auto"/>
        </w:rPr>
      </w:pPr>
    </w:p>
    <w:p>
      <w:pPr>
        <w:ind w:right="20" w:firstLine="1305"/>
        <w:spacing w:after="0" w:line="263" w:lineRule="auto"/>
        <w:tabs>
          <w:tab w:leader="none" w:pos="2149" w:val="left"/>
        </w:tabs>
        <w:numPr>
          <w:ilvl w:val="1"/>
          <w:numId w:val="84"/>
        </w:numPr>
        <w:rPr>
          <w:rFonts w:ascii="Arial" w:cs="Arial" w:eastAsia="Arial" w:hAnsi="Arial"/>
          <w:sz w:val="22"/>
          <w:szCs w:val="22"/>
          <w:color w:val="auto"/>
        </w:rPr>
      </w:pPr>
      <w:r>
        <w:rPr>
          <w:rFonts w:ascii="Arial" w:cs="Arial" w:eastAsia="Arial" w:hAnsi="Arial"/>
          <w:sz w:val="22"/>
          <w:szCs w:val="22"/>
          <w:color w:val="auto"/>
        </w:rPr>
        <w:t>if you exercise the Option and acquire Shares, the value of such Shares may increase or decrease in value, even below the exercise price;</w:t>
      </w:r>
    </w:p>
    <w:p>
      <w:pPr>
        <w:spacing w:after="0" w:line="147" w:lineRule="exact"/>
        <w:rPr>
          <w:rFonts w:ascii="Arial" w:cs="Arial" w:eastAsia="Arial" w:hAnsi="Arial"/>
          <w:sz w:val="22"/>
          <w:szCs w:val="22"/>
          <w:color w:val="auto"/>
        </w:rPr>
      </w:pPr>
    </w:p>
    <w:p>
      <w:pPr>
        <w:jc w:val="both"/>
        <w:ind w:firstLine="1305"/>
        <w:spacing w:after="0" w:line="250" w:lineRule="auto"/>
        <w:tabs>
          <w:tab w:leader="none" w:pos="2197" w:val="left"/>
        </w:tabs>
        <w:numPr>
          <w:ilvl w:val="1"/>
          <w:numId w:val="8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Option resulting from termination of your service (for any reason whatsoever and whether or not in breach of local labor laws or later found invalid), and in consideration of the grant of the Option to which you are otherwise not entitled, you irrevocably agree never to institute any claim against the Company, any of its Affiliates, or the Employer, waive your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ability, if any, to bring any such claim, and release the Company, its Affiliates and the Employer from any such claim;</w:t>
      </w:r>
    </w:p>
    <w:p>
      <w:pPr>
        <w:spacing w:after="0" w:line="166" w:lineRule="exact"/>
        <w:rPr>
          <w:sz w:val="20"/>
          <w:szCs w:val="20"/>
          <w:color w:val="auto"/>
        </w:rPr>
      </w:pPr>
    </w:p>
    <w:p>
      <w:pPr>
        <w:jc w:val="both"/>
        <w:ind w:firstLine="1305"/>
        <w:spacing w:after="0" w:line="250" w:lineRule="auto"/>
        <w:tabs>
          <w:tab w:leader="none" w:pos="2149"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Option and the benefits evidenced by this Award Agreement do not create any entitlement not otherwise specifically provided for in the Plan or provided by the Company in its discretion, to have the Option or any such benefits transferred to, or assumed by, another company, nor to be exchanged, cashed out or substituted for, in connection with any corporate transaction affecting the Shares; and</w:t>
      </w:r>
    </w:p>
    <w:p>
      <w:pPr>
        <w:spacing w:after="0" w:line="134" w:lineRule="exact"/>
        <w:rPr>
          <w:rFonts w:ascii="Arial" w:cs="Arial" w:eastAsia="Arial" w:hAnsi="Arial"/>
          <w:sz w:val="22"/>
          <w:szCs w:val="22"/>
          <w:color w:val="auto"/>
        </w:rPr>
      </w:pPr>
    </w:p>
    <w:p>
      <w:pPr>
        <w:jc w:val="both"/>
        <w:ind w:firstLine="1305"/>
        <w:spacing w:after="0" w:line="250" w:lineRule="auto"/>
        <w:tabs>
          <w:tab w:leader="none" w:pos="22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you are employed or providing services outside the United States, neither the Company nor any of its Affiliates shall be liable for any foreign exchange rate fluctuation between your local currency and the U.S. dollar that may affect the value of the Option or of any amounts due to you pursuant to the settlement of the Option or the subsequent sale of any Shares acquired upon settlement of the Option.</w:t>
      </w:r>
    </w:p>
    <w:p>
      <w:pPr>
        <w:spacing w:after="0" w:line="134" w:lineRule="exact"/>
        <w:rPr>
          <w:rFonts w:ascii="Arial" w:cs="Arial" w:eastAsia="Arial" w:hAnsi="Arial"/>
          <w:sz w:val="22"/>
          <w:szCs w:val="22"/>
          <w:color w:val="auto"/>
        </w:rPr>
      </w:pPr>
    </w:p>
    <w:p>
      <w:pPr>
        <w:jc w:val="both"/>
        <w:ind w:firstLine="656"/>
        <w:spacing w:after="0" w:line="250" w:lineRule="auto"/>
        <w:tabs>
          <w:tab w:leader="none" w:pos="117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xml:space="preserve">. </w:t>
      </w:r>
      <w:r>
        <w:rPr>
          <w:rFonts w:ascii="Arial" w:cs="Arial" w:eastAsia="Arial" w:hAnsi="Arial"/>
          <w:sz w:val="22"/>
          <w:szCs w:val="22"/>
          <w:i w:val="1"/>
          <w:iCs w:val="1"/>
          <w:color w:val="auto"/>
        </w:rPr>
        <w:t>You hereby explicitly and unambiguously consent to the collection, use and transfer, in electronic or</w:t>
      </w:r>
      <w:r>
        <w:rPr>
          <w:rFonts w:ascii="Arial" w:cs="Arial" w:eastAsia="Arial" w:hAnsi="Arial"/>
          <w:sz w:val="22"/>
          <w:szCs w:val="22"/>
          <w:color w:val="auto"/>
        </w:rPr>
        <w:t xml:space="preserve"> </w:t>
      </w:r>
      <w:r>
        <w:rPr>
          <w:rFonts w:ascii="Arial" w:cs="Arial" w:eastAsia="Arial" w:hAnsi="Arial"/>
          <w:sz w:val="22"/>
          <w:szCs w:val="22"/>
          <w:i w:val="1"/>
          <w:iCs w:val="1"/>
          <w:color w:val="auto"/>
        </w:rPr>
        <w:t>other form, of your personal data as described in this Award Agreement, the Grant Notice and any other Option grant materials by and among, as necessary and applicable, the Company or any of its Affiliates, for the exclusive purpose of implementing, administering and managing your participation in the Plan. If there is a conflict between this Section 15 and the Company’s existing policies and/or data protection charters, the terms of this Section 15 will prevail with respect to issues related to the Option and the Plan.</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i w:val="1"/>
          <w:iCs w:val="1"/>
          <w:color w:val="auto"/>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Option or any other entitlement to Shares canceled, exercised, vested, unvested or outstanding in your favor (“Data”) for the purpose of implementing, administering and managing the Plan.</w:t>
      </w:r>
    </w:p>
    <w:p>
      <w:pPr>
        <w:spacing w:after="0" w:line="1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i w:val="1"/>
          <w:iCs w:val="1"/>
          <w:color w:val="auto"/>
        </w:rPr>
        <w:t>You understand that Data will be transferred to Fidelity Stock Plan Services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4" w:right="239" w:bottom="1440" w:gutter="0" w:footer="0" w:header="0"/>
        </w:sectPr>
      </w:pPr>
    </w:p>
    <w:bookmarkStart w:id="77" w:name="page78"/>
    <w:bookmarkEnd w:id="77"/>
    <w:p>
      <w:pPr>
        <w:jc w:val="both"/>
        <w:spacing w:after="0" w:line="250" w:lineRule="auto"/>
        <w:rPr>
          <w:sz w:val="20"/>
          <w:szCs w:val="20"/>
          <w:color w:val="auto"/>
        </w:rPr>
      </w:pPr>
      <w:r>
        <w:rPr>
          <w:rFonts w:ascii="Arial" w:cs="Arial" w:eastAsia="Arial" w:hAnsi="Arial"/>
          <w:sz w:val="22"/>
          <w:szCs w:val="22"/>
          <w:i w:val="1"/>
          <w:iCs w:val="1"/>
          <w:color w:val="auto"/>
        </w:rPr>
        <w:t>consent, or if you later seek to revoke your consent, your service status and career will not be affected; the only consequence of refusing or withdrawing your consent is that the Company would not be able to grant Options or other equity awards to you or administer or maintain such awards. Therefore, you understand that refusing or withdrawing your consent may affect your ability to participate in the Plan.</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For more information on the consequences of your refusal to consent or withdrawal of consent, you understand that you may contact your local human resources representative.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94" w:lineRule="exact"/>
        <w:rPr>
          <w:sz w:val="20"/>
          <w:szCs w:val="20"/>
          <w:color w:val="auto"/>
        </w:rPr>
      </w:pPr>
    </w:p>
    <w:p>
      <w:pPr>
        <w:jc w:val="both"/>
        <w:ind w:firstLine="656"/>
        <w:spacing w:after="0" w:line="270" w:lineRule="auto"/>
        <w:tabs>
          <w:tab w:leader="none" w:pos="1112"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Not a Public Offering</w:t>
      </w:r>
      <w:r>
        <w:rPr>
          <w:rFonts w:ascii="Arial" w:cs="Arial" w:eastAsia="Arial" w:hAnsi="Arial"/>
          <w:sz w:val="21"/>
          <w:szCs w:val="21"/>
          <w:color w:val="auto"/>
        </w:rPr>
        <w:t>. If you are a resident outside of the United States, the grant of the Option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Option is not subject to the supervision of the local securities authorities.</w:t>
      </w:r>
    </w:p>
    <w:p>
      <w:pPr>
        <w:spacing w:after="0" w:line="169" w:lineRule="exact"/>
        <w:rPr>
          <w:rFonts w:ascii="Arial" w:cs="Arial" w:eastAsia="Arial" w:hAnsi="Arial"/>
          <w:sz w:val="21"/>
          <w:szCs w:val="21"/>
          <w:color w:val="auto"/>
        </w:rPr>
      </w:pPr>
    </w:p>
    <w:p>
      <w:pPr>
        <w:jc w:val="both"/>
        <w:ind w:firstLine="656"/>
        <w:spacing w:after="0" w:line="251" w:lineRule="auto"/>
        <w:tabs>
          <w:tab w:leader="none" w:pos="109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Option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6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179"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w:t>
      </w:r>
      <w:r>
        <w:rPr>
          <w:rFonts w:ascii="Arial" w:cs="Arial" w:eastAsia="Arial" w:hAnsi="Arial"/>
          <w:sz w:val="19"/>
          <w:szCs w:val="19"/>
          <w:color w:val="auto"/>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8" w:name="page79"/>
    <w:bookmarkEnd w:id="78"/>
    <w:p>
      <w:pPr>
        <w:jc w:val="both"/>
        <w:ind w:firstLine="656"/>
        <w:spacing w:after="0" w:line="297" w:lineRule="auto"/>
        <w:tabs>
          <w:tab w:leader="none" w:pos="115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Addendum</w:t>
      </w:r>
      <w:r>
        <w:rPr>
          <w:rFonts w:ascii="Arial" w:cs="Arial" w:eastAsia="Arial" w:hAnsi="Arial"/>
          <w:sz w:val="19"/>
          <w:szCs w:val="19"/>
          <w:color w:val="auto"/>
        </w:rPr>
        <w:t>. Notwithstanding any provisions in this Award Agreement, the Option shall be subject to any special terms and conditions set forth in the Addendum to the Award Agreement,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spacing w:after="0" w:line="146" w:lineRule="exact"/>
        <w:rPr>
          <w:rFonts w:ascii="Arial" w:cs="Arial" w:eastAsia="Arial" w:hAnsi="Arial"/>
          <w:sz w:val="19"/>
          <w:szCs w:val="19"/>
          <w:color w:val="auto"/>
        </w:rPr>
      </w:pPr>
    </w:p>
    <w:p>
      <w:pPr>
        <w:jc w:val="both"/>
        <w:ind w:firstLine="656"/>
        <w:spacing w:after="0" w:line="270" w:lineRule="auto"/>
        <w:tabs>
          <w:tab w:leader="none" w:pos="109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Option,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69" w:lineRule="exact"/>
        <w:rPr>
          <w:rFonts w:ascii="Arial" w:cs="Arial" w:eastAsia="Arial" w:hAnsi="Arial"/>
          <w:sz w:val="21"/>
          <w:szCs w:val="21"/>
          <w:color w:val="auto"/>
        </w:rPr>
      </w:pPr>
    </w:p>
    <w:p>
      <w:pPr>
        <w:jc w:val="both"/>
        <w:ind w:firstLine="656"/>
        <w:spacing w:after="0" w:line="254" w:lineRule="auto"/>
        <w:tabs>
          <w:tab w:leader="none" w:pos="116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11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Governing Plan Document</w:t>
      </w:r>
      <w:r>
        <w:rPr>
          <w:rFonts w:ascii="Arial" w:cs="Arial" w:eastAsia="Arial" w:hAnsi="Arial"/>
          <w:sz w:val="19"/>
          <w:szCs w:val="19"/>
          <w:color w:val="auto"/>
        </w:rPr>
        <w:t>. The Option is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By accepting the Option, you confirm that you have read and understood the Award Agreement, the Plan, the Plan prospectus and related information provided to you and that you accept the terms of those documents accordingly.</w:t>
      </w:r>
    </w:p>
    <w:p>
      <w:pPr>
        <w:spacing w:after="0" w:line="146" w:lineRule="exact"/>
        <w:rPr>
          <w:rFonts w:ascii="Arial" w:cs="Arial" w:eastAsia="Arial" w:hAnsi="Arial"/>
          <w:sz w:val="19"/>
          <w:szCs w:val="19"/>
          <w:color w:val="auto"/>
        </w:rPr>
      </w:pPr>
    </w:p>
    <w:p>
      <w:pPr>
        <w:jc w:val="both"/>
        <w:ind w:right="20" w:firstLine="656"/>
        <w:spacing w:after="0" w:line="254" w:lineRule="auto"/>
        <w:tabs>
          <w:tab w:leader="none" w:pos="116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139"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The Option and the provisions of this Award Agreement are governed by, and subject to, the laws of the state of Minnesota, U.S.A. without regard to the conflict of law provisions. For purposes of any action, lawsuit or other proceedings brought to enforce this Award Agreement, relating to it, or arising from it, the parties hereby submit to and consent to the sole and exclusive jurisdiction of the courts of the United States District Court for the District of Minnesota or any of the courts of the state of Minnesota, U.S.A.</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79" w:name="page80"/>
    <w:bookmarkEnd w:id="79"/>
    <w:p>
      <w:pPr>
        <w:jc w:val="both"/>
        <w:ind w:firstLine="656"/>
        <w:spacing w:after="0" w:line="260" w:lineRule="auto"/>
        <w:tabs>
          <w:tab w:leader="none" w:pos="1125"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rFonts w:ascii="Arial" w:cs="Arial" w:eastAsia="Arial" w:hAnsi="Arial"/>
          <w:sz w:val="22"/>
          <w:szCs w:val="22"/>
          <w:color w:val="auto"/>
        </w:rPr>
      </w:pPr>
    </w:p>
    <w:p>
      <w:pPr>
        <w:ind w:left="6800"/>
        <w:spacing w:after="0"/>
        <w:rPr>
          <w:rFonts w:ascii="Arial" w:cs="Arial" w:eastAsia="Arial" w:hAnsi="Arial"/>
          <w:sz w:val="22"/>
          <w:szCs w:val="22"/>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80" w:name="page81"/>
    <w:bookmarkEnd w:id="80"/>
    <w:p>
      <w:pPr>
        <w:ind w:left="514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CONFIDENTIALITY, NON-COMPETITION,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AND NON-DISPARAGEMENT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result of your intimate familiarity with proprietary and confidential information of the Company, the Award Agreement is subject to the restrictions set forth below. Any violation of these provisions will result in a rescission of the Option made under the Award Agreement and a forfeiture of any rights you have with respect thereto, as well as the remedies that are described in Section 5 hereof.</w:t>
      </w:r>
    </w:p>
    <w:p>
      <w:pPr>
        <w:spacing w:after="0" w:line="188" w:lineRule="exact"/>
        <w:rPr>
          <w:sz w:val="20"/>
          <w:szCs w:val="20"/>
          <w:color w:val="auto"/>
        </w:rPr>
      </w:pPr>
    </w:p>
    <w:p>
      <w:pPr>
        <w:jc w:val="both"/>
        <w:ind w:firstLine="656"/>
        <w:spacing w:after="0" w:line="291" w:lineRule="auto"/>
        <w:tabs>
          <w:tab w:leader="none" w:pos="107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agree that you will treat during your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54" w:lineRule="exact"/>
        <w:rPr>
          <w:rFonts w:ascii="Arial" w:cs="Arial" w:eastAsia="Arial" w:hAnsi="Arial"/>
          <w:sz w:val="19"/>
          <w:szCs w:val="19"/>
          <w:color w:val="auto"/>
        </w:rPr>
      </w:pPr>
    </w:p>
    <w:p>
      <w:pPr>
        <w:ind w:left="180" w:right="160" w:firstLine="638"/>
        <w:spacing w:after="0" w:line="250" w:lineRule="auto"/>
        <w:tabs>
          <w:tab w:leader="none" w:pos="117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You agree that, for a 12 month period (24 month period, if you are a Section 16 Participant at the time of your termination of employment) following your termination of service (voluntary or involuntary) from the Company or any of its Affiliates, you will not, for yourself or any third party, directly or indirectly, (i) solicit or accept competitive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You agree that engaging in any of the following activities will be a violation of the above paragraph: (1) soliciting for a hire or soliciting for retainer as an independent consultant or as contingent worker any employee of the Company or its Affiliates; (2) participating in the recruitment of any employee of the Company or its Affiliates; (3) serving as a reference for an employee of the Company or its Affiliates; (4) offering an opinion regarding the candidacy as a potential employee, independent consultant or contingent worker of an individual employed by the Company or its Affiliates; (5) assisting or encouraging any third party to pursue an employee of the Company or its Affiliates for potential employment, independent consulting or contingent worker opportunities; or (6) assisting or encouraging any employee of the Company or its Affiliates to leave their current position in order to be an employee, independent consultant or contingent worker for a third party.</w:t>
      </w:r>
    </w:p>
    <w:p>
      <w:pPr>
        <w:spacing w:after="0" w:line="184" w:lineRule="exact"/>
        <w:rPr>
          <w:sz w:val="20"/>
          <w:szCs w:val="20"/>
          <w:color w:val="auto"/>
        </w:rPr>
      </w:pPr>
    </w:p>
    <w:p>
      <w:pPr>
        <w:ind w:left="180" w:right="260" w:firstLine="638"/>
        <w:spacing w:after="0" w:line="276" w:lineRule="auto"/>
        <w:tabs>
          <w:tab w:leader="none" w:pos="117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You agree that, for a 12 month period (24 month period, if you are a Section 16 Participant at the time of your termination of employment) following your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69" w:right="239" w:bottom="1440" w:gutter="0" w:footer="0" w:header="0"/>
        </w:sectPr>
      </w:pPr>
    </w:p>
    <w:bookmarkStart w:id="81" w:name="page82"/>
    <w:bookmarkEnd w:id="81"/>
    <w:p>
      <w:pPr>
        <w:ind w:right="20"/>
        <w:spacing w:after="0" w:line="258" w:lineRule="auto"/>
        <w:rPr>
          <w:sz w:val="20"/>
          <w:szCs w:val="20"/>
          <w:color w:val="auto"/>
        </w:rPr>
      </w:pPr>
      <w:r>
        <w:rPr>
          <w:rFonts w:ascii="Arial" w:cs="Arial" w:eastAsia="Arial" w:hAnsi="Arial"/>
          <w:sz w:val="21"/>
          <w:szCs w:val="21"/>
          <w:color w:val="auto"/>
        </w:rPr>
        <w:t>termination (voluntary or involuntary) from the Company or an Affiliate, you will not, for yourself or for any third party, directly or indirectly, in whole or in part, provide services, whether as an employee, employer, owner, operator, manager, advisor, consultant, agent, partner, director, shareholder, officer, volunteer, intern, or any other similar capacity, to any entity anywhere in the world engaged in a business that is competitive with the Company or its Affiliates. Notwithstanding the prior sentence, you are not prohibited from providing services to a competing entity if: (i) the duties and services provided by you to the competitor are not, in whole or in part, substantially similar to the duties and services you provided to the Company or its Affiliates; and (ii) the duties and services provided by you to the competitor are not reasonably likely to cause you to reveal trade secrets, know-how, customer lists, customer contracts, customer needs, business strategies, marketing strategies, product development, proprietary information and confidential information concerning the business of the Company or its Affiliates. Nothing in this Award Agreement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spacing w:after="0" w:line="180" w:lineRule="exact"/>
        <w:rPr>
          <w:sz w:val="20"/>
          <w:szCs w:val="20"/>
          <w:color w:val="auto"/>
        </w:rPr>
      </w:pPr>
    </w:p>
    <w:p>
      <w:pPr>
        <w:jc w:val="both"/>
        <w:ind w:firstLine="656"/>
        <w:spacing w:after="0" w:line="250" w:lineRule="auto"/>
        <w:tabs>
          <w:tab w:leader="none" w:pos="101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085"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By accepting the Option, you agree that in light of the award conferred to you under this Award Agreement, the narrow and restrictive covenants imposed above are reasonable and will not result in any hardship to you. Further, you acknowledge and agree that a breach of any obligation under this Award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Award Agreement,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this Award Agreement, including, but not limited to, the cash or Shares awarded. In addition to the foregoing, the Company shall be entitled to collect from you any reasonable attorney’s fees and costs occurred in brining any action against you or otherwise to enforce the terms of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1420"/>
          </w:cols>
          <w:pgMar w:left="240" w:top="375" w:right="239" w:bottom="1440" w:gutter="0" w:footer="0" w:header="0"/>
        </w:sectPr>
      </w:pPr>
    </w:p>
    <w:bookmarkStart w:id="82" w:name="page83"/>
    <w:bookmarkEnd w:id="82"/>
    <w:p>
      <w:pPr>
        <w:jc w:val="center"/>
        <w:ind w:right="-120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[ADDENDUM TO STOCK OPTION AWARD AGREEMENT]</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[COUNTRY-SPECIFIC TERMS AND CONDITIONS]</w:t>
      </w: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13</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4811-3697-4171.2</w:t>
      </w:r>
    </w:p>
    <w:p>
      <w:pPr>
        <w:sectPr>
          <w:pgSz w:w="11900" w:h="16838" w:orient="portrait"/>
          <w:cols w:equalWidth="0" w:num="1">
            <w:col w:w="10219"/>
          </w:cols>
          <w:pgMar w:left="240" w:top="625"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2012 STOCK AND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Pursuant to the notice of grant (the “Grant Notice”) and this Performance Stock Unit Award Agreement, including any country-specific terms in the applicable addendum hereto (the “Addendum”) (together, this “Award Agreement”), Pentair plc (the “Company”) has granted to you Performance Stock Units (“PSUs”) with respect to the number of ordinary shares of the Company (“Shares”) specified in the Grant Notice. Capitalized terms not defined in this Award Agreement but defined in the Pentair plc 2012 Stock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spacing w:after="0" w:line="181" w:lineRule="exact"/>
        <w:rPr>
          <w:sz w:val="20"/>
          <w:szCs w:val="20"/>
          <w:color w:val="auto"/>
        </w:rPr>
      </w:pPr>
    </w:p>
    <w:p>
      <w:pPr>
        <w:ind w:left="1460" w:hanging="804"/>
        <w:spacing w:after="0"/>
        <w:tabs>
          <w:tab w:leader="none" w:pos="146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the Plan or this Award Agreement, the PSUs will vest as provided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 Notice.</w:t>
      </w:r>
    </w:p>
    <w:p>
      <w:pPr>
        <w:spacing w:after="0" w:line="201" w:lineRule="exact"/>
        <w:rPr>
          <w:rFonts w:ascii="Arial" w:cs="Arial" w:eastAsia="Arial" w:hAnsi="Arial"/>
          <w:sz w:val="19"/>
          <w:szCs w:val="19"/>
          <w:color w:val="auto"/>
        </w:rPr>
      </w:pPr>
    </w:p>
    <w:p>
      <w:pPr>
        <w:jc w:val="both"/>
        <w:ind w:firstLine="656"/>
        <w:spacing w:after="0" w:line="300" w:lineRule="auto"/>
        <w:tabs>
          <w:tab w:leader="none" w:pos="100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Settlement of PSUs</w:t>
      </w:r>
      <w:r>
        <w:rPr>
          <w:rFonts w:ascii="Arial" w:cs="Arial" w:eastAsia="Arial" w:hAnsi="Arial"/>
          <w:sz w:val="19"/>
          <w:szCs w:val="19"/>
          <w:color w:val="auto"/>
        </w:rPr>
        <w:t>. The Company shall deliver to you a whole number of Shares equal to the number of PSUs (if any) that vest pursuant to this Award Agreement, subject to withholding of any Tax-Related Items (as defined in Section 6 below). Such delivery shall take place (i) as soon as practicable following the date the Committee certifies the achievement of the performance goal(s) described in the Grant Notice (or other communication to you), if applicable, but in no event more than 75 days after the end of the performance period, or (ii) within 30 days after the vesting date if such certification is not necessary.</w:t>
      </w:r>
    </w:p>
    <w:p>
      <w:pPr>
        <w:spacing w:after="0" w:line="14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foregoing, if you are resident or provide services outside of the United States, the Company, in its sole discretion, may provide for the settlement of the PSUs in the form of:</w:t>
      </w:r>
    </w:p>
    <w:p>
      <w:pPr>
        <w:spacing w:after="0" w:line="175" w:lineRule="exact"/>
        <w:rPr>
          <w:sz w:val="20"/>
          <w:szCs w:val="20"/>
          <w:color w:val="auto"/>
        </w:rPr>
      </w:pPr>
    </w:p>
    <w:p>
      <w:pPr>
        <w:jc w:val="both"/>
        <w:ind w:firstLine="1305"/>
        <w:spacing w:after="0" w:line="248" w:lineRule="auto"/>
        <w:tabs>
          <w:tab w:leader="none" w:pos="1998"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cash payment in an amount equal to the Fair Market Value of the Shares as of the vesting date that correspond to the number of vested PSUs,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072" w:val="left"/>
        </w:tabs>
        <w:numPr>
          <w:ilvl w:val="1"/>
          <w:numId w:val="94"/>
        </w:numPr>
        <w:rPr>
          <w:rFonts w:ascii="Arial" w:cs="Arial" w:eastAsia="Arial" w:hAnsi="Arial"/>
          <w:sz w:val="22"/>
          <w:szCs w:val="22"/>
          <w:color w:val="auto"/>
        </w:rPr>
      </w:pPr>
      <w:r>
        <w:rPr>
          <w:rFonts w:ascii="Arial" w:cs="Arial" w:eastAsia="Arial" w:hAnsi="Arial"/>
          <w:sz w:val="22"/>
          <w:szCs w:val="22"/>
          <w:color w:val="auto"/>
        </w:rPr>
        <w:t>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spacing w:after="0" w:line="185" w:lineRule="exact"/>
        <w:rPr>
          <w:rFonts w:ascii="Arial" w:cs="Arial" w:eastAsia="Arial" w:hAnsi="Arial"/>
          <w:sz w:val="22"/>
          <w:szCs w:val="22"/>
          <w:color w:val="auto"/>
        </w:rPr>
      </w:pPr>
    </w:p>
    <w:p>
      <w:pPr>
        <w:ind w:firstLine="656"/>
        <w:spacing w:after="0" w:line="276" w:lineRule="auto"/>
        <w:tabs>
          <w:tab w:leader="none" w:pos="100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 Fractional Shares</w:t>
      </w:r>
      <w:r>
        <w:rPr>
          <w:rFonts w:ascii="Arial" w:cs="Arial" w:eastAsia="Arial" w:hAnsi="Arial"/>
          <w:sz w:val="22"/>
          <w:szCs w:val="22"/>
          <w:color w:val="auto"/>
        </w:rPr>
        <w:t>. Only whole Shares will be issuable pursuant to the PSUs; any fractional Share otherwise issuable under the PSUs will be rounded up to the nearst whole Share.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0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w:t>
      </w:r>
      <w:r>
        <w:rPr>
          <w:rFonts w:ascii="Arial" w:cs="Arial" w:eastAsia="Arial" w:hAnsi="Arial"/>
          <w:sz w:val="22"/>
          <w:szCs w:val="22"/>
          <w:color w:val="auto"/>
        </w:rPr>
        <w:t>. Unless otherwise provided in the Grant Notice or the Plan, in the event of termination of your service with the Company or any of its Affiliates for any reason (whether voluntarily or involuntarily), all your unvested PSUs will be cancelled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667584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342" w:right="2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and forfeited. Exceptions are made for termination of service due to death, Retirement, Disability or a Covered Termination, as follows:</w:t>
      </w:r>
    </w:p>
    <w:p>
      <w:pPr>
        <w:spacing w:after="0" w:line="134" w:lineRule="exact"/>
        <w:rPr>
          <w:sz w:val="20"/>
          <w:szCs w:val="20"/>
          <w:color w:val="auto"/>
        </w:rPr>
      </w:pPr>
    </w:p>
    <w:p>
      <w:pPr>
        <w:ind w:right="220" w:firstLine="1305"/>
        <w:spacing w:after="0" w:line="276" w:lineRule="auto"/>
        <w:tabs>
          <w:tab w:leader="none" w:pos="1716"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you are a Board-appointed officer either at the beginning of the performance period (or date of grant of this award, if later) or at the date of your termination, then the terms of the Plan apply to your PSUs.</w:t>
      </w:r>
    </w:p>
    <w:p>
      <w:pPr>
        <w:spacing w:after="0" w:line="120" w:lineRule="exact"/>
        <w:rPr>
          <w:rFonts w:ascii="Arial" w:cs="Arial" w:eastAsia="Arial" w:hAnsi="Arial"/>
          <w:sz w:val="22"/>
          <w:szCs w:val="22"/>
          <w:color w:val="auto"/>
        </w:rPr>
      </w:pPr>
    </w:p>
    <w:p>
      <w:pPr>
        <w:ind w:left="1740" w:hanging="435"/>
        <w:spacing w:after="0"/>
        <w:tabs>
          <w:tab w:leader="none" w:pos="17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you are not a Board-appointed officer as described above, then:</w:t>
      </w:r>
    </w:p>
    <w:p>
      <w:pPr>
        <w:spacing w:after="0" w:line="192" w:lineRule="exact"/>
        <w:rPr>
          <w:rFonts w:ascii="Arial" w:cs="Arial" w:eastAsia="Arial" w:hAnsi="Arial"/>
          <w:sz w:val="22"/>
          <w:szCs w:val="22"/>
          <w:color w:val="auto"/>
        </w:rPr>
      </w:pPr>
    </w:p>
    <w:p>
      <w:pPr>
        <w:ind w:left="1300" w:right="40" w:firstLine="1301"/>
        <w:spacing w:after="0" w:line="276" w:lineRule="auto"/>
        <w:tabs>
          <w:tab w:leader="none" w:pos="29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If your termination is due to death or Disability, then the PSUs will be considered vested as if the target performance goals had been met as of the date of such termination; or</w:t>
      </w:r>
    </w:p>
    <w:p>
      <w:pPr>
        <w:spacing w:after="0" w:line="120" w:lineRule="exact"/>
        <w:rPr>
          <w:rFonts w:ascii="Arial" w:cs="Arial" w:eastAsia="Arial" w:hAnsi="Arial"/>
          <w:sz w:val="22"/>
          <w:szCs w:val="22"/>
          <w:color w:val="auto"/>
        </w:rPr>
      </w:pPr>
    </w:p>
    <w:p>
      <w:pPr>
        <w:ind w:left="1300" w:right="260" w:firstLine="1301"/>
        <w:spacing w:after="0" w:line="278" w:lineRule="auto"/>
        <w:tabs>
          <w:tab w:leader="none" w:pos="3040" w:val="left"/>
        </w:tabs>
        <w:numPr>
          <w:ilvl w:val="1"/>
          <w:numId w:val="96"/>
        </w:numPr>
        <w:rPr>
          <w:rFonts w:ascii="Arial" w:cs="Arial" w:eastAsia="Arial" w:hAnsi="Arial"/>
          <w:sz w:val="21"/>
          <w:szCs w:val="21"/>
          <w:color w:val="auto"/>
        </w:rPr>
      </w:pPr>
      <w:r>
        <w:rPr>
          <w:rFonts w:ascii="Arial" w:cs="Arial" w:eastAsia="Arial" w:hAnsi="Arial"/>
          <w:sz w:val="21"/>
          <w:szCs w:val="21"/>
          <w:color w:val="auto"/>
        </w:rPr>
        <w:t>If your termination is due to Retirement or a Covered Termination, then the PSUs will be considered vested as if the target performance goals had been met as of the date of such termination, but pro-rated based on the portion of the performance period during which you were employed.</w:t>
      </w:r>
    </w:p>
    <w:p>
      <w:pPr>
        <w:spacing w:after="0" w:line="1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For purposes of the PSUs,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PSUs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PSU grant (including whether you may still be considered to be providing services while on a leave of absence).</w:t>
      </w:r>
    </w:p>
    <w:p>
      <w:pPr>
        <w:spacing w:after="0" w:line="117" w:lineRule="exact"/>
        <w:rPr>
          <w:sz w:val="20"/>
          <w:szCs w:val="20"/>
          <w:color w:val="auto"/>
        </w:rPr>
      </w:pPr>
    </w:p>
    <w:p>
      <w:pPr>
        <w:jc w:val="both"/>
        <w:ind w:firstLine="656"/>
        <w:spacing w:after="0" w:line="270" w:lineRule="auto"/>
        <w:tabs>
          <w:tab w:leader="none" w:pos="1031"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Dividend Equivalent Units</w:t>
      </w:r>
      <w:r>
        <w:rPr>
          <w:rFonts w:ascii="Arial" w:cs="Arial" w:eastAsia="Arial" w:hAnsi="Arial"/>
          <w:sz w:val="21"/>
          <w:szCs w:val="21"/>
          <w:color w:val="auto"/>
        </w:rPr>
        <w:t>. With respect to record dates occurring from and after the Date of Grant until the date that the PSUs are settled, you will be entitled to a cash payment equal to any cash dividend or cash distribution that would have been paid on the PSUs had the PSUs been issued and outstanding Shares on the record date for such dividend or distribution. Dividend Equivalent Units are not eligible for dividend reinvestment during the vesting period.</w:t>
      </w:r>
    </w:p>
    <w:p>
      <w:pPr>
        <w:spacing w:after="0" w:line="128" w:lineRule="exact"/>
        <w:rPr>
          <w:rFonts w:ascii="Arial" w:cs="Arial" w:eastAsia="Arial" w:hAnsi="Arial"/>
          <w:sz w:val="21"/>
          <w:szCs w:val="21"/>
          <w:color w:val="auto"/>
        </w:rPr>
      </w:pPr>
    </w:p>
    <w:p>
      <w:pPr>
        <w:ind w:right="20" w:firstLine="1305"/>
        <w:spacing w:after="0" w:line="263" w:lineRule="auto"/>
        <w:tabs>
          <w:tab w:leader="none" w:pos="1839" w:val="left"/>
        </w:tabs>
        <w:numPr>
          <w:ilvl w:val="1"/>
          <w:numId w:val="97"/>
        </w:numPr>
        <w:rPr>
          <w:rFonts w:ascii="Arial" w:cs="Arial" w:eastAsia="Arial" w:hAnsi="Arial"/>
          <w:sz w:val="22"/>
          <w:szCs w:val="22"/>
          <w:color w:val="auto"/>
        </w:rPr>
      </w:pPr>
      <w:r>
        <w:rPr>
          <w:rFonts w:ascii="Arial" w:cs="Arial" w:eastAsia="Arial" w:hAnsi="Arial"/>
          <w:sz w:val="22"/>
          <w:szCs w:val="22"/>
          <w:color w:val="auto"/>
        </w:rPr>
        <w:t>If you are a United States taxpayer, payment of the Dividend Equivalent Units will be made to you in cash as soon as practicable after the dividend payment date set forth by the Company’s Board of Directors.</w:t>
      </w:r>
    </w:p>
    <w:p>
      <w:pPr>
        <w:spacing w:after="0" w:line="134" w:lineRule="exact"/>
        <w:rPr>
          <w:rFonts w:ascii="Arial" w:cs="Arial" w:eastAsia="Arial" w:hAnsi="Arial"/>
          <w:sz w:val="22"/>
          <w:szCs w:val="22"/>
          <w:color w:val="auto"/>
        </w:rPr>
      </w:pPr>
    </w:p>
    <w:p>
      <w:pPr>
        <w:jc w:val="both"/>
        <w:ind w:firstLine="1305"/>
        <w:spacing w:after="0" w:line="253" w:lineRule="auto"/>
        <w:tabs>
          <w:tab w:leader="none" w:pos="1819" w:val="left"/>
        </w:tabs>
        <w:numPr>
          <w:ilvl w:val="1"/>
          <w:numId w:val="97"/>
        </w:numPr>
        <w:rPr>
          <w:rFonts w:ascii="Arial" w:cs="Arial" w:eastAsia="Arial" w:hAnsi="Arial"/>
          <w:sz w:val="22"/>
          <w:szCs w:val="22"/>
          <w:color w:val="auto"/>
        </w:rPr>
      </w:pPr>
      <w:r>
        <w:rPr>
          <w:rFonts w:ascii="Arial" w:cs="Arial" w:eastAsia="Arial" w:hAnsi="Arial"/>
          <w:sz w:val="22"/>
          <w:szCs w:val="22"/>
          <w:color w:val="auto"/>
        </w:rPr>
        <w:t>If you are not a United States taxpayer, Dividend Equivalent Units will accrue on your unvested PSUs over the vesting period, and you will be paid in cash at the same time the related PSUs vest. If you forfeit your unvested PSUs, then the related accrued Dividend Equivalent Units will also be forfeited.</w:t>
      </w:r>
    </w:p>
    <w:p>
      <w:pPr>
        <w:spacing w:after="0" w:line="145" w:lineRule="exact"/>
        <w:rPr>
          <w:rFonts w:ascii="Arial" w:cs="Arial" w:eastAsia="Arial" w:hAnsi="Arial"/>
          <w:sz w:val="22"/>
          <w:szCs w:val="22"/>
          <w:color w:val="auto"/>
        </w:rPr>
      </w:pPr>
    </w:p>
    <w:p>
      <w:pPr>
        <w:jc w:val="both"/>
        <w:ind w:firstLine="656"/>
        <w:spacing w:after="0" w:line="260" w:lineRule="auto"/>
        <w:tabs>
          <w:tab w:leader="none" w:pos="10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You acknowledge that, regardless of any action taken by the Company or, if different, the Affiliate that employs you (the “Employer”), the ultimate liability for all income tax, social insurance, payroll tax, fringe benefits tax, payment on account or other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85" w:name="page86"/>
    <w:bookmarkEnd w:id="85"/>
    <w:p>
      <w:pPr>
        <w:jc w:val="both"/>
        <w:spacing w:after="0" w:line="288" w:lineRule="auto"/>
        <w:rPr>
          <w:sz w:val="20"/>
          <w:szCs w:val="20"/>
          <w:color w:val="auto"/>
        </w:rPr>
      </w:pPr>
      <w:r>
        <w:rPr>
          <w:rFonts w:ascii="Arial" w:cs="Arial" w:eastAsia="Arial" w:hAnsi="Arial"/>
          <w:sz w:val="19"/>
          <w:szCs w:val="19"/>
          <w:color w:val="auto"/>
        </w:rPr>
        <w:t>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or dividend equivalents; and (b) do not commit to and are under no obligation to structure the terms of the grant or any aspect of the PSUs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1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PSUs either through a voluntary sale or through a mandatory sale arranged by the Company (on your behalf pursuant to this authorization without further consent);</w:t>
      </w:r>
    </w:p>
    <w:p>
      <w:pPr>
        <w:spacing w:after="0" w:line="1" w:lineRule="exact"/>
        <w:rPr>
          <w:sz w:val="20"/>
          <w:szCs w:val="20"/>
          <w:color w:val="auto"/>
        </w:rPr>
      </w:pPr>
    </w:p>
    <w:p>
      <w:pPr>
        <w:jc w:val="both"/>
        <w:ind w:firstLine="8"/>
        <w:spacing w:after="0" w:line="244" w:lineRule="auto"/>
        <w:tabs>
          <w:tab w:leader="none" w:pos="394" w:val="left"/>
        </w:tabs>
        <w:numPr>
          <w:ilvl w:val="0"/>
          <w:numId w:val="98"/>
        </w:numPr>
        <w:rPr>
          <w:rFonts w:ascii="Arial" w:cs="Arial" w:eastAsia="Arial" w:hAnsi="Arial"/>
          <w:sz w:val="22"/>
          <w:szCs w:val="22"/>
          <w:color w:val="auto"/>
        </w:rPr>
      </w:pPr>
      <w:r>
        <w:rPr>
          <w:rFonts w:ascii="Arial" w:cs="Arial" w:eastAsia="Arial" w:hAnsi="Arial"/>
          <w:sz w:val="22"/>
          <w:szCs w:val="22"/>
          <w:color w:val="auto"/>
        </w:rPr>
        <w:t>withholding from the Shares to be delivered upon settlement of the PSUs that number of Shares having a Fair Market Value equal to the amount required by law to be withheld; or (iv) permitting you to tender back to the Company a number of Shares delivered upon settlement of the PSUs or Shares previously owned by you having a Fair Market Value equal to the amount required by law to be withheld. For purposes of the foregoing, no fractional Share will be withheld or issued pursuant to the grant of the PSUs and the issuance of Shares hereunder. Notwithstanding the foregoing, if you are a Section 16 Participant, your withholding obligations shall be satisfied as described in clause (iii) above, unless the Committee approves another form of payment for such Tax-Related Items.</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statutory withholding rates (as determined by the Company in good faith and in its sold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PSUs, for tax purposes, you are deemed to have been issued the full number of Shares subject to the vested PSUs, notwithstanding that a number of Shares are held back solely for the purpose of paying the Tax-Related Items.</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Related Items. You will have no further rights with respect to any Shares that are retained by the Company pursuant to this provision.</w:t>
      </w:r>
    </w:p>
    <w:p>
      <w:pPr>
        <w:spacing w:after="0" w:line="134" w:lineRule="exact"/>
        <w:rPr>
          <w:sz w:val="20"/>
          <w:szCs w:val="20"/>
          <w:color w:val="auto"/>
        </w:rPr>
      </w:pPr>
    </w:p>
    <w:p>
      <w:pPr>
        <w:jc w:val="both"/>
        <w:ind w:firstLine="656"/>
        <w:spacing w:after="0" w:line="251" w:lineRule="auto"/>
        <w:tabs>
          <w:tab w:leader="none" w:pos="1071"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The PSUs (and any compensation paid or Shares issued under the PSUs)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spacing w:after="0" w:line="189" w:lineRule="exact"/>
        <w:rPr>
          <w:rFonts w:ascii="Arial" w:cs="Arial" w:eastAsia="Arial" w:hAnsi="Arial"/>
          <w:sz w:val="22"/>
          <w:szCs w:val="22"/>
          <w:color w:val="auto"/>
        </w:rPr>
      </w:pPr>
    </w:p>
    <w:p>
      <w:pPr>
        <w:jc w:val="both"/>
        <w:ind w:firstLine="656"/>
        <w:spacing w:after="0" w:line="251" w:lineRule="auto"/>
        <w:tabs>
          <w:tab w:leader="none" w:pos="100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Non-Solicitation and Non-Disparagement</w:t>
      </w:r>
      <w:r>
        <w:rPr>
          <w:rFonts w:ascii="Arial" w:cs="Arial" w:eastAsia="Arial" w:hAnsi="Arial"/>
          <w:sz w:val="22"/>
          <w:szCs w:val="22"/>
          <w:color w:val="auto"/>
        </w:rPr>
        <w:t>. As a condition to the receipt of the PSUs, you expressly agree to the terms and conditions in the Confidentiality, Non-Competition, Non-Solicitation and Non-Disparagement Agreement attached hereto as Exhibit A. In addition to any remedies available to the Company under Section 5 of Exhibit A, any violation of the terms and conditions of Exhibit A will result in a rescission of the PSUs made under this Award Agreement and a forfeiture of rights you have with respect thereto.</w:t>
      </w:r>
    </w:p>
    <w:p>
      <w:pPr>
        <w:spacing w:after="0" w:line="189" w:lineRule="exact"/>
        <w:rPr>
          <w:rFonts w:ascii="Arial" w:cs="Arial" w:eastAsia="Arial" w:hAnsi="Arial"/>
          <w:sz w:val="22"/>
          <w:szCs w:val="22"/>
          <w:color w:val="auto"/>
        </w:rPr>
      </w:pPr>
    </w:p>
    <w:p>
      <w:pPr>
        <w:jc w:val="both"/>
        <w:ind w:firstLine="656"/>
        <w:spacing w:after="0" w:line="294" w:lineRule="auto"/>
        <w:tabs>
          <w:tab w:leader="none" w:pos="103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PSUs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PSUs. The Company may impose such restrictions on any Shares issued under the Plan as the Company determines necessary or desirable to comply with all applicable laws, rules and regulations or requirements.</w:t>
      </w:r>
    </w:p>
    <w:p>
      <w:pPr>
        <w:spacing w:after="0" w:line="152" w:lineRule="exact"/>
        <w:rPr>
          <w:rFonts w:ascii="Arial" w:cs="Arial" w:eastAsia="Arial" w:hAnsi="Arial"/>
          <w:sz w:val="19"/>
          <w:szCs w:val="19"/>
          <w:color w:val="auto"/>
        </w:rPr>
      </w:pPr>
    </w:p>
    <w:p>
      <w:pPr>
        <w:jc w:val="both"/>
        <w:ind w:firstLine="656"/>
        <w:spacing w:after="0" w:line="307" w:lineRule="auto"/>
        <w:tabs>
          <w:tab w:leader="none" w:pos="123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PSUs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PSUs shall be exercisable during your lifetime only by you or your guardian or legal representative or permitted transferee.</w:t>
      </w:r>
    </w:p>
    <w:p>
      <w:pPr>
        <w:spacing w:after="0" w:line="138" w:lineRule="exact"/>
        <w:rPr>
          <w:rFonts w:ascii="Arial" w:cs="Arial" w:eastAsia="Arial" w:hAnsi="Arial"/>
          <w:sz w:val="19"/>
          <w:szCs w:val="19"/>
          <w:color w:val="auto"/>
        </w:rPr>
      </w:pPr>
    </w:p>
    <w:p>
      <w:pPr>
        <w:jc w:val="both"/>
        <w:ind w:firstLine="656"/>
        <w:spacing w:after="0" w:line="320" w:lineRule="auto"/>
        <w:tabs>
          <w:tab w:leader="none" w:pos="117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You shall not have any voting rights or any other rights and privileges of a shareholder of the Company unless and until Shares (if any) are issued upon settlement of the PSUs. Prior to actual payment of any PSUs, such PSUs will represent an unsecured obligation of the Company, payable (if at all) only from the general assets of the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656"/>
        <w:spacing w:after="0" w:line="259" w:lineRule="auto"/>
        <w:tabs>
          <w:tab w:leader="none" w:pos="109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Insider Trading and/or Market Abuse</w:t>
      </w:r>
      <w:r>
        <w:rPr>
          <w:rFonts w:ascii="Arial" w:cs="Arial" w:eastAsia="Arial" w:hAnsi="Arial"/>
          <w:sz w:val="21"/>
          <w:szCs w:val="21"/>
          <w:color w:val="auto"/>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PSUs)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spacing w:after="0" w:line="181" w:lineRule="exact"/>
        <w:rPr>
          <w:rFonts w:ascii="Arial" w:cs="Arial" w:eastAsia="Arial" w:hAnsi="Arial"/>
          <w:sz w:val="21"/>
          <w:szCs w:val="21"/>
          <w:color w:val="auto"/>
        </w:rPr>
      </w:pPr>
    </w:p>
    <w:p>
      <w:pPr>
        <w:jc w:val="both"/>
        <w:ind w:firstLine="656"/>
        <w:spacing w:after="0" w:line="286" w:lineRule="auto"/>
        <w:tabs>
          <w:tab w:leader="none" w:pos="1098"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For U.S. taxpayers, it is the intent that the PSUs as set forth in this Award Agreement shall qualify for exemption from or comply with the requirements of Section 409A of the Code, and any ambiguities herein will be interpreted to so qualify or comply. Notwithstanding the foregoing, if it is determined that the PSUs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 (6) 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PSUs provided for under this Award Agreement will be exempt from or comply with Section 409A of the Code and makes no undertaking to preclude Section 409A of the Code from applying to the grant, vesting or settlement of PSUs provided for under this Award Agreement. The Company will have no liability to you or any other party if the PSUs, the delivery of Shares upon settlement of the PSUs or other payment hereunder that is intended to be exempt from, or compliant with, Section 409A of the Code, is not so exempt or compliant or for any action taken by the Company with respect thereto.</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51" w:lineRule="auto"/>
        <w:tabs>
          <w:tab w:leader="none" w:pos="10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88" w:name="page89"/>
    <w:bookmarkEnd w:id="88"/>
    <w:p>
      <w:pPr>
        <w:ind w:left="1100" w:hanging="444"/>
        <w:spacing w:after="0"/>
        <w:tabs>
          <w:tab w:leader="none" w:pos="11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PSUs, you acknowledge and agree that: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5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in its sole discretion, at any time (subject to any limitations set forth in the Plan);</w:t>
      </w:r>
    </w:p>
    <w:p>
      <w:pPr>
        <w:spacing w:after="0" w:line="177" w:lineRule="exact"/>
        <w:rPr>
          <w:rFonts w:ascii="Arial" w:cs="Arial" w:eastAsia="Arial" w:hAnsi="Arial"/>
          <w:sz w:val="22"/>
          <w:szCs w:val="22"/>
          <w:color w:val="auto"/>
        </w:rPr>
      </w:pPr>
    </w:p>
    <w:p>
      <w:pPr>
        <w:ind w:right="20" w:firstLine="1305"/>
        <w:spacing w:after="0" w:line="301" w:lineRule="auto"/>
        <w:tabs>
          <w:tab w:leader="none" w:pos="1823"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grant of PSUs is voluntary and occasional and does not create any contractual or other right to receive future grants of PSUs, or benefits in lieu of PSUs, even if PSUs or other awards have been granted in the past;</w:t>
      </w:r>
    </w:p>
    <w:p>
      <w:pPr>
        <w:spacing w:after="0" w:line="137" w:lineRule="exact"/>
        <w:rPr>
          <w:rFonts w:ascii="Arial" w:cs="Arial" w:eastAsia="Arial" w:hAnsi="Arial"/>
          <w:sz w:val="21"/>
          <w:szCs w:val="21"/>
          <w:color w:val="auto"/>
        </w:rPr>
      </w:pPr>
    </w:p>
    <w:p>
      <w:pPr>
        <w:ind w:left="1720" w:hanging="415"/>
        <w:spacing w:after="0"/>
        <w:tabs>
          <w:tab w:leader="none" w:pos="17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43"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w:t>
      </w:r>
    </w:p>
    <w:p>
      <w:pPr>
        <w:spacing w:after="0" w:line="185" w:lineRule="exact"/>
        <w:rPr>
          <w:rFonts w:ascii="Arial" w:cs="Arial" w:eastAsia="Arial" w:hAnsi="Arial"/>
          <w:sz w:val="22"/>
          <w:szCs w:val="22"/>
          <w:color w:val="auto"/>
        </w:rPr>
      </w:pPr>
    </w:p>
    <w:p>
      <w:pPr>
        <w:ind w:firstLine="1305"/>
        <w:spacing w:after="0" w:line="276" w:lineRule="auto"/>
        <w:tabs>
          <w:tab w:leader="none" w:pos="170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PSUs and the Shares, and the income and value of the same, subject to the PSUs are not intended to replace any pension rights or compensation;</w:t>
      </w:r>
    </w:p>
    <w:p>
      <w:pPr>
        <w:spacing w:after="0" w:line="160" w:lineRule="exact"/>
        <w:rPr>
          <w:rFonts w:ascii="Arial" w:cs="Arial" w:eastAsia="Arial" w:hAnsi="Arial"/>
          <w:sz w:val="22"/>
          <w:szCs w:val="22"/>
          <w:color w:val="auto"/>
        </w:rPr>
      </w:pPr>
    </w:p>
    <w:p>
      <w:pPr>
        <w:jc w:val="both"/>
        <w:ind w:firstLine="1305"/>
        <w:spacing w:after="0" w:line="307" w:lineRule="auto"/>
        <w:tabs>
          <w:tab w:leader="none" w:pos="175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PSUs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67" w:lineRule="exact"/>
        <w:rPr>
          <w:rFonts w:ascii="Arial" w:cs="Arial" w:eastAsia="Arial" w:hAnsi="Arial"/>
          <w:sz w:val="19"/>
          <w:szCs w:val="19"/>
          <w:color w:val="auto"/>
        </w:rPr>
      </w:pPr>
    </w:p>
    <w:p>
      <w:pPr>
        <w:jc w:val="both"/>
        <w:ind w:firstLine="1305"/>
        <w:spacing w:after="0" w:line="251" w:lineRule="auto"/>
        <w:tabs>
          <w:tab w:leader="none" w:pos="1788" w:val="left"/>
        </w:tabs>
        <w:numPr>
          <w:ilvl w:val="1"/>
          <w:numId w:val="10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PSUs resulting from termination of your service (for any reason whatsoever and whether or not in breach of local labor laws or later found invalid), and in consideration of the grant of the PSUs to which you are otherwise not entitled, you irrevocably agree never to institute any claim against the Company, any of its Affiliates, or the Employer, waive your ability, if any, to bring any such claim, and release the Company, its Affiliates and the Employer, from any such claim;</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7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PSUs and the benefits evidenced by this Award Agreement do not create any entitlement not otherwise specifically provided for in the Plan or provided by the Company in its discretion, to have the PSUs or any such benefits transferred to, or assumed by, another company, nor to be exchanged, cashed out or substituted for, in connection with any corporate transaction affecting the Shares; and</w:t>
      </w:r>
    </w:p>
    <w:p>
      <w:pPr>
        <w:spacing w:after="0" w:line="185" w:lineRule="exact"/>
        <w:rPr>
          <w:rFonts w:ascii="Arial" w:cs="Arial" w:eastAsia="Arial" w:hAnsi="Arial"/>
          <w:sz w:val="22"/>
          <w:szCs w:val="22"/>
          <w:color w:val="auto"/>
        </w:rPr>
      </w:pPr>
    </w:p>
    <w:p>
      <w:pPr>
        <w:ind w:firstLine="1305"/>
        <w:spacing w:after="0" w:line="276" w:lineRule="auto"/>
        <w:tabs>
          <w:tab w:leader="none" w:pos="181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if you are employed or providing services outside of the United States, neither the Company nor any of its Affiliates shall be liable for any foreign exchange rate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89" w:name="page90"/>
    <w:bookmarkEnd w:id="89"/>
    <w:p>
      <w:pPr>
        <w:spacing w:after="0" w:line="287" w:lineRule="auto"/>
        <w:rPr>
          <w:sz w:val="20"/>
          <w:szCs w:val="20"/>
          <w:color w:val="auto"/>
        </w:rPr>
      </w:pPr>
      <w:r>
        <w:rPr>
          <w:rFonts w:ascii="Arial" w:cs="Arial" w:eastAsia="Arial" w:hAnsi="Arial"/>
          <w:sz w:val="21"/>
          <w:szCs w:val="21"/>
          <w:color w:val="auto"/>
        </w:rPr>
        <w:t>fluctuation between your local currency and the U.S. dollar that may affect the value of the PSUs or any amounts due to you pursuant to the settlement of the PSUs or the subsequent sale of any Shares acquired upon settlement of the PSUs.</w:t>
      </w:r>
    </w:p>
    <w:p>
      <w:pPr>
        <w:spacing w:after="0" w:line="111" w:lineRule="exact"/>
        <w:rPr>
          <w:sz w:val="20"/>
          <w:szCs w:val="20"/>
          <w:color w:val="auto"/>
        </w:rPr>
      </w:pPr>
    </w:p>
    <w:p>
      <w:pPr>
        <w:jc w:val="both"/>
        <w:ind w:firstLine="656"/>
        <w:spacing w:after="0" w:line="250" w:lineRule="auto"/>
        <w:tabs>
          <w:tab w:leader="none" w:pos="1179" w:val="left"/>
        </w:tabs>
        <w:numPr>
          <w:ilvl w:val="0"/>
          <w:numId w:val="102"/>
        </w:numPr>
        <w:rPr>
          <w:rFonts w:ascii="Arial" w:cs="Arial" w:eastAsia="Arial" w:hAnsi="Arial"/>
          <w:sz w:val="22"/>
          <w:szCs w:val="22"/>
          <w:color w:val="auto"/>
        </w:rPr>
      </w:pPr>
      <w:r>
        <w:rPr>
          <w:rFonts w:ascii="Arial" w:cs="Arial" w:eastAsia="Arial" w:hAnsi="Arial"/>
          <w:sz w:val="22"/>
          <w:szCs w:val="22"/>
          <w:i w:val="1"/>
          <w:i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i w:val="1"/>
          <w:iCs w:val="1"/>
          <w:color w:val="auto"/>
        </w:rPr>
        <w:t xml:space="preserve"> You hereby explicitly and unambiguously consent to the collection, use and transfer, in electronic or other form, of your personal data as described in this Award Agreement, the Grant Notice and any other PSU grant materials by and among, as necessary and applicable, the Company or any of its Affiliates, for the exclusive purpose of implementing, administering and managing your participation in the Plan. If there is a conflict between this Section 16 and the Company’s existing policies and/or data protection charters, the terms of this Section 16 will prevail with respect to issues related to the PSUs and the Plan.</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i w:val="1"/>
          <w:iCs w:val="1"/>
          <w:color w:val="auto"/>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PSUs or any other entitlement to Shares, canceled, exercised, vested, unvested or outstanding in your favor (“Data”), for the purpose of implementing, administering and managing the Plan.</w:t>
      </w:r>
    </w:p>
    <w:p>
      <w:pPr>
        <w:spacing w:after="0" w:line="13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i w:val="1"/>
          <w:iCs w:val="1"/>
          <w:color w:val="auto"/>
        </w:rPr>
        <w:t>You understand that Data will be transferred to Fidelity Stock Plan Services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Arial" w:cs="Arial" w:eastAsia="Arial" w:hAnsi="Arial"/>
          <w:sz w:val="19"/>
          <w:szCs w:val="19"/>
          <w:color w:val="auto"/>
        </w:rPr>
        <w:t>e.g.</w:t>
      </w:r>
      <w:r>
        <w:rPr>
          <w:rFonts w:ascii="Arial" w:cs="Arial" w:eastAsia="Arial" w:hAnsi="Arial"/>
          <w:sz w:val="19"/>
          <w:szCs w:val="19"/>
          <w:i w:val="1"/>
          <w:iCs w:val="1"/>
          <w:color w:val="auto"/>
        </w:rPr>
        <w:t>,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PSUs or other equity awards or administer or maintain such awards. Therefore, you understand that refusing or withdrawing your consent may affect your ability to participate in the Plan.</w:t>
      </w:r>
    </w:p>
    <w:p>
      <w:pPr>
        <w:spacing w:after="0" w:line="3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For more information on the consequences of your refusal to consent or withdrawal of consent, you understand that you may contact your local human resources representative.</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Finally, upon request of the Company or the Employer, you agree to provide an executed data privacy consent form to the Company and/or the Employer (or any other agreements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90" w:name="page91"/>
    <w:bookmarkEnd w:id="90"/>
    <w:p>
      <w:pPr>
        <w:jc w:val="both"/>
        <w:spacing w:after="0" w:line="265" w:lineRule="auto"/>
        <w:rPr>
          <w:sz w:val="20"/>
          <w:szCs w:val="20"/>
          <w:color w:val="auto"/>
        </w:rPr>
      </w:pPr>
      <w:r>
        <w:rPr>
          <w:rFonts w:ascii="Arial" w:cs="Arial" w:eastAsia="Arial" w:hAnsi="Arial"/>
          <w:sz w:val="21"/>
          <w:szCs w:val="21"/>
          <w:i w:val="1"/>
          <w:iCs w:val="1"/>
          <w:color w:val="auto"/>
        </w:rPr>
        <w:t>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35" w:lineRule="exact"/>
        <w:rPr>
          <w:sz w:val="20"/>
          <w:szCs w:val="20"/>
          <w:color w:val="auto"/>
        </w:rPr>
      </w:pPr>
    </w:p>
    <w:p>
      <w:pPr>
        <w:jc w:val="both"/>
        <w:ind w:firstLine="656"/>
        <w:spacing w:after="0" w:line="270" w:lineRule="auto"/>
        <w:tabs>
          <w:tab w:leader="none" w:pos="1125"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Not a Public Offering</w:t>
      </w:r>
      <w:r>
        <w:rPr>
          <w:rFonts w:ascii="Arial" w:cs="Arial" w:eastAsia="Arial" w:hAnsi="Arial"/>
          <w:sz w:val="21"/>
          <w:szCs w:val="21"/>
          <w:color w:val="auto"/>
        </w:rPr>
        <w:t>. If you are a resident outside of the United States, the grant of the PSUs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PSUs is not subject to the supervision of the local securities authorities.</w:t>
      </w:r>
    </w:p>
    <w:p>
      <w:pPr>
        <w:spacing w:after="0" w:line="169" w:lineRule="exact"/>
        <w:rPr>
          <w:rFonts w:ascii="Arial" w:cs="Arial" w:eastAsia="Arial" w:hAnsi="Arial"/>
          <w:sz w:val="21"/>
          <w:szCs w:val="21"/>
          <w:color w:val="auto"/>
        </w:rPr>
      </w:pPr>
    </w:p>
    <w:p>
      <w:pPr>
        <w:jc w:val="both"/>
        <w:ind w:firstLine="656"/>
        <w:spacing w:after="0" w:line="251" w:lineRule="auto"/>
        <w:tabs>
          <w:tab w:leader="none" w:pos="109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PSUs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6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179"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w:t>
      </w:r>
      <w:r>
        <w:rPr>
          <w:rFonts w:ascii="Arial" w:cs="Arial" w:eastAsia="Arial" w:hAnsi="Arial"/>
          <w:sz w:val="19"/>
          <w:szCs w:val="19"/>
          <w:color w:val="auto"/>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spacing w:after="0" w:line="152" w:lineRule="exact"/>
        <w:rPr>
          <w:rFonts w:ascii="Arial" w:cs="Arial" w:eastAsia="Arial" w:hAnsi="Arial"/>
          <w:sz w:val="19"/>
          <w:szCs w:val="19"/>
          <w:color w:val="auto"/>
        </w:rPr>
      </w:pPr>
    </w:p>
    <w:p>
      <w:pPr>
        <w:jc w:val="both"/>
        <w:ind w:firstLine="656"/>
        <w:spacing w:after="0" w:line="264" w:lineRule="auto"/>
        <w:tabs>
          <w:tab w:leader="none" w:pos="1125"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Addendum</w:t>
      </w:r>
      <w:r>
        <w:rPr>
          <w:rFonts w:ascii="Arial" w:cs="Arial" w:eastAsia="Arial" w:hAnsi="Arial"/>
          <w:sz w:val="21"/>
          <w:szCs w:val="21"/>
          <w:color w:val="auto"/>
        </w:rPr>
        <w:t>. Notwithstanding any provisions in this Award Agreement, the PSUs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spacing w:after="0" w:line="175" w:lineRule="exact"/>
        <w:rPr>
          <w:rFonts w:ascii="Arial" w:cs="Arial" w:eastAsia="Arial" w:hAnsi="Arial"/>
          <w:sz w:val="21"/>
          <w:szCs w:val="21"/>
          <w:color w:val="auto"/>
        </w:rPr>
      </w:pPr>
    </w:p>
    <w:p>
      <w:pPr>
        <w:jc w:val="both"/>
        <w:ind w:firstLine="656"/>
        <w:spacing w:after="0" w:line="260" w:lineRule="auto"/>
        <w:tabs>
          <w:tab w:leader="none" w:pos="109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your participation in the Plan, on the PSUs, and on any Shares acquired under the Plan, to the extent the Company determines it is necessary or advisable in order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22"/>
          <w:szCs w:val="22"/>
          <w:color w:val="auto"/>
        </w:rPr>
        <w:t>comply with local law or facilitate the administration of the Plan, and to require you to sign any additional agreements or undertakings that may be necessary to accomplish the foregoing.</w:t>
      </w:r>
    </w:p>
    <w:p>
      <w:pPr>
        <w:spacing w:after="0" w:line="175" w:lineRule="exact"/>
        <w:rPr>
          <w:sz w:val="20"/>
          <w:szCs w:val="20"/>
          <w:color w:val="auto"/>
        </w:rPr>
      </w:pPr>
    </w:p>
    <w:p>
      <w:pPr>
        <w:jc w:val="both"/>
        <w:ind w:firstLine="656"/>
        <w:spacing w:after="0" w:line="254" w:lineRule="auto"/>
        <w:tabs>
          <w:tab w:leader="none" w:pos="116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11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Governing Plan Document</w:t>
      </w:r>
      <w:r>
        <w:rPr>
          <w:rFonts w:ascii="Arial" w:cs="Arial" w:eastAsia="Arial" w:hAnsi="Arial"/>
          <w:sz w:val="19"/>
          <w:szCs w:val="19"/>
          <w:color w:val="auto"/>
        </w:rPr>
        <w:t>. The PSUs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By accepting the PSUs, you confirm that you have read and understood the Award Agreement, the Plan, the Plan prospectus and related information provided to you and that you accept the terms of those documents accordingly.</w:t>
      </w:r>
    </w:p>
    <w:p>
      <w:pPr>
        <w:spacing w:after="0" w:line="146" w:lineRule="exact"/>
        <w:rPr>
          <w:rFonts w:ascii="Arial" w:cs="Arial" w:eastAsia="Arial" w:hAnsi="Arial"/>
          <w:sz w:val="19"/>
          <w:szCs w:val="19"/>
          <w:color w:val="auto"/>
        </w:rPr>
      </w:pPr>
    </w:p>
    <w:p>
      <w:pPr>
        <w:jc w:val="both"/>
        <w:ind w:right="20" w:firstLine="656"/>
        <w:spacing w:after="0" w:line="254" w:lineRule="auto"/>
        <w:tabs>
          <w:tab w:leader="none" w:pos="116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098"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The PSUs and the provisions of this Award Agreement are governed by, and subject to, the laws of the state of Minnesota, U.S.A. without regard to the conflict of law provisions. For purposes of any action, lawsuit or other proceedings brought to enforce this Award Agreement, relating to it, or arising from it, the parties hereby submit to and consent to the sole and exclusive jurisdiction of the United States District Court for the District of Minnesota or any of the courts of the state of Minnesota, U.S.A..</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sz w:val="20"/>
          <w:szCs w:val="20"/>
          <w:color w:val="auto"/>
        </w:rPr>
      </w:pPr>
    </w:p>
    <w:p>
      <w:pPr>
        <w:ind w:left="6800"/>
        <w:spacing w:after="0"/>
        <w:tabs>
          <w:tab w:leader="none" w:pos="7100" w:val="left"/>
          <w:tab w:leader="none" w:pos="7420" w:val="left"/>
          <w:tab w:leader="none" w:pos="7740" w:val="left"/>
        </w:tabs>
        <w:rPr>
          <w:sz w:val="20"/>
          <w:szCs w:val="20"/>
          <w:color w:val="auto"/>
        </w:rPr>
      </w:pPr>
      <w:r>
        <w:rPr>
          <w:rFonts w:ascii="Arial" w:cs="Arial" w:eastAsia="Arial" w:hAnsi="Arial"/>
          <w:sz w:val="22"/>
          <w:szCs w:val="22"/>
          <w:color w:val="auto"/>
        </w:rPr>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92" w:name="page93"/>
    <w:bookmarkEnd w:id="92"/>
    <w:p>
      <w:pPr>
        <w:ind w:left="514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PENTAIR PLC CONFIDENTIALITY, NON-COMPETITION,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AND NON-DISPARAGEMENT AGREEMENT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As a result of your intimate familiarity with proprietary and confidential information of the Company, the Award Agreement is subject to the restrictions set forth below. Any violation of these provisions will result in a rescission of the PSUs made under the Award Agreement and a forfeiture of any rights you have with respect thereto, as well as the remedies that are described in Section</w:t>
      </w:r>
    </w:p>
    <w:p>
      <w:pPr>
        <w:spacing w:after="0" w:line="1"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hereof.</w:t>
      </w:r>
    </w:p>
    <w:p>
      <w:pPr>
        <w:spacing w:after="0" w:line="201" w:lineRule="exact"/>
        <w:rPr>
          <w:rFonts w:ascii="Arial" w:cs="Arial" w:eastAsia="Arial" w:hAnsi="Arial"/>
          <w:sz w:val="22"/>
          <w:szCs w:val="22"/>
          <w:color w:val="auto"/>
        </w:rPr>
      </w:pPr>
    </w:p>
    <w:p>
      <w:pPr>
        <w:jc w:val="both"/>
        <w:ind w:left="80" w:firstLine="576"/>
        <w:spacing w:after="0" w:line="289" w:lineRule="auto"/>
        <w:tabs>
          <w:tab w:leader="none" w:pos="1431"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agree that you will treat during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57" w:lineRule="exact"/>
        <w:rPr>
          <w:rFonts w:ascii="Arial" w:cs="Arial" w:eastAsia="Arial" w:hAnsi="Arial"/>
          <w:sz w:val="19"/>
          <w:szCs w:val="19"/>
          <w:color w:val="auto"/>
        </w:rPr>
      </w:pPr>
    </w:p>
    <w:p>
      <w:pPr>
        <w:jc w:val="both"/>
        <w:ind w:left="80" w:firstLine="576"/>
        <w:spacing w:after="0" w:line="297" w:lineRule="auto"/>
        <w:tabs>
          <w:tab w:leader="none" w:pos="1431"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You agree that, for a 12 month period (24 month period, if you are a Section 16 Participant at the time of your termination of employment) following your termination (voluntary or involuntary) from the Company or any of its Affiliates, you will not, for yourself or any third party, directly or indirectly, (i) solicit or accept competitive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You agree that engaging in any of the following activities will be a violation of the above paragraph: (1) soliciting for a hire or soliciting for retainer as an independent consultant or as contingent worker any employee of the Company or its Affiliates; (2) participating in the recruitment of any employee of the Company or its Affiliates; (3) serving as a reference for an employee of the Company or its Affiliates; (4) offering an opinion regarding the candidacy as a potential employee, independent consultant or contingent worker of an individual employed by the Company or its Affiliates; (5) assisting or encouraging any third party to pursue an employee of the Company or its Affiliates for potential employment, independent consulting or contingent worker opportunities; or (6) assisting or encouraging any employee of the Company or its Affiliates to leave their current position in order to be an employee, independent consultant or contingent worker for a third party.</w:t>
      </w:r>
    </w:p>
    <w:p>
      <w:pPr>
        <w:spacing w:after="0" w:line="184" w:lineRule="exact"/>
        <w:rPr>
          <w:sz w:val="20"/>
          <w:szCs w:val="20"/>
          <w:color w:val="auto"/>
        </w:rPr>
      </w:pPr>
    </w:p>
    <w:p>
      <w:pPr>
        <w:jc w:val="both"/>
        <w:ind w:firstLine="656"/>
        <w:spacing w:after="0" w:line="254" w:lineRule="auto"/>
        <w:tabs>
          <w:tab w:leader="none" w:pos="105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You agree that, for a 12 month period (24 month period, if you are a Section 16 Participant at the time of your termination of employment) following your termination (voluntary or involuntary) from the Company or its Affiliates, you will not, for yourself or for any third party, directly or indirectly, in whole or in part, provide services, whether as an employee, employer, owner, operator, manager, advisor, consultant, agent, partner,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25" w:right="239" w:bottom="1440" w:gutter="0" w:footer="0" w:header="0"/>
        </w:sectPr>
      </w:pPr>
    </w:p>
    <w:bookmarkStart w:id="93" w:name="page94"/>
    <w:bookmarkEnd w:id="93"/>
    <w:p>
      <w:pPr>
        <w:jc w:val="both"/>
        <w:spacing w:after="0" w:line="258" w:lineRule="auto"/>
        <w:rPr>
          <w:sz w:val="20"/>
          <w:szCs w:val="20"/>
          <w:color w:val="auto"/>
        </w:rPr>
      </w:pPr>
      <w:r>
        <w:rPr>
          <w:rFonts w:ascii="Arial" w:cs="Arial" w:eastAsia="Arial" w:hAnsi="Arial"/>
          <w:sz w:val="21"/>
          <w:szCs w:val="21"/>
          <w:color w:val="auto"/>
        </w:rPr>
        <w:t>director, stockholder, officer, volunteer, intern, or any other similar capacity, to any entity anywhere in the world engaged in a business that is competitive with the Company or its Affiliates. Notwithstanding the prior sentence, you are not prohibited from providing services to a competing entity if: (i) the duties and services provided by you to the competitor are not, in whole or in part, substantially similar to the duties and services you provided to the Company or its Affiliates; and (ii) the duties and services provided by you to the competitor are not reasonably likely to cause you to reveal trade secrets, know-how, customer lists, customer contracts, customer needs, business strategies, marketing strategies, product development, proprietary information and confidential information concerning the business of the Company or its Affiliates. Nothing in this Award Agreement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spacing w:after="0" w:line="186" w:lineRule="exact"/>
        <w:rPr>
          <w:sz w:val="20"/>
          <w:szCs w:val="20"/>
          <w:color w:val="auto"/>
        </w:rPr>
      </w:pPr>
    </w:p>
    <w:p>
      <w:pPr>
        <w:jc w:val="both"/>
        <w:ind w:firstLine="656"/>
        <w:spacing w:after="0" w:line="250" w:lineRule="auto"/>
        <w:tabs>
          <w:tab w:leader="none" w:pos="101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112"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By accepting the PSUs, you agree that in light of the award conferred to you under this Award Agreement, the narrow and restrictive covenants imposed above are reasonable and will not result in any hardship to you. Further, you acknowledge and agree that a breach of any obligation under this Award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Award Agreement,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this Award Agreement, including, but not limited to, the cash or Shares awarded. In addition to the foregoing, the Company shall be entitled to collect from you any reasonable attorney’s fees and costs occurred in brining any action against you or otherwise to enforce the terms of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1420"/>
          </w:cols>
          <w:pgMar w:left="240" w:top="631" w:right="239" w:bottom="1440" w:gutter="0" w:footer="0" w:header="0"/>
        </w:sectPr>
      </w:pPr>
    </w:p>
    <w:bookmarkStart w:id="94" w:name="page95"/>
    <w:bookmarkEnd w:id="94"/>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[ADDENDUM TO RESTRICTED STOCK UNIT AWARD AGREEMENT]</w:t>
      </w: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[COUNTRY-SPECIFIC TERMS AND CONDITIONS]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4829-6143-0363.1</w:t>
      </w:r>
    </w:p>
    <w:p>
      <w:pPr>
        <w:sectPr>
          <w:pgSz w:w="11900" w:h="16838" w:orient="portrait"/>
          <w:cols w:equalWidth="0" w:num="1">
            <w:col w:w="10219"/>
          </w:cols>
          <w:pgMar w:left="240" w:top="882"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TRANSITION AGREEMENT</w:t>
      </w:r>
    </w:p>
    <w:p>
      <w:pPr>
        <w:spacing w:after="0" w:line="266"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This CONFIDENTIAL TRANSITION AGREEMENT (“Agreement”) is made effective this 15th day of March, 2018, by and between Angela D. Jilek (“Employee”) and Pentair Management Company on behalf of itself, its predecessors, subsidiaries and affiliated entities (collectively, “Company”).</w:t>
      </w:r>
    </w:p>
    <w:p>
      <w:pPr>
        <w:spacing w:after="0" w:line="132"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WHEREAS, the parties understand and agree that Employee's last day of employment with the Company will be May 1, 2018 (the “Separation Date”).</w:t>
      </w:r>
    </w:p>
    <w:p>
      <w:pPr>
        <w:spacing w:after="0" w:line="121"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WHEREAS, the parties now wish to enter into this Agreement to memorialize their mutual understanding and agreement regarding their respective obligations to one another between now and the Separation Date (which such period shall be known as the “Transition Period”) and their mutual understanding and agreement regarding the terms and conditions of Employee's separation of employment.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WHEREFORE, for good and valuable consideration, the parties hereby agree as follows:</w:t>
      </w:r>
    </w:p>
    <w:p>
      <w:pPr>
        <w:spacing w:after="0" w:line="166" w:lineRule="exact"/>
        <w:rPr>
          <w:sz w:val="20"/>
          <w:szCs w:val="20"/>
          <w:color w:val="auto"/>
        </w:rPr>
      </w:pPr>
    </w:p>
    <w:p>
      <w:pPr>
        <w:ind w:firstLine="656"/>
        <w:spacing w:after="0" w:line="289" w:lineRule="auto"/>
        <w:tabs>
          <w:tab w:leader="none" w:pos="1459"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Separation Payment and Other Benefits</w:t>
      </w:r>
      <w:r>
        <w:rPr>
          <w:rFonts w:ascii="Arial" w:cs="Arial" w:eastAsia="Arial" w:hAnsi="Arial"/>
          <w:sz w:val="19"/>
          <w:szCs w:val="19"/>
          <w:color w:val="auto"/>
        </w:rPr>
        <w:t>. Provided Employee becomes eligible to sign, signs and does not rescind the post-employment release of claims in the form attached hereto as Exhibit A (the “Release”) after her employment with the Company has ended and subject to the conditions of this Agreement, the Company shall pay Employee the sum of $1,934,000.00, less applicable withholdings (the “Separation Payment”). The Separation Payment shall be paid as follows: (a) a first installment of $688,900.00, less withholdings, to be paid within twenty (20) days following Employee’s delivery of the signed Release to the Company following the Separation Date, and (b) a conditional second installment of $1,245,100, less withholdings, payable within twelve (12) months following the Separation Date provided Employee has remained in strict compliance with her obligations under this Agreement. In order to become eligible to sign the Release and subject to Section 3 below, Employee must remain an employee in good standing throughout the entire Transition Period.</w:t>
      </w:r>
    </w:p>
    <w:p>
      <w:pPr>
        <w:spacing w:after="0" w:line="104"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Employee will be paid her accrued and unused vacation balance (equivalent to four (4) weeks, less applicable withholdings) following the Separation Date with or without this Agreement. Further, provided Employee does not exercise her right of rescission under Section 8, the Company will pay to Employee an additional lump sum of $23,246.00 less applicable withholdings (the “COBRA Subsidy”), which Employee may use toward the cost of future health insurance premiums or for other purposes. The COBRA Subsidy will be paid to Employee at the same time the first installment of the Separation Payment is made.</w:t>
      </w:r>
    </w:p>
    <w:p>
      <w:pPr>
        <w:spacing w:after="0" w:line="93"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auto"/>
        </w:rPr>
        <w:t>As a participant in the Pentair Management Incentive Plan (“MIP”), Employee will receive a MIP bonus award for the 2017 year, subject to the terms and conditions of the MIP, for the 2017 year payable by March 15, 2018 at the same time other eligible participants in the MIP receive earned payments attributable to the 2017 year. Further, provided Employee does not exercise her right of rescission under Section 8, then when the Company performs the 2017 year-end calculation in order to calculate the amount of the bonus payment for the 2017 year under the MIP, the SDF metric under the MIP shall be set at 100% of target. Employee will remain eligible to receive a prorated MIP bonus award for the 2018 year, subject to the terms and</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342" w:right="239" w:bottom="1440" w:gutter="0" w:footer="0" w:header="0"/>
        </w:sectPr>
      </w:pPr>
    </w:p>
    <w:bookmarkStart w:id="96" w:name="page97"/>
    <w:bookmarkEnd w:id="96"/>
    <w:p>
      <w:pPr>
        <w:jc w:val="both"/>
        <w:ind w:right="100"/>
        <w:spacing w:after="0" w:line="302" w:lineRule="auto"/>
        <w:rPr>
          <w:sz w:val="20"/>
          <w:szCs w:val="20"/>
          <w:color w:val="auto"/>
        </w:rPr>
      </w:pPr>
      <w:r>
        <w:rPr>
          <w:rFonts w:ascii="Arial" w:cs="Arial" w:eastAsia="Arial" w:hAnsi="Arial"/>
          <w:sz w:val="19"/>
          <w:szCs w:val="19"/>
          <w:color w:val="auto"/>
        </w:rPr>
        <w:t>conditions of the MIP, for the 2018 year payable by March 15, 2019 at the same time other eligible participants in the MIP receive earned payments attributable to the 2018 year. Further, provided Employee does not exercise her right of rescission under Section 8, then when the Company performs the 2018 year-end calculation in order to calculate the amount of the prorated bonus payment for the 2018 year under the MIP, the SDF metric under the MIP shall be set at 100% of target.</w:t>
      </w:r>
    </w:p>
    <w:p>
      <w:pPr>
        <w:spacing w:after="0" w:line="89"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Employee understands and agrees that, except as provided above and in Section 10 below, she has no rights to or claims under any other bonus or incentive compensation plans of any type, including, but not limited to, the Pentair Management Incentive Plan, the Omnibus Stock Incentive Plan, the 2008 Omnibus Stock Incentive Plan, the 2012 Stock and Incentive Plan, the Flexible Perquisite Plan, the Pentair plc Employee Stock Purchase and Bonus Plan, the Pentair, Inc. Supplemental Executive Retirement Plan (together with its predecessors, the "SERP"), the Pentair, Inc. Pension Plan (the “Pension Plan”), the Pentair Inc. Deferred Compensation plan (referred to as the “Sidekick Plan”), the Pentair, Inc. Retirement Savings and Stock Incentive Plan (the “401(k) Plan”), or any successor plans thereto, or any plans of employers acquired by the Company with respect to options, restricted stock, restricted stock units or performance units. The Omnibus Stock Incentive Plan, the 2008 Omnibus Stock Incentive Plan, the 2012 Stock and Incentive Plan, or any successor plans thereto, and any other plans of employers acquired by the Company under which Employee holds vested or unvested options, restricted stock, restricted stock units or performance units, are in the aggregate called the “Pentair Equity Plans” and the document(s) establishing the terms and conditions of the grants under the Pentair Equity Plans are called the “Terms &amp; Conditions” in this Agreement. Provided Employee does not exercise her right of rescission under Section 8, the Company agrees that Employee's options, restricted stock, restricted stock units or performance units under the Pentair Equity Plans, if any, will be treated in accordance with Section 10 of this Agreement.</w:t>
      </w:r>
    </w:p>
    <w:p>
      <w:pPr>
        <w:spacing w:after="0" w:line="109" w:lineRule="exact"/>
        <w:rPr>
          <w:sz w:val="20"/>
          <w:szCs w:val="20"/>
          <w:color w:val="auto"/>
        </w:rPr>
      </w:pPr>
    </w:p>
    <w:p>
      <w:pPr>
        <w:ind w:firstLine="656"/>
        <w:spacing w:after="0" w:line="286" w:lineRule="auto"/>
        <w:tabs>
          <w:tab w:leader="none" w:pos="1459"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Discharge of Claims</w:t>
      </w:r>
      <w:r>
        <w:rPr>
          <w:rFonts w:ascii="Arial" w:cs="Arial" w:eastAsia="Arial" w:hAnsi="Arial"/>
          <w:sz w:val="19"/>
          <w:szCs w:val="19"/>
          <w:color w:val="auto"/>
        </w:rPr>
        <w:t>. In exchange for the benefits provided in this Agreement, Employee, on behalf of herself, her agents, representatives, attorneys, assignees, heirs, executors, and administrators, hereby covenants not to sue and hereby releases and forever discharges the Company, and its past and present employees, agents, insurers, officials, officers, directors, divisions, parents (including Pentair plc), subsidiaries, predecessors and successors, and all affiliated entities and persons, and all of their respective past and present employees, agents, insurers, officials, officers, and directors from any and all claims and causes of action of any type arising, or which may have arisen, out of or in connection with her employment or the separation of her employment with the Company, including but not limited to claims, demands or actions arising under the National Labor Relations Act, Title VII of the Civil Rights Act of 1964, the Employee Retirement Income Security Act of 1974, the Age Discrimination in Employment Act of 1967 as amended by the Older Workers Benefit Protection Act, the Equal Pay Act, 42 U.S.C. § 1981, the Sarbanes-Oxley Act, the Dodd–Frank Wall Street Reform and Consumer Protection Act, the Fair Credit Reporting Act, the Vocational Rehabilitation Act, the Family and Medical Leave Act, the Worker Adjustment and Retraining Notification Act, the Fair Labor Standards Act, the Lily Ledbetter Fair Pay Act of 2009, the Americans with Disabilities Act, the Rehabilitation Act of 1973, the Genetic Information Nondiscrimination Act, the Immigration Reform and Control Act of 1986, the Civil Rights Act of 1991, the Occupational Safety and Health Act, the Consumer Credit Protection Act, the American Recovery and Reinvestment Act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380"/>
          </w:cols>
          <w:pgMar w:left="240" w:top="375" w:right="279" w:bottom="1440" w:gutter="0" w:footer="0" w:header="0"/>
        </w:sectPr>
      </w:pPr>
    </w:p>
    <w:bookmarkStart w:id="97" w:name="page98"/>
    <w:bookmarkEnd w:id="97"/>
    <w:p>
      <w:pPr>
        <w:ind w:right="20"/>
        <w:spacing w:after="0" w:line="285" w:lineRule="auto"/>
        <w:rPr>
          <w:sz w:val="20"/>
          <w:szCs w:val="20"/>
          <w:color w:val="auto"/>
        </w:rPr>
      </w:pPr>
      <w:r>
        <w:rPr>
          <w:rFonts w:ascii="Arial" w:cs="Arial" w:eastAsia="Arial" w:hAnsi="Arial"/>
          <w:sz w:val="19"/>
          <w:szCs w:val="19"/>
          <w:color w:val="auto"/>
        </w:rPr>
        <w:t>of 2009, the Asbestos Hazard Emergency Response Act, Employee Polygraph Protection Act, the Uniformed Services Employment and Reemployment Rights Act, the Minnesota Human Rights Act, the Minnesota Equal Pay for Equal Work Law, the Minnesota Fair Labor Standards Act, the Minnesota Labor Relations Act, the Minnesota Occupational Safety and Health Act, the Minnesota Criminal Background Check Act, the Minnesota Lawful Consumable Products Law, the Minnesota Smokers’ Rights Law, the Minnesota Parental Leave Act, the Minnesota Adoptive Parent Leave Law, the Minnesota Whistleblower Act, the Minnesota Drug and Alcohol Testing in the Workplace Act, the Minnesota Consumer Reports Law, the Minnesota Victim of Violent Crime Leave Law, the Minnesota Domestic Abuse Leave Law, the Minnesota Bone Marrow Donation Leave Law, the Minnesota Military and Service Leave Law, the Minnesota Minimum Wage Law, the Minnesota Drug and Alcohol Testing in the Workplace Act, Minn. Stat. 176.82, Minnesota Statutes Chapter 181, the Minnesota Constitution, Minnesota common law, and all other applicable state, county and local ordinances, statutes and regulations. Employee further understands that this discharge of claims extends to, but is not limited to, all claims which she may have as of the date of this Agreement based upon statutory or common law claims for defamation, libel, slander, assault, battery, negligent or intentional infliction of emotional distress, negligent hiring or retention, breach of contract, retaliation, whistleblowing, promissory estoppel, fraud, wrongful discharge, or any other theory, whether legal or equitable, and any and all claims for wages, salary, bonuses, commissions, damages, attorney’s fees or costs. Employee acknowledges that this release includes all claims that she is legally permitted to release, and as such, does not apply to any vested rights under the Company’s retirement plans, nor does it preclude her from filing an administrative charge with a government agency, though she may not recover any damages or receive any relief from the Company if she does file such a charge.</w:t>
      </w:r>
    </w:p>
    <w:p>
      <w:pPr>
        <w:spacing w:after="0" w:line="114" w:lineRule="exact"/>
        <w:rPr>
          <w:sz w:val="20"/>
          <w:szCs w:val="20"/>
          <w:color w:val="auto"/>
        </w:rPr>
      </w:pPr>
    </w:p>
    <w:p>
      <w:pPr>
        <w:ind w:right="240" w:firstLine="656"/>
        <w:spacing w:after="0" w:line="265" w:lineRule="auto"/>
        <w:tabs>
          <w:tab w:leader="none" w:pos="1459"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Transition Period</w:t>
      </w:r>
      <w:r>
        <w:rPr>
          <w:rFonts w:ascii="Arial" w:cs="Arial" w:eastAsia="Arial" w:hAnsi="Arial"/>
          <w:sz w:val="21"/>
          <w:szCs w:val="21"/>
          <w:color w:val="auto"/>
        </w:rPr>
        <w:t>. Employee will fully cooperate with the Company during the Transition Period, and Employee shall perform in good faith all duties assigned by the Company during the Transition Period. Provided Employee remains an employee in good standing through the entire Transition Period, then Employee shall have the right to sign the Release after the Separation Date (but no later than twenty-one (21) days after the Separation Date).</w:t>
      </w:r>
    </w:p>
    <w:p>
      <w:pPr>
        <w:spacing w:after="0" w:line="175" w:lineRule="exact"/>
        <w:rPr>
          <w:rFonts w:ascii="Arial" w:cs="Arial" w:eastAsia="Arial" w:hAnsi="Arial"/>
          <w:sz w:val="21"/>
          <w:szCs w:val="21"/>
          <w:color w:val="auto"/>
        </w:rPr>
      </w:pPr>
    </w:p>
    <w:p>
      <w:pPr>
        <w:ind w:firstLine="656"/>
        <w:spacing w:after="0" w:line="292" w:lineRule="auto"/>
        <w:tabs>
          <w:tab w:leader="none" w:pos="1459"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Acquired During Employment</w:t>
      </w:r>
      <w:r>
        <w:rPr>
          <w:rFonts w:ascii="Arial" w:cs="Arial" w:eastAsia="Arial" w:hAnsi="Arial"/>
          <w:sz w:val="19"/>
          <w:szCs w:val="19"/>
          <w:color w:val="auto"/>
        </w:rPr>
        <w:t>. Employee agrees that she will continue to treat,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which Employee acquired while working for the Company. Employee agrees that she will not release any such information to any person, firm, corporation or other entity at any time, except as may be required by law, or as agreed to in writing by the Company. Employee acknowledges that any violation of this non-disclosure provision shall entitle the Company to appropriate injunctive relief and to any damages which it may sustain due to the improper disclosure.</w:t>
      </w:r>
    </w:p>
    <w:p>
      <w:pPr>
        <w:spacing w:after="0" w:line="151"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b w:val="1"/>
          <w:bCs w:val="1"/>
          <w:i w:val="1"/>
          <w:iCs w:val="1"/>
          <w:color w:val="auto"/>
        </w:rPr>
        <w:t>Immunity from Liability</w:t>
      </w:r>
      <w:r>
        <w:rPr>
          <w:rFonts w:ascii="Arial" w:cs="Arial" w:eastAsia="Arial" w:hAnsi="Arial"/>
          <w:sz w:val="21"/>
          <w:szCs w:val="21"/>
          <w:color w:val="auto"/>
        </w:rPr>
        <w:t>: Employee shall not be held criminally or civilly liable under any federal or state trade secret law for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disclosure of a trade secret that is made in confidence to a federal, state or local government official, either directly or indirectly, or to an attorney, and is made solely for the purpose of reporting or investigating a suspected violation of law. The same immunity will be provided for the disclosure of a trade secret that is made in a complaint or other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375" w:right="239" w:bottom="1440" w:gutter="0" w:footer="0" w:header="0"/>
        </w:sectPr>
      </w:pPr>
    </w:p>
    <w:bookmarkStart w:id="98" w:name="page99"/>
    <w:bookmarkEnd w:id="98"/>
    <w:p>
      <w:pPr>
        <w:ind w:right="20"/>
        <w:spacing w:after="0" w:line="250" w:lineRule="auto"/>
        <w:rPr>
          <w:sz w:val="20"/>
          <w:szCs w:val="20"/>
          <w:color w:val="auto"/>
        </w:rPr>
      </w:pPr>
      <w:r>
        <w:rPr>
          <w:rFonts w:ascii="Arial" w:cs="Arial" w:eastAsia="Arial" w:hAnsi="Arial"/>
          <w:sz w:val="22"/>
          <w:szCs w:val="22"/>
          <w:color w:val="auto"/>
        </w:rPr>
        <w:t>document filed in a lawsuit or other proceeding, if such filing is made under seal.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34" w:lineRule="exact"/>
        <w:rPr>
          <w:sz w:val="20"/>
          <w:szCs w:val="20"/>
          <w:color w:val="auto"/>
        </w:rPr>
      </w:pPr>
    </w:p>
    <w:p>
      <w:pPr>
        <w:ind w:firstLine="656"/>
        <w:spacing w:after="0" w:line="290" w:lineRule="auto"/>
        <w:tabs>
          <w:tab w:leader="none" w:pos="145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Confidentiality, No Disparaging Remarks</w:t>
      </w:r>
      <w:r>
        <w:rPr>
          <w:rFonts w:ascii="Arial" w:cs="Arial" w:eastAsia="Arial" w:hAnsi="Arial"/>
          <w:sz w:val="19"/>
          <w:szCs w:val="19"/>
          <w:color w:val="auto"/>
        </w:rPr>
        <w:t>. Employee represents and agrees that she will keep the terms and facts of this Agreement completely confidential, and that she will not disclose any information concerning this Agreement to anyone, except for her counsel, tax accountant, spouse or except as may be required by law or agreed to in writing by the Company or as otherwise required for Employee to enforce or defend her rights hereunder. Further, subject to Section 14 below, Employee shall not make any disparaging remarks of any sort or otherwise communicate any disparaging comments about the Company, its managers, officers or directors, or about any of the other released persons or entities identified in Section 2 to any other person or entity. The Company, for its part, agrees that its managers, officers and directors shall not make any disparaging remarks of any sort or otherwise communicate any disparaging comments about Employee to any other person or entity.</w:t>
      </w:r>
    </w:p>
    <w:p>
      <w:pPr>
        <w:spacing w:after="0" w:line="102" w:lineRule="exact"/>
        <w:rPr>
          <w:rFonts w:ascii="Arial" w:cs="Arial" w:eastAsia="Arial" w:hAnsi="Arial"/>
          <w:sz w:val="19"/>
          <w:szCs w:val="19"/>
          <w:color w:val="auto"/>
        </w:rPr>
      </w:pPr>
    </w:p>
    <w:p>
      <w:pPr>
        <w:ind w:firstLine="656"/>
        <w:spacing w:after="0" w:line="288" w:lineRule="auto"/>
        <w:tabs>
          <w:tab w:leader="none" w:pos="145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Cooperation and Certification</w:t>
      </w:r>
      <w:r>
        <w:rPr>
          <w:rFonts w:ascii="Arial" w:cs="Arial" w:eastAsia="Arial" w:hAnsi="Arial"/>
          <w:sz w:val="19"/>
          <w:szCs w:val="19"/>
          <w:color w:val="auto"/>
        </w:rPr>
        <w:t>. At the request of the Company following the Separation Date and subject to Section 14 below, Employee will cooperate with the Company, with Pentair plc and with any affiliate of Pentair plc in any claims or lawsuits where Employee has knowledge of the facts. Nothing in this Agreement prevents Employee from testifying at an administrative hearing, arbitration, deposition or in court in response to a lawful and properly served subpoena (provided Employee provides written notice of the service of the subpoena to the Company within twenty-four (24) hours of receipt), nor does it preclude Employee from filing an administrative charge with a government agency or cooperating with a government agency in connection with an administrative charge (though she may not recover damages or receive any relief from the Company if she does file such a charge as noted in Section 2 above). Finally, Employee certifies, warrants and represents that she has faithfully discharged her role with the Company at all times during her employment. Employee further certifies, warrants and represents that she is unaware of any actual or potential violations of law by the Company, Pentair plc, or any affiliate of Pentair plc.</w:t>
      </w:r>
    </w:p>
    <w:p>
      <w:pPr>
        <w:spacing w:after="0" w:line="106" w:lineRule="exact"/>
        <w:rPr>
          <w:rFonts w:ascii="Arial" w:cs="Arial" w:eastAsia="Arial" w:hAnsi="Arial"/>
          <w:sz w:val="19"/>
          <w:szCs w:val="19"/>
          <w:color w:val="auto"/>
        </w:rPr>
      </w:pPr>
    </w:p>
    <w:p>
      <w:pPr>
        <w:ind w:firstLine="656"/>
        <w:spacing w:after="0" w:line="312" w:lineRule="auto"/>
        <w:tabs>
          <w:tab w:leader="none" w:pos="145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 Wrongdoing</w:t>
      </w:r>
      <w:r>
        <w:rPr>
          <w:rFonts w:ascii="Arial" w:cs="Arial" w:eastAsia="Arial" w:hAnsi="Arial"/>
          <w:sz w:val="19"/>
          <w:szCs w:val="19"/>
          <w:color w:val="auto"/>
        </w:rPr>
        <w:t>. Employee and the Company agree and acknowledge that the consideration exchanged herein does not constitute, and shall not be construed as, an admission of liability or wrongdoing on the part of Employee, the Company or any entity or person, and shall not be admissible in any proceeding as evidence of liability or wrongdoing by anyone.</w:t>
      </w:r>
    </w:p>
    <w:p>
      <w:pPr>
        <w:spacing w:after="0" w:line="79" w:lineRule="exact"/>
        <w:rPr>
          <w:rFonts w:ascii="Arial" w:cs="Arial" w:eastAsia="Arial" w:hAnsi="Arial"/>
          <w:sz w:val="19"/>
          <w:szCs w:val="19"/>
          <w:color w:val="auto"/>
        </w:rPr>
      </w:pPr>
    </w:p>
    <w:p>
      <w:pPr>
        <w:ind w:right="200" w:firstLine="656"/>
        <w:spacing w:after="0" w:line="294" w:lineRule="auto"/>
        <w:tabs>
          <w:tab w:leader="none" w:pos="145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Notification of Release and Right to Rescind</w:t>
      </w:r>
      <w:r>
        <w:rPr>
          <w:rFonts w:ascii="Arial" w:cs="Arial" w:eastAsia="Arial" w:hAnsi="Arial"/>
          <w:sz w:val="19"/>
          <w:szCs w:val="19"/>
          <w:color w:val="auto"/>
        </w:rPr>
        <w:t>. This Agreement contains a release of certain legal rights which Employee may have, including rights under the Age Discrimination in Employment Act and the Minnesota Human Rights Act. Employee is advised that she should consult with an attorney regarding such release and other aspects of this Agreement before signing this Agreement. Employee understands that she may nullify and rescind this entire Agreement at any time within the next fifteen (15) days of the date of signature below by indicating her desire to do so in writing and delivering that writing to the Company c/o Jörg H. Kasparek, Vice President, Compensation &amp; Benefits, Pentair plc, Suite 600, 5500 Wayzata</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00"/>
          </w:cols>
          <w:pgMar w:left="240" w:top="375" w:right="259" w:bottom="1440" w:gutter="0" w:footer="0" w:header="0"/>
        </w:sectPr>
      </w:pPr>
    </w:p>
    <w:bookmarkStart w:id="99" w:name="page100"/>
    <w:bookmarkEnd w:id="99"/>
    <w:p>
      <w:pPr>
        <w:ind w:right="300"/>
        <w:spacing w:after="0" w:line="271" w:lineRule="auto"/>
        <w:rPr>
          <w:sz w:val="20"/>
          <w:szCs w:val="20"/>
          <w:color w:val="auto"/>
        </w:rPr>
      </w:pPr>
      <w:r>
        <w:rPr>
          <w:rFonts w:ascii="Arial" w:cs="Arial" w:eastAsia="Arial" w:hAnsi="Arial"/>
          <w:sz w:val="21"/>
          <w:szCs w:val="21"/>
          <w:color w:val="auto"/>
        </w:rPr>
        <w:t>Boulevard, Golden Valley, MN 55416, by hand or by certified mail. Employee further understands that if she rescinds this Agreement on a timely basis, the Company will not be bound by the terms of this Agreement, and, in such event, Employee will have no right to receive or right to retain the financial benefits conferred under this Agreement.</w:t>
      </w:r>
    </w:p>
    <w:p>
      <w:pPr>
        <w:spacing w:after="0" w:line="114" w:lineRule="exact"/>
        <w:rPr>
          <w:sz w:val="20"/>
          <w:szCs w:val="20"/>
          <w:color w:val="auto"/>
        </w:rPr>
      </w:pPr>
    </w:p>
    <w:p>
      <w:pPr>
        <w:ind w:right="140" w:firstLine="656"/>
        <w:spacing w:after="0" w:line="260" w:lineRule="auto"/>
        <w:tabs>
          <w:tab w:leader="none" w:pos="1459"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Outplacement</w:t>
      </w:r>
      <w:r>
        <w:rPr>
          <w:rFonts w:ascii="Arial" w:cs="Arial" w:eastAsia="Arial" w:hAnsi="Arial"/>
          <w:sz w:val="21"/>
          <w:szCs w:val="21"/>
          <w:color w:val="auto"/>
        </w:rPr>
        <w:t>. Provided Employee does not exercise her right of rescission under Section 8 herein, then the Company shall pay for outplacement services for Employee's benefit to be provided by a vendor selected by the Company to the extent such services are actually utilized by Employee within one (1) year following the Separation Date and to the extent the cost does not exceed the Company-determined maximum. In lieu of outplacement services, Employee may elect to receive a cash payment in the amount of $45,000.00, less applicable withholdings, by informing the Company in writing of such election within fifteen (15) days of the execution of this Agreement; if Employee makes such a timely election, the Company will provide the payment to her within sixty (60) days of the Separation Date.</w:t>
      </w:r>
    </w:p>
    <w:p>
      <w:pPr>
        <w:spacing w:after="0" w:line="181" w:lineRule="exact"/>
        <w:rPr>
          <w:rFonts w:ascii="Arial" w:cs="Arial" w:eastAsia="Arial" w:hAnsi="Arial"/>
          <w:sz w:val="21"/>
          <w:szCs w:val="21"/>
          <w:color w:val="auto"/>
        </w:rPr>
      </w:pPr>
    </w:p>
    <w:p>
      <w:pPr>
        <w:ind w:right="220" w:firstLine="656"/>
        <w:spacing w:after="0" w:line="248" w:lineRule="auto"/>
        <w:tabs>
          <w:tab w:leader="none" w:pos="1567"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Restricted Stock Units, Cash Performance Units, Performance Share Units and Stock Options under Pentair Equity Plans; Retirement Plans</w:t>
      </w:r>
      <w:r>
        <w:rPr>
          <w:rFonts w:ascii="Arial" w:cs="Arial" w:eastAsia="Arial" w:hAnsi="Arial"/>
          <w:sz w:val="22"/>
          <w:szCs w:val="22"/>
          <w:color w:val="auto"/>
        </w:rPr>
        <w:t>. Provided Employee does not exercise her right of rescission under Section 8, if Employee has unvested awards under the Pentair Equity Plans, the Company agrees to treat Employee’s unearned restricted stock units, cash performance units, performance share units, and nonqualified stock options and incentive stock options, or other accrued benefits under the Pentair Equity Plans as follows:</w:t>
      </w:r>
    </w:p>
    <w:p>
      <w:pPr>
        <w:spacing w:after="0" w:line="192" w:lineRule="exact"/>
        <w:rPr>
          <w:rFonts w:ascii="Arial" w:cs="Arial" w:eastAsia="Arial" w:hAnsi="Arial"/>
          <w:sz w:val="22"/>
          <w:szCs w:val="22"/>
          <w:color w:val="auto"/>
        </w:rPr>
      </w:pPr>
    </w:p>
    <w:p>
      <w:pPr>
        <w:ind w:left="660" w:hanging="328"/>
        <w:spacing w:after="0" w:line="292" w:lineRule="auto"/>
        <w:tabs>
          <w:tab w:leader="none" w:pos="66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Restricted Stock Units</w:t>
      </w:r>
      <w:r>
        <w:rPr>
          <w:rFonts w:ascii="Arial" w:cs="Arial" w:eastAsia="Arial" w:hAnsi="Arial"/>
          <w:sz w:val="19"/>
          <w:szCs w:val="19"/>
          <w:color w:val="auto"/>
        </w:rPr>
        <w:t>. Employee’s unvested Restricted Stock Units (RSUs) under the Pentair Equity Plans, if any, shall be treated by the Company as fully and immediately vested, effective as of the Separation Date. The value of Employee’s RSUs (settled in stock) shall be deposited into Employee’s Fidelity brokerage account (reduced by applicable withholdings) within one month following the Separation Date, or if later, within fourteen (14) days of the expiration of the rescission period under Section 8; provided, however, that if Employee is a “specified employee” within the meaning of Section 409A(a)(2)(B)(i) and if the RSUs would be considered deferred compensation under Section 409A, then the shares (reduced by applicable withholdings) will be deposited six (6) months following the Separation Date.</w:t>
      </w:r>
    </w:p>
    <w:p>
      <w:pPr>
        <w:spacing w:after="0" w:line="192" w:lineRule="exact"/>
        <w:rPr>
          <w:rFonts w:ascii="Arial" w:cs="Arial" w:eastAsia="Arial" w:hAnsi="Arial"/>
          <w:sz w:val="19"/>
          <w:szCs w:val="19"/>
          <w:color w:val="auto"/>
        </w:rPr>
      </w:pPr>
    </w:p>
    <w:p>
      <w:pPr>
        <w:ind w:left="660" w:right="120" w:hanging="328"/>
        <w:spacing w:after="0" w:line="292" w:lineRule="auto"/>
        <w:tabs>
          <w:tab w:leader="none" w:pos="66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Performance Share Units</w:t>
      </w:r>
      <w:r>
        <w:rPr>
          <w:rFonts w:ascii="Arial" w:cs="Arial" w:eastAsia="Arial" w:hAnsi="Arial"/>
          <w:sz w:val="19"/>
          <w:szCs w:val="19"/>
          <w:color w:val="auto"/>
        </w:rPr>
        <w:t>. Employee’s outstanding Performance Share Units (PSUs) shall be converted to RSUs (with respect to common shares of the Company and/or nVent Electric plc in accordance with the terms of the Employee Matters Agreement between the Company and nVent Electric plc) effective upon the spin-off of the Company’s electrical business (the “Spin Date”). The value of the PSUs converted to RSUs shall be at the level of performance approved by the Compensation Committee, and following the conversion, the value of such RSUs (settled in stock) shall be deposited into Employee’s Fidelity brokerage account (reduced by applicable withholdings) as soon as practicable following the later of the Spin Date or Employee’s termination of employment date.</w:t>
      </w:r>
    </w:p>
    <w:p>
      <w:pPr>
        <w:spacing w:after="0" w:line="192" w:lineRule="exact"/>
        <w:rPr>
          <w:rFonts w:ascii="Arial" w:cs="Arial" w:eastAsia="Arial" w:hAnsi="Arial"/>
          <w:sz w:val="19"/>
          <w:szCs w:val="19"/>
          <w:color w:val="auto"/>
        </w:rPr>
      </w:pPr>
    </w:p>
    <w:p>
      <w:pPr>
        <w:ind w:left="660" w:right="1040" w:hanging="328"/>
        <w:spacing w:after="0" w:line="263" w:lineRule="auto"/>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 Employee's unvested stock options under the Pentair Equity Plans, if any, shall remain outstanding (the “Outstanding Options”) and vest in accordance with the terms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00"/>
          </w:cols>
          <w:pgMar w:left="240" w:top="375" w:right="259" w:bottom="1440" w:gutter="0" w:footer="0" w:header="0"/>
        </w:sectPr>
      </w:pPr>
    </w:p>
    <w:bookmarkStart w:id="100" w:name="page101"/>
    <w:bookmarkEnd w:id="100"/>
    <w:p>
      <w:pPr>
        <w:ind w:left="660" w:right="60"/>
        <w:spacing w:after="0" w:line="288" w:lineRule="auto"/>
        <w:rPr>
          <w:sz w:val="20"/>
          <w:szCs w:val="20"/>
          <w:color w:val="auto"/>
        </w:rPr>
      </w:pPr>
      <w:r>
        <w:rPr>
          <w:rFonts w:ascii="Arial" w:cs="Arial" w:eastAsia="Arial" w:hAnsi="Arial"/>
          <w:sz w:val="19"/>
          <w:szCs w:val="19"/>
          <w:color w:val="auto"/>
        </w:rPr>
        <w:t>the particular grant or award under the Pentair Equity Plans or applicable Terms &amp; Conditions until the earlier of the expiration date of the award or the fifth anniversary of the Separation Date. The Outstanding Options may be exercised by Employee until the earlier of the expiration date of the particular award or within five (5) years after the Separation Date, at the time and in the manner permitted under the terms of the applicable Pentair Equity Plan and the applicable Terms &amp; Conditions. Five (5) years after the Separation Date, all Outstanding Options unexercised by Employee shall be forfeited. Employee’s stock options under the Pentair Equity Plans that had vested prior the Separation Date (the “Previously Vested Options”) may be exercised by Employee at any time in accordance with the time and in the manner permitted under the terms of the applicable Pentair Equity Plan without regard to whether she signs this Agreement. The Previously Vested Options shall expire and become non-exercisable in accordance with the terms of the applicable Pentair Equity Plan and the Terms &amp; Conditions without regard to whether Employee signs this Agreement.</w:t>
      </w:r>
    </w:p>
    <w:p>
      <w:pPr>
        <w:spacing w:after="0" w:line="201" w:lineRule="exact"/>
        <w:rPr>
          <w:sz w:val="20"/>
          <w:szCs w:val="20"/>
          <w:color w:val="auto"/>
        </w:rPr>
      </w:pPr>
    </w:p>
    <w:p>
      <w:pPr>
        <w:ind w:left="660" w:right="140"/>
        <w:spacing w:after="0" w:line="253" w:lineRule="auto"/>
        <w:rPr>
          <w:sz w:val="20"/>
          <w:szCs w:val="20"/>
          <w:color w:val="auto"/>
        </w:rPr>
      </w:pPr>
      <w:r>
        <w:rPr>
          <w:rFonts w:ascii="Arial" w:cs="Arial" w:eastAsia="Arial" w:hAnsi="Arial"/>
          <w:sz w:val="22"/>
          <w:szCs w:val="22"/>
          <w:color w:val="auto"/>
        </w:rPr>
        <w:t>As for Employee’s incentive stock options, they are eligible for preferential tax treatment if exercised within a period of ninety (90) days following the Separation Date, and if exercised more than ninety (90) days following the Separation Date, they will be taxed as ordinary income upon exercise.</w:t>
      </w:r>
    </w:p>
    <w:p>
      <w:pPr>
        <w:spacing w:after="0" w:line="132" w:lineRule="exact"/>
        <w:rPr>
          <w:sz w:val="20"/>
          <w:szCs w:val="20"/>
          <w:color w:val="auto"/>
        </w:rPr>
      </w:pPr>
    </w:p>
    <w:p>
      <w:pPr>
        <w:ind w:left="660" w:right="100" w:hanging="328"/>
        <w:spacing w:after="0" w:line="259" w:lineRule="auto"/>
        <w:tabs>
          <w:tab w:leader="none" w:pos="66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Retirement Plans</w:t>
      </w:r>
      <w:r>
        <w:rPr>
          <w:rFonts w:ascii="Arial" w:cs="Arial" w:eastAsia="Arial" w:hAnsi="Arial"/>
          <w:sz w:val="21"/>
          <w:szCs w:val="21"/>
          <w:color w:val="auto"/>
        </w:rPr>
        <w:t>. Employee shall be entitled to receive payments under the Sidekick Plan, the SERP, the Pension Plan, and the 401(k) Plan (collectively, the “Retirement Plans”), without regard to whether Employee signs this Agreement. Payment or distributions of Employee’s Retirement Plans’ benefits will be made in accordance with the terms of the applicable Retirement Plan documents, deferral elections, Internal Revenue Code regulations, or the Employee Retirement Income Security Act of 1974, including the requirement that if Employee is a “specified employee” within the meaning of Section 409A(a)(2)(B)(i) and if payments under the Retirement Plans would be considered deferred compensation under Section 409A, then the value (reduced by applicable withholdings) will be paid or begin to be paid no sooner than six (6) months following the Separation Date.</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Employee acknowledges that it is Employee’s responsibility to review her personal Fidelity account and take action prior to the expiration dates for each grant.</w:t>
      </w:r>
    </w:p>
    <w:p>
      <w:pPr>
        <w:spacing w:after="0" w:line="121" w:lineRule="exact"/>
        <w:rPr>
          <w:sz w:val="20"/>
          <w:szCs w:val="20"/>
          <w:color w:val="auto"/>
        </w:rPr>
      </w:pPr>
    </w:p>
    <w:p>
      <w:pPr>
        <w:ind w:left="1560" w:hanging="904"/>
        <w:spacing w:after="0"/>
        <w:tabs>
          <w:tab w:leader="none" w:pos="156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Narrow Post-Employment Restrictions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760" w:hanging="455"/>
        <w:spacing w:after="0"/>
        <w:tabs>
          <w:tab w:leader="none" w:pos="176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purpose of Section 11 of this Agreement, the following definitions shall apply:</w:t>
      </w:r>
    </w:p>
    <w:p>
      <w:pPr>
        <w:spacing w:after="0" w:line="166" w:lineRule="exact"/>
        <w:rPr>
          <w:sz w:val="20"/>
          <w:szCs w:val="20"/>
          <w:color w:val="auto"/>
        </w:rPr>
      </w:pPr>
    </w:p>
    <w:p>
      <w:pPr>
        <w:ind w:right="60" w:firstLine="1945"/>
        <w:spacing w:after="0" w:line="263" w:lineRule="auto"/>
        <w:rPr>
          <w:sz w:val="20"/>
          <w:szCs w:val="20"/>
          <w:color w:val="auto"/>
        </w:rPr>
      </w:pPr>
      <w:r>
        <w:rPr>
          <w:rFonts w:ascii="Arial" w:cs="Arial" w:eastAsia="Arial" w:hAnsi="Arial"/>
          <w:sz w:val="21"/>
          <w:szCs w:val="21"/>
          <w:u w:val="single" w:color="auto"/>
          <w:color w:val="auto"/>
        </w:rPr>
        <w:t>The Business</w:t>
      </w:r>
      <w:r>
        <w:rPr>
          <w:rFonts w:ascii="Arial" w:cs="Arial" w:eastAsia="Arial" w:hAnsi="Arial"/>
          <w:sz w:val="21"/>
          <w:szCs w:val="21"/>
          <w:color w:val="auto"/>
        </w:rPr>
        <w:t>. The “Business” means each of the business segments, business units, and subsidiary operations of Pentair plc and its subsidiary entities and affiliates on a global basis. The parties acknowledge that due to Employee’s executive position and global duties and responsibilities on behalf of Pentair plc and the Company: (i) she is familiar with all business segments and business units of Pentair plc; (ii) she has been materially involved in all business segments and business units of Pentair plc on a global basis; and (iii) she has received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375" w:right="239" w:bottom="1440" w:gutter="0" w:footer="0" w:header="0"/>
        </w:sectPr>
      </w:pPr>
    </w:p>
    <w:bookmarkStart w:id="101" w:name="page102"/>
    <w:bookmarkEnd w:id="101"/>
    <w:p>
      <w:pPr>
        <w:ind w:right="80"/>
        <w:spacing w:after="0" w:line="263" w:lineRule="auto"/>
        <w:rPr>
          <w:sz w:val="20"/>
          <w:szCs w:val="20"/>
          <w:color w:val="auto"/>
        </w:rPr>
      </w:pPr>
      <w:r>
        <w:rPr>
          <w:rFonts w:ascii="Arial" w:cs="Arial" w:eastAsia="Arial" w:hAnsi="Arial"/>
          <w:sz w:val="22"/>
          <w:szCs w:val="22"/>
          <w:color w:val="auto"/>
        </w:rPr>
        <w:t>lucrative financial benefits as a result of her exposure to and involvement in all business segments and business units of Pentair plc on a global basis.</w:t>
      </w:r>
    </w:p>
    <w:p>
      <w:pPr>
        <w:spacing w:after="0" w:line="121" w:lineRule="exact"/>
        <w:rPr>
          <w:sz w:val="20"/>
          <w:szCs w:val="20"/>
          <w:color w:val="auto"/>
        </w:rPr>
      </w:pPr>
    </w:p>
    <w:p>
      <w:pPr>
        <w:ind w:firstLine="1945"/>
        <w:spacing w:after="0" w:line="287" w:lineRule="auto"/>
        <w:rPr>
          <w:sz w:val="20"/>
          <w:szCs w:val="20"/>
          <w:color w:val="auto"/>
        </w:rPr>
      </w:pPr>
      <w:r>
        <w:rPr>
          <w:rFonts w:ascii="Arial" w:cs="Arial" w:eastAsia="Arial" w:hAnsi="Arial"/>
          <w:sz w:val="21"/>
          <w:szCs w:val="21"/>
          <w:u w:val="single" w:color="auto"/>
          <w:color w:val="auto"/>
        </w:rPr>
        <w:t>Competitor</w:t>
      </w:r>
      <w:r>
        <w:rPr>
          <w:rFonts w:ascii="Arial" w:cs="Arial" w:eastAsia="Arial" w:hAnsi="Arial"/>
          <w:sz w:val="21"/>
          <w:szCs w:val="21"/>
          <w:color w:val="auto"/>
        </w:rPr>
        <w:t>. “Competitor” means any economic concern, whether an entity or a person, that competes against the Business in any geographic market where the Company, Pentair plc or any of its affiliates does business.</w:t>
      </w:r>
    </w:p>
    <w:p>
      <w:pPr>
        <w:spacing w:after="0" w:line="98" w:lineRule="exact"/>
        <w:rPr>
          <w:sz w:val="20"/>
          <w:szCs w:val="20"/>
          <w:color w:val="auto"/>
        </w:rPr>
      </w:pPr>
    </w:p>
    <w:p>
      <w:pPr>
        <w:ind w:right="420" w:firstLine="1945"/>
        <w:spacing w:after="0" w:line="263" w:lineRule="auto"/>
        <w:rPr>
          <w:sz w:val="20"/>
          <w:szCs w:val="20"/>
          <w:color w:val="auto"/>
        </w:rPr>
      </w:pPr>
      <w:r>
        <w:rPr>
          <w:rFonts w:ascii="Arial" w:cs="Arial" w:eastAsia="Arial" w:hAnsi="Arial"/>
          <w:sz w:val="22"/>
          <w:szCs w:val="22"/>
          <w:u w:val="single" w:color="auto"/>
          <w:color w:val="auto"/>
        </w:rPr>
        <w:t>Pentair Entities</w:t>
      </w:r>
      <w:r>
        <w:rPr>
          <w:rFonts w:ascii="Arial" w:cs="Arial" w:eastAsia="Arial" w:hAnsi="Arial"/>
          <w:sz w:val="22"/>
          <w:szCs w:val="22"/>
          <w:color w:val="auto"/>
        </w:rPr>
        <w:t>. “Pentair Entities” includes the Company, Pentair plc, any affiliate of Pentair plc and any entity that is a spin-off from Pentair plc or its subsidiaries.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Throughout her employment with the Company, Employee became intimately familiar with trade secrets, know-how, business strategies, marketing strategies, product development, proprietary information and confidential information concerning the Business and concerning the operations of the Company, Pentair plc and its affiliates. As a result of Employee’s intimate familiarity with the proprietary and confidential information regarding the Business, Employee acknowledges and agrees that she would be able to engage in unfair competition vis-à-vis the Pentair Entities in the event she were to: (i) become employed by or otherwise involved in any way with a Competitor; (ii) solicit or accept competitive business from customers of the Pentair Entities; or (iii) solicit employees of the Pentair Entities. Accordingly, Employee agrees to the narrow post-employment restrictions set forth in Sections 11(b) and 11(c) below.</w:t>
      </w:r>
    </w:p>
    <w:p>
      <w:pPr>
        <w:spacing w:after="0" w:line="130" w:lineRule="exact"/>
        <w:rPr>
          <w:sz w:val="20"/>
          <w:szCs w:val="20"/>
          <w:color w:val="auto"/>
        </w:rPr>
      </w:pPr>
    </w:p>
    <w:p>
      <w:pPr>
        <w:ind w:right="100" w:firstLine="1305"/>
        <w:spacing w:after="0" w:line="250" w:lineRule="auto"/>
        <w:tabs>
          <w:tab w:leader="none" w:pos="1765"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Employee agrees that for a twenty-four (24) month period following the Separation Date, she will not (whether in her individual capacity or as an agent of a third party) become employed by, consult with, obtain an ownership interest in, render services to, or have any competitive involvement with a Competitor in any market in the world where Pentair Entities are conducting the Business.</w:t>
      </w:r>
    </w:p>
    <w:p>
      <w:pPr>
        <w:spacing w:after="0" w:line="134" w:lineRule="exact"/>
        <w:rPr>
          <w:rFonts w:ascii="Arial" w:cs="Arial" w:eastAsia="Arial" w:hAnsi="Arial"/>
          <w:sz w:val="22"/>
          <w:szCs w:val="22"/>
          <w:color w:val="auto"/>
        </w:rPr>
      </w:pPr>
    </w:p>
    <w:p>
      <w:pPr>
        <w:ind w:right="260" w:firstLine="1305"/>
        <w:spacing w:after="0" w:line="265" w:lineRule="auto"/>
        <w:tabs>
          <w:tab w:leader="none" w:pos="1752"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Employee agrees that for a twenty-four (24) month period following the Separation Date, she will not, for herself or for any third party, directly or indirectly, (i) solicit or accept business from any customer of the Pentair Entities, or (ii) solicit any employee of the Pentair Entities the purpose of hiring such person or otherwise entice, induce or encourage, directly or indirectly, any such employee to leave his or her employment.</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The parties acknowledge and agree that the requirement in Section 11(c)(ii) which prohibits Employee from directly or indirectly soliciting or otherwise enticing, inducing or encouraging any employee of the Pentair Entities to leave his or her employment is intended to prohibit and shall prohibit, without limitation, Employee from doing any of the following: (a) solicit for hire or solicit for retainer as an independent consultant or as contingent worker any employee of any of the Pentair Entities; (b) participate in the recruitment of any employee of any of the Pentair Entities, such as through interviewing; (c) serve as a reference for an employee of the Pentair Entities; (d) offer an opinion regarding the candidacy as a potential employee, independent consultant or contingent worker of an individual employed by the Pentair Entities; (e) assist or encourage any third party to pursue an employee of the Pentair Entities for potential employment, independent consulting or contingent worker opportunities; or (f) assist or encourage any employee of the Pentair Entities to leave the Pentair Entities in order to be an employee, independent consultant or contingent worker for a third party.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375" w:right="239" w:bottom="1440" w:gutter="0" w:footer="0" w:header="0"/>
        </w:sectPr>
      </w:pPr>
    </w:p>
    <w:bookmarkStart w:id="102" w:name="page103"/>
    <w:bookmarkEnd w:id="102"/>
    <w:p>
      <w:pPr>
        <w:ind w:firstLine="1305"/>
        <w:spacing w:after="0" w:line="285" w:lineRule="auto"/>
        <w:tabs>
          <w:tab w:leader="none" w:pos="176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Reasonableness and Notice</w:t>
      </w:r>
      <w:r>
        <w:rPr>
          <w:rFonts w:ascii="Arial" w:cs="Arial" w:eastAsia="Arial" w:hAnsi="Arial"/>
          <w:sz w:val="19"/>
          <w:szCs w:val="19"/>
          <w:color w:val="auto"/>
        </w:rPr>
        <w:t>. Employee agrees that in light of the money and benefits conferred to her under this Agreement, the narrow nature of the restrictive covenants imposed under Sections 11(b) and 11(c) are reasonable and will not result in any hardship to her. Further, Employee acknowledges and agrees that her breach of any obligation under this Section 11 would cause irreparable harm to the Pentair Entities and that such harm may not be compensable entirely with monetary damages. If Employee violates her obligations under this section, the aggrieved Pentair Entities may, but shall not be required to, seek injunctive relief and/or any other remedy allowed at law, in equity, or under this Agreement. Any injunctive relief sought shall be in addition to and not in limitation of any monetary relief or other remedies or rights at law, in equity, or under this Agreement. In connection with any suit at law or in equity under this Agreement, the Pentair Entities shall be entitled to an accounting, and to the repayment of all profits, compensation, commissions, fees, or other remuneration which Employee or any other entity or person has either directly or indirectly realized on its behalf or on behalf of another and/or may realize, as a result of, growing out of, or in connection with the violation which is the subject of the suit. Further, in the event of Employee’s breach of this section, Employee shall disgorge the value of all payments and benefits conferred to her by virtue of this Agreement, including the Separation Payment. In addition to the foregoing, the Pentair Entities shall be entitled to collect from Employee any reasonable attorney’s fees and costs incurred in bringing any action against Employee or otherwise to enforce the terms of this Agreement. The parties agree that it is their intent that the restrictions in this Section 11 be enforced to the maximum allowable extent or modified to permit enforcement to the maximum allowable extent under the laws of Minnesota as determined by a court of appropriate jurisdiction in Minnesota, and the parties further agree to and acknowledge the sufficiency of the parties’ contacts with the State of Minnesota in order to confer exclusive jurisdiction of Minnesota courts applying Minnesota law.</w:t>
      </w:r>
    </w:p>
    <w:p>
      <w:pPr>
        <w:spacing w:after="0" w:line="111"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Employee agrees that while the restrictive covenants imposed under this Section 11 are in effect, Employee shall give written notice to the Company within ten days after accepting any other employment, position, or ownership interest with any entity that has operations which compete with the operations of any of the Pentair Entities. Such written notice shall be delivered to the Company c/o Pentair General Counsel &amp; Secretary, Pentair plc, Suite 600, 5500 Wayzata Boulevard, Golden Valley, MN 55416, by hand or by certified mail. Employee agrees that the Company may notify such new employer, company or corporate entity that Employee is bound by this Agreement and, at the Company's election, furnish such employer, company or corporate entity with a copy of Section 11 of this Agreement.</w:t>
      </w:r>
    </w:p>
    <w:p>
      <w:pPr>
        <w:spacing w:after="0" w:line="127" w:lineRule="exact"/>
        <w:rPr>
          <w:sz w:val="20"/>
          <w:szCs w:val="20"/>
          <w:color w:val="auto"/>
        </w:rPr>
      </w:pPr>
    </w:p>
    <w:p>
      <w:pPr>
        <w:ind w:right="120" w:firstLine="656"/>
        <w:spacing w:after="0" w:line="294" w:lineRule="auto"/>
        <w:tabs>
          <w:tab w:leader="none" w:pos="156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xml:space="preserve"> Employee covenants, warrants and represents that on or before the Separation Date, she will have returned any and all Company property that was ever in her possession or under her control to the Company prior to her signature of this Agreement, and this covenant, warranty and representation expressly extends to (but is not limited to) security card, keys, codes, materials, books, files and laptop computer. The Company agrees that it will convey to Employee all right &amp; interest in the Company ipad and cell phone used by Employee during her employment and currently in her possession; provided that Employee first returns such equipment to the Company for the purpose of removing all data from it.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00"/>
          </w:cols>
          <w:pgMar w:left="240" w:top="631" w:right="259" w:bottom="1440" w:gutter="0" w:footer="0" w:header="0"/>
        </w:sectPr>
      </w:pPr>
    </w:p>
    <w:bookmarkStart w:id="103" w:name="page104"/>
    <w:bookmarkEnd w:id="103"/>
    <w:p>
      <w:pPr>
        <w:ind w:firstLine="656"/>
        <w:spacing w:after="0" w:line="259" w:lineRule="auto"/>
        <w:tabs>
          <w:tab w:leader="none" w:pos="1567"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Minnesota Law, Forum and Merger.</w:t>
      </w:r>
      <w:r>
        <w:rPr>
          <w:rFonts w:ascii="Arial" w:cs="Arial" w:eastAsia="Arial" w:hAnsi="Arial"/>
          <w:sz w:val="21"/>
          <w:szCs w:val="21"/>
          <w:color w:val="auto"/>
        </w:rPr>
        <w:t xml:space="preserve"> The terms of this Agreement shall be governed by the laws of the State of Minnesota, the location of Pentair’s main U.S. office, and shall be construed and enforced thereunder. Any dispute arising under this Agreement shall be determined exclusively by a Minnesota court of appropriate jurisdiction, and the parties acknowledge the existence of sufficient contacts to the State of Minnesota to confer exclusive jurisdiction upon courts in that state. This Agreement supersedes and replaces all prior oral and written agreements, understandings, and representations between Employee and the Company. Further, Employee understands and agrees that, except as provided in this Agreement, all claims which she has or may have against the Company and the other released parties are fully released and discharged by this Agreement. The only claim which Employee may hereafter assert against the Company or any of the other released parties is limited to an alleged breach of this Agreement.</w:t>
      </w:r>
    </w:p>
    <w:p>
      <w:pPr>
        <w:spacing w:after="0" w:line="126" w:lineRule="exact"/>
        <w:rPr>
          <w:rFonts w:ascii="Arial" w:cs="Arial" w:eastAsia="Arial" w:hAnsi="Arial"/>
          <w:sz w:val="21"/>
          <w:szCs w:val="21"/>
          <w:color w:val="auto"/>
        </w:rPr>
      </w:pPr>
    </w:p>
    <w:p>
      <w:pPr>
        <w:ind w:right="80" w:firstLine="656"/>
        <w:spacing w:after="0" w:line="288" w:lineRule="auto"/>
        <w:tabs>
          <w:tab w:leader="none" w:pos="1567"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Administrative Charges, Investigations, and Proceedings</w:t>
      </w:r>
      <w:r>
        <w:rPr>
          <w:rFonts w:ascii="Arial" w:cs="Arial" w:eastAsia="Arial" w:hAnsi="Arial"/>
          <w:sz w:val="19"/>
          <w:szCs w:val="19"/>
          <w:color w:val="auto"/>
        </w:rPr>
        <w:t>. Nothing in this Agreement prohibits Employee from reporting possible violations of federal or state law or regulation to the government, including but not limited to the EEOC, Department of Justice, Securities and Exchange Commission, Congress, and any agency inspector general, or filing a charge with or participating in an investigation or proceeding conducted by the EEOC or a comparable state or local agency (collectively, any such activity shall be referred to as a "Government Report"). Employee does not need prior authorization of the Company to make a Government Report and is not required to notify the Company that she has made a Government Report. The restrictions in Sections 5-6 above regarding confidentiality, non-disparagement and cooperation do not apply in connection with a Government Report. Notwithstanding the provisions of this Section 14, Employee's release of claims in Section 2 above waives any alleged right to recover any monetary damages, receive payment for attorneys' fees, costs or disbursements or receive any relief from the Company in connection with any matter, including a Government Report, but this Agreement does not limit any right of Employee to receive a reward from the government for providing it information in connection with a Government Report.</w:t>
      </w:r>
    </w:p>
    <w:p>
      <w:pPr>
        <w:spacing w:after="0" w:line="100" w:lineRule="exact"/>
        <w:rPr>
          <w:rFonts w:ascii="Arial" w:cs="Arial" w:eastAsia="Arial" w:hAnsi="Arial"/>
          <w:sz w:val="19"/>
          <w:szCs w:val="19"/>
          <w:color w:val="auto"/>
        </w:rPr>
      </w:pPr>
    </w:p>
    <w:p>
      <w:pPr>
        <w:ind w:right="100" w:firstLine="656"/>
        <w:spacing w:after="0" w:line="265" w:lineRule="auto"/>
        <w:tabs>
          <w:tab w:leader="none" w:pos="1567"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Construction of this Agreement and Severability</w:t>
      </w:r>
      <w:r>
        <w:rPr>
          <w:rFonts w:ascii="Arial" w:cs="Arial" w:eastAsia="Arial" w:hAnsi="Arial"/>
          <w:sz w:val="21"/>
          <w:szCs w:val="21"/>
          <w:color w:val="auto"/>
        </w:rPr>
        <w:t>. Should this Agreement require judicial interpretation, the court shall not construe the Agreement more strictly against any party, including the party who prepared it. Any portions of this Agreement found by a court of competent jurisdiction to be invalid, illegal, overly broad or unenforceable in any respect shall be revised to the minimum amount necessary in order to be valid and enforceable.</w:t>
      </w:r>
    </w:p>
    <w:p>
      <w:pPr>
        <w:spacing w:after="0" w:line="121" w:lineRule="exact"/>
        <w:rPr>
          <w:rFonts w:ascii="Arial" w:cs="Arial" w:eastAsia="Arial" w:hAnsi="Arial"/>
          <w:sz w:val="21"/>
          <w:szCs w:val="21"/>
          <w:color w:val="auto"/>
        </w:rPr>
      </w:pPr>
    </w:p>
    <w:p>
      <w:pPr>
        <w:ind w:right="60" w:firstLine="656"/>
        <w:spacing w:after="0" w:line="288" w:lineRule="auto"/>
        <w:tabs>
          <w:tab w:leader="none" w:pos="1567"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Employee Understands the Terms of this Agreement</w:t>
      </w:r>
      <w:r>
        <w:rPr>
          <w:rFonts w:ascii="Arial" w:cs="Arial" w:eastAsia="Arial" w:hAnsi="Arial"/>
          <w:sz w:val="19"/>
          <w:szCs w:val="19"/>
          <w:color w:val="auto"/>
        </w:rPr>
        <w:t>. Other than stated herein, Employee warrants that (a) no promise or inducement has been offered for this Agreement; (b) this Agreement is executed without reliance upon any statement or representation of the Company or its representatives concerning the nature and extent of any claims or liability therefor, if any;</w:t>
      </w:r>
    </w:p>
    <w:p>
      <w:pPr>
        <w:spacing w:after="0" w:line="1" w:lineRule="exact"/>
        <w:rPr>
          <w:rFonts w:ascii="Arial" w:cs="Arial" w:eastAsia="Arial" w:hAnsi="Arial"/>
          <w:sz w:val="19"/>
          <w:szCs w:val="19"/>
          <w:color w:val="auto"/>
        </w:rPr>
      </w:pPr>
    </w:p>
    <w:p>
      <w:pPr>
        <w:ind w:right="120" w:firstLine="8"/>
        <w:spacing w:after="0" w:line="292" w:lineRule="auto"/>
        <w:tabs>
          <w:tab w:leader="none" w:pos="29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Employee is legally competent to execute this Agreement and accepts full responsibility therefor; (d) the Company has advised Employee to consult with an attorney, and Employee has had a sufficient opportunity to consult with an attorney; (e) the Company has allowed Employee twenty-one (21) days within which to consider this proposed Agreement; and (f) Employee fully understands this Agreement and has been advised by counsel (or has consciously chosen not to seek counsel) of the consequences of signing this Agreement. The parties acknowledge and agree that if Employee has not signed this proposed Agreement within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375" w:right="239" w:bottom="1440" w:gutter="0" w:footer="0" w:header="0"/>
        </w:sectPr>
      </w:pPr>
    </w:p>
    <w:bookmarkStart w:id="104" w:name="page105"/>
    <w:bookmarkEnd w:id="104"/>
    <w:p>
      <w:pPr>
        <w:spacing w:after="0" w:line="253" w:lineRule="auto"/>
        <w:rPr>
          <w:sz w:val="20"/>
          <w:szCs w:val="20"/>
          <w:color w:val="auto"/>
        </w:rPr>
      </w:pPr>
      <w:r>
        <w:rPr>
          <w:rFonts w:ascii="Arial" w:cs="Arial" w:eastAsia="Arial" w:hAnsi="Arial"/>
          <w:sz w:val="22"/>
          <w:szCs w:val="22"/>
          <w:color w:val="auto"/>
        </w:rPr>
        <w:t>the twenty-one (21) day period following the Company’s presentation of the offer of this Agreement to Employee, then the offer of this Agreement shall expire by its own terms and be of no further force or effect without any further action required on the part of the Company.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4"/>
          </w:tcPr>
          <w:p>
            <w:pPr>
              <w:ind w:left="1080"/>
              <w:spacing w:after="0"/>
              <w:rPr>
                <w:sz w:val="20"/>
                <w:szCs w:val="20"/>
                <w:color w:val="auto"/>
              </w:rPr>
            </w:pPr>
            <w:r>
              <w:rPr>
                <w:rFonts w:ascii="Arial" w:cs="Arial" w:eastAsia="Arial" w:hAnsi="Arial"/>
                <w:sz w:val="22"/>
                <w:szCs w:val="22"/>
                <w:b w:val="1"/>
                <w:bCs w:val="1"/>
                <w:color w:val="auto"/>
              </w:rPr>
              <w:t>EMPLOYEE</w:t>
            </w:r>
          </w:p>
        </w:tc>
      </w:tr>
      <w:tr>
        <w:trPr>
          <w:trHeight w:val="719"/>
        </w:trPr>
        <w:tc>
          <w:tcPr>
            <w:tcW w:w="2420" w:type="dxa"/>
            <w:vAlign w:val="bottom"/>
          </w:tcPr>
          <w:p>
            <w:pPr>
              <w:spacing w:after="0"/>
              <w:rPr>
                <w:sz w:val="20"/>
                <w:szCs w:val="20"/>
                <w:color w:val="auto"/>
              </w:rPr>
            </w:pPr>
            <w:r>
              <w:rPr>
                <w:rFonts w:ascii="Arial" w:cs="Arial" w:eastAsia="Arial" w:hAnsi="Arial"/>
                <w:sz w:val="22"/>
                <w:szCs w:val="22"/>
                <w:color w:val="auto"/>
              </w:rPr>
              <w:t>Dated:  March 15, 2018</w:t>
            </w:r>
          </w:p>
        </w:tc>
        <w:tc>
          <w:tcPr>
            <w:tcW w:w="400" w:type="dxa"/>
            <w:vAlign w:val="bottom"/>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Angela D. Jilek</w:t>
            </w:r>
          </w:p>
        </w:tc>
        <w:tc>
          <w:tcPr>
            <w:tcW w:w="3080" w:type="dxa"/>
            <w:vAlign w:val="bottom"/>
            <w:gridSpan w:val="2"/>
          </w:tcPr>
          <w:p>
            <w:pPr>
              <w:spacing w:after="0"/>
              <w:rPr>
                <w:sz w:val="24"/>
                <w:szCs w:val="24"/>
                <w:color w:val="auto"/>
              </w:rPr>
            </w:pPr>
          </w:p>
        </w:tc>
      </w:tr>
      <w:tr>
        <w:trPr>
          <w:trHeight w:val="287"/>
        </w:trPr>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4"/>
          </w:tcPr>
          <w:p>
            <w:pPr>
              <w:ind w:left="1080"/>
              <w:spacing w:after="0"/>
              <w:rPr>
                <w:sz w:val="20"/>
                <w:szCs w:val="20"/>
                <w:color w:val="auto"/>
              </w:rPr>
            </w:pPr>
            <w:r>
              <w:rPr>
                <w:rFonts w:ascii="Arial" w:cs="Arial" w:eastAsia="Arial" w:hAnsi="Arial"/>
                <w:sz w:val="22"/>
                <w:szCs w:val="22"/>
                <w:color w:val="auto"/>
              </w:rPr>
              <w:t>Angela D. Jilek</w:t>
            </w:r>
          </w:p>
        </w:tc>
      </w:tr>
      <w:tr>
        <w:trPr>
          <w:trHeight w:val="1026"/>
        </w:trPr>
        <w:tc>
          <w:tcPr>
            <w:tcW w:w="2420" w:type="dxa"/>
            <w:vAlign w:val="bottom"/>
          </w:tcPr>
          <w:p>
            <w:pPr>
              <w:spacing w:after="0"/>
              <w:rPr>
                <w:sz w:val="20"/>
                <w:szCs w:val="20"/>
                <w:color w:val="auto"/>
              </w:rPr>
            </w:pPr>
            <w:r>
              <w:rPr>
                <w:rFonts w:ascii="Arial" w:cs="Arial" w:eastAsia="Arial" w:hAnsi="Arial"/>
                <w:sz w:val="22"/>
                <w:szCs w:val="22"/>
                <w:color w:val="auto"/>
              </w:rPr>
              <w:t>Dated: March 15, 2018</w:t>
            </w:r>
          </w:p>
        </w:tc>
        <w:tc>
          <w:tcPr>
            <w:tcW w:w="5100" w:type="dxa"/>
            <w:vAlign w:val="bottom"/>
            <w:gridSpan w:val="5"/>
          </w:tcPr>
          <w:p>
            <w:pPr>
              <w:ind w:left="260"/>
              <w:spacing w:after="0"/>
              <w:rPr>
                <w:sz w:val="20"/>
                <w:szCs w:val="20"/>
                <w:color w:val="auto"/>
              </w:rPr>
            </w:pPr>
            <w:r>
              <w:rPr>
                <w:rFonts w:ascii="Arial" w:cs="Arial" w:eastAsia="Arial" w:hAnsi="Arial"/>
                <w:sz w:val="22"/>
                <w:szCs w:val="22"/>
                <w:b w:val="1"/>
                <w:bCs w:val="1"/>
                <w:color w:val="auto"/>
              </w:rPr>
              <w:t>PENTAIR MANAGEMENT COMPANY</w:t>
            </w:r>
          </w:p>
        </w:tc>
      </w:tr>
      <w:tr>
        <w:trPr>
          <w:trHeight w:val="719"/>
        </w:trPr>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4"/>
          </w:tcPr>
          <w:p>
            <w:pPr>
              <w:ind w:left="1080"/>
              <w:spacing w:after="0"/>
              <w:rPr>
                <w:sz w:val="20"/>
                <w:szCs w:val="20"/>
                <w:color w:val="auto"/>
              </w:rPr>
            </w:pPr>
            <w:r>
              <w:rPr>
                <w:rFonts w:ascii="Arial" w:cs="Arial" w:eastAsia="Arial" w:hAnsi="Arial"/>
                <w:sz w:val="22"/>
                <w:szCs w:val="22"/>
                <w:color w:val="auto"/>
              </w:rPr>
              <w:t>By /s/ Randall J. Hogan</w:t>
            </w:r>
          </w:p>
        </w:tc>
      </w:tr>
      <w:tr>
        <w:trPr>
          <w:trHeight w:val="20"/>
        </w:trPr>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9"/>
        </w:trPr>
        <w:tc>
          <w:tcPr>
            <w:tcW w:w="2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4"/>
          </w:tcPr>
          <w:p>
            <w:pPr>
              <w:ind w:left="1080"/>
              <w:spacing w:after="0"/>
              <w:rPr>
                <w:sz w:val="20"/>
                <w:szCs w:val="20"/>
                <w:color w:val="auto"/>
              </w:rPr>
            </w:pPr>
            <w:r>
              <w:rPr>
                <w:rFonts w:ascii="Arial" w:cs="Arial" w:eastAsia="Arial" w:hAnsi="Arial"/>
                <w:sz w:val="22"/>
                <w:szCs w:val="22"/>
                <w:color w:val="auto"/>
              </w:rPr>
              <w:t>Randall J. Hogan</w:t>
            </w:r>
          </w:p>
        </w:tc>
      </w:tr>
      <w:tr>
        <w:trPr>
          <w:trHeight w:val="275"/>
        </w:trPr>
        <w:tc>
          <w:tcPr>
            <w:tcW w:w="2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4"/>
          </w:tcPr>
          <w:p>
            <w:pPr>
              <w:ind w:left="1080"/>
              <w:spacing w:after="0"/>
              <w:rPr>
                <w:sz w:val="20"/>
                <w:szCs w:val="20"/>
                <w:color w:val="auto"/>
              </w:rPr>
            </w:pPr>
            <w:r>
              <w:rPr>
                <w:rFonts w:ascii="Arial" w:cs="Arial" w:eastAsia="Arial" w:hAnsi="Arial"/>
                <w:sz w:val="22"/>
                <w:szCs w:val="22"/>
                <w:color w:val="auto"/>
                <w:w w:val="90"/>
              </w:rPr>
              <w:t>Its Chairman and Chief Executive Officer</w:t>
            </w:r>
          </w:p>
        </w:tc>
      </w:tr>
      <w:tr>
        <w:trPr>
          <w:trHeight w:val="986"/>
        </w:trPr>
        <w:tc>
          <w:tcPr>
            <w:tcW w:w="2420" w:type="dxa"/>
            <w:vAlign w:val="bottom"/>
          </w:tcPr>
          <w:p>
            <w:pPr>
              <w:spacing w:after="0"/>
              <w:rPr>
                <w:sz w:val="24"/>
                <w:szCs w:val="24"/>
                <w:color w:val="auto"/>
              </w:rPr>
            </w:pPr>
          </w:p>
        </w:tc>
        <w:tc>
          <w:tcPr>
            <w:tcW w:w="3540" w:type="dxa"/>
            <w:vAlign w:val="bottom"/>
            <w:gridSpan w:val="4"/>
          </w:tcPr>
          <w:p>
            <w:pPr>
              <w:jc w:val="right"/>
              <w:ind w:right="140"/>
              <w:spacing w:after="0"/>
              <w:rPr>
                <w:sz w:val="20"/>
                <w:szCs w:val="20"/>
                <w:color w:val="auto"/>
              </w:rPr>
            </w:pPr>
            <w:r>
              <w:rPr>
                <w:rFonts w:ascii="Arial" w:cs="Arial" w:eastAsia="Arial" w:hAnsi="Arial"/>
                <w:sz w:val="22"/>
                <w:szCs w:val="22"/>
                <w:color w:val="auto"/>
              </w:rPr>
              <w:t>10</w:t>
            </w:r>
          </w:p>
        </w:tc>
        <w:tc>
          <w:tcPr>
            <w:tcW w:w="1560" w:type="dxa"/>
            <w:vAlign w:val="bottom"/>
          </w:tcPr>
          <w:p>
            <w:pPr>
              <w:spacing w:after="0"/>
              <w:rPr>
                <w:sz w:val="24"/>
                <w:szCs w:val="24"/>
                <w:color w:val="auto"/>
              </w:rPr>
            </w:pPr>
          </w:p>
        </w:tc>
      </w:tr>
      <w:tr>
        <w:trPr>
          <w:trHeight w:val="572"/>
        </w:trPr>
        <w:tc>
          <w:tcPr>
            <w:tcW w:w="2420" w:type="dxa"/>
            <w:vAlign w:val="bottom"/>
          </w:tcPr>
          <w:p>
            <w:pPr>
              <w:spacing w:after="0"/>
              <w:rPr>
                <w:sz w:val="20"/>
                <w:szCs w:val="20"/>
                <w:color w:val="auto"/>
              </w:rPr>
            </w:pPr>
            <w:r>
              <w:rPr>
                <w:rFonts w:ascii="Arial" w:cs="Arial" w:eastAsia="Arial" w:hAnsi="Arial"/>
                <w:sz w:val="14"/>
                <w:szCs w:val="14"/>
                <w:color w:val="auto"/>
              </w:rPr>
              <w:t>15045978.1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40"/>
          </w:cols>
          <w:pgMar w:left="240" w:top="375" w:right="3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6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u w:val="single" w:color="auto"/>
          <w:color w:val="auto"/>
        </w:rPr>
        <w:t>Post-Employment Release of Claims</w:t>
      </w:r>
      <w:r>
        <w:rPr>
          <w:rFonts w:ascii="Arial" w:cs="Arial" w:eastAsia="Arial" w:hAnsi="Arial"/>
          <w:sz w:val="19"/>
          <w:szCs w:val="19"/>
          <w:color w:val="auto"/>
        </w:rPr>
        <w:t>. Emplo</w:t>
      </w:r>
      <w:r>
        <w:rPr>
          <w:rFonts w:ascii="Arial" w:cs="Arial" w:eastAsia="Arial" w:hAnsi="Arial"/>
          <w:sz w:val="17"/>
          <w:szCs w:val="17"/>
          <w:color w:val="auto"/>
        </w:rPr>
        <w:t>yee, on behalf of herself, her agents, representatives, attorneys, assignees, heirs, executors, and</w:t>
      </w:r>
      <w:r>
        <w:rPr>
          <w:rFonts w:ascii="Arial" w:cs="Arial" w:eastAsia="Arial" w:hAnsi="Arial"/>
          <w:sz w:val="19"/>
          <w:szCs w:val="19"/>
          <w:color w:val="auto"/>
        </w:rPr>
        <w:t xml:space="preserve"> </w:t>
      </w:r>
      <w:r>
        <w:rPr>
          <w:rFonts w:ascii="Arial" w:cs="Arial" w:eastAsia="Arial" w:hAnsi="Arial"/>
          <w:sz w:val="17"/>
          <w:szCs w:val="17"/>
          <w:color w:val="auto"/>
        </w:rPr>
        <w:t>administrators, hereby covenants not to sue and releases and forever discharges Pentair Management Company (the “Company”), and its past and present employees, agents, insurers, officials, officers, directors, divisions, parents, subsidiaries and successors, and all affiliated companies and entities (including Pentair plc), and all of their respective past and present employees, agents, insurers, officials, officers, and directors from any and all claims and causes of action of any type arising, or which may have arisen, out of or in connection with her employment or the separation of her employment, including but not limited to claims, demands or actions arising under the National Labor Relations Act, Title VII of the Civil Rights Act of 1964, the Employee Retirement Income Security Act of 1974, the Age Discrimination in Employment Act of 1967 as amended by the Older Workers Benefit Protection Act, the Equal Pay Act, 42 U.S.C. § 1981, the Sarbanes-Oxley Act, the Dodd–Frank Wall Street Reform and Consumer Protection Act, the Fair Credit Reporting Act, the Vocational Rehabilitation Act, the Family and Medical Leave Act, the Worker Adjustment and Retraining Notification Act, the Fair Labor Standards Act, the Lily Ledbetter Fair Pay Act of 2009, the Americans with Disabilities Act, the Rehabilitation Act of 1973, the Genetic Information Nondiscrimination Act, the Immigration Reform and Control Act of 1986, the Civil Rights Act of 1991, the Occupational Safety and Health Act, the Consumer Credit Protection Act, the American Recovery and Reinvestment Act of 2009, the Asbestos Hazard Emergency Response Act, Employee Polygraph Protection Act, the Uniformed Services Employment and Reemployment Rights Act, the Minnesota Human Rights Act, the Minnesota Equal Pay for Equal Work Law, the Minnesota Fair Labor Standards Act, the Minnesota Labor Relations Act, the Minnesota Occupational Safety and Health Act, the Minnesota Criminal Background Check Act, the Minnesota Lawful Consumable Products Law, the Minnesota Smokers’ Rights Law, the Minnesota Parental Leave Act, the Minnesota Adoptive Parent Leave Law, the Minnesota Whistleblower Act, the Minnesota Drug and Alcohol Testing in the Workplace Act, the Minnesota Consumer Reports Law, the Minnesota Victim of Violent Crime Leave Law, the Minnesota Domestic Abuse Leave Law, the Minnesota Bone Marrow Donation Leave Law, the Minnesota Military and Service Leave Law, the Minnesota Minimum Wage Law, the Minnesota Drug and Alcohol Testing in the Workplace Act, Minn. Stat.</w:t>
      </w:r>
    </w:p>
    <w:p>
      <w:pPr>
        <w:spacing w:after="0" w:line="1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176.82, Minnesota Statutes Chapter 181, the Minnesota Constitution, Minnesota common law, and any other federal, state or local statute, ordinance, regulation or order regarding employment, compensation for employment, termination of employment, or discrimination in employment, and the common law of any state. Employee further understands that this discharge of claims extends to, but is not limited to, all claims which she may have as of the date of this Release based upon statutory or common law claims for defamation, libel, slander, assault, battery, negligent or intentional infliction of emotional distress, negligent hiring or retention, breach of contract, retaliation, whistleblowing, promissory estoppel, fraud, wrongful discharge, or any other theory, whether legal or equitable, and any and all claims for wages, salary, bonuses, commissions, damages, attorney’s fees or costs. Employee acknowledges that this Release includes all claims that she is legally permitted to release, and as such, does not apply to any vested rights under the Company’s retirement plans, nor does it preclude her from filing an administrative charge of discrimination, though she may not recover any damages if she does file such a charge.</w:t>
      </w:r>
    </w:p>
    <w:p>
      <w:pPr>
        <w:spacing w:after="0" w:line="116" w:lineRule="exact"/>
        <w:rPr>
          <w:sz w:val="20"/>
          <w:szCs w:val="20"/>
          <w:color w:val="auto"/>
        </w:rPr>
      </w:pPr>
    </w:p>
    <w:p>
      <w:pPr>
        <w:spacing w:after="0" w:line="258" w:lineRule="auto"/>
        <w:rPr>
          <w:sz w:val="20"/>
          <w:szCs w:val="20"/>
          <w:color w:val="auto"/>
        </w:rPr>
      </w:pPr>
      <w:r>
        <w:rPr>
          <w:rFonts w:ascii="Arial" w:cs="Arial" w:eastAsia="Arial" w:hAnsi="Arial"/>
          <w:sz w:val="18"/>
          <w:szCs w:val="18"/>
          <w:u w:val="single" w:color="auto"/>
          <w:color w:val="auto"/>
        </w:rPr>
        <w:t>Rescission</w:t>
      </w:r>
      <w:r>
        <w:rPr>
          <w:rFonts w:ascii="Arial" w:cs="Arial" w:eastAsia="Arial" w:hAnsi="Arial"/>
          <w:sz w:val="18"/>
          <w:szCs w:val="18"/>
          <w:color w:val="auto"/>
        </w:rPr>
        <w:t>. Employee understands she may not sign this post-employment release of claims (“Release”) prior to her separation of employment with the Company. Employee further understands that she may nullify and rescind this Release at any time within fifteen (15) days from the date of signature below by indicating her desire to do so in writing and delivering that writing to the Company c/o Jörg H. Kasparek, Vice President, Compensation &amp; Benefits, Pentair plc, Suite 600, 5500 Wayzata Boulevard, Golden Valley, MN 55416, by hand or by certified mail. Employee further understands that if she rescinds this Release on a timely basis, then the Company will have no obligation to pay her any of the monies or benefits which Employee would have otherwise received under Section 1 of the Confidential Transition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00"/>
          </w:cols>
          <w:pgMar w:left="240" w:top="616" w:right="259" w:bottom="1440" w:gutter="0" w:footer="0" w:header="0"/>
        </w:sectPr>
      </w:pPr>
    </w:p>
    <w:bookmarkStart w:id="106" w:name="page107"/>
    <w:bookmarkEnd w:id="106"/>
    <w:p>
      <w:pPr>
        <w:spacing w:after="0" w:line="258" w:lineRule="auto"/>
        <w:rPr>
          <w:sz w:val="20"/>
          <w:szCs w:val="20"/>
          <w:color w:val="auto"/>
        </w:rPr>
      </w:pPr>
      <w:r>
        <w:rPr>
          <w:rFonts w:ascii="Arial" w:cs="Arial" w:eastAsia="Arial" w:hAnsi="Arial"/>
          <w:sz w:val="18"/>
          <w:szCs w:val="18"/>
          <w:color w:val="auto"/>
        </w:rPr>
        <w:t>Agreement to which this Release was attached as Exhibit A. Except as stated in such Agreement, Employee warrants that (a) no promise or inducement has been offered for this Release; (b) this Release is executed without reliance upon any statement or representation of the Company or its representatives concerning the nature and extent of any claims or liability therefor, if any; (c) Employee is legally competent to execute this Release and accepts full responsibility therefor; (d) the Company has advised Employee to consult with an attorney; (e) the Company has allowed Employee at least twenty-one (21) days within which to consider this Release; and (f) Employee fully understands this Release and has had a sufficient opportunity to be advised by counsel of the consequences of signing this Release.</w:t>
      </w: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65" w:lineRule="exact"/>
        <w:rPr>
          <w:sz w:val="20"/>
          <w:szCs w:val="20"/>
          <w:color w:val="auto"/>
        </w:rPr>
      </w:pPr>
    </w:p>
    <w:p>
      <w:pPr>
        <w:spacing w:after="0"/>
        <w:tabs>
          <w:tab w:leader="none" w:pos="2620" w:val="left"/>
        </w:tabs>
        <w:rPr>
          <w:sz w:val="20"/>
          <w:szCs w:val="20"/>
          <w:color w:val="auto"/>
        </w:rPr>
      </w:pPr>
      <w:r>
        <w:rPr>
          <w:rFonts w:ascii="Arial" w:cs="Arial" w:eastAsia="Arial" w:hAnsi="Arial"/>
          <w:sz w:val="20"/>
          <w:szCs w:val="20"/>
          <w:color w:val="auto"/>
        </w:rPr>
        <w:t>Dated: March 15, 2018</w:t>
      </w:r>
      <w:r>
        <w:rPr>
          <w:sz w:val="20"/>
          <w:szCs w:val="20"/>
          <w:color w:val="auto"/>
        </w:rPr>
        <w:tab/>
      </w:r>
      <w:r>
        <w:rPr>
          <w:rFonts w:ascii="Arial" w:cs="Arial" w:eastAsia="Arial" w:hAnsi="Arial"/>
          <w:sz w:val="18"/>
          <w:szCs w:val="18"/>
          <w:u w:val="single" w:color="auto"/>
          <w:color w:val="auto"/>
        </w:rPr>
        <w:t>/s/ Angela D. Jilek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15045978.1</w:t>
      </w:r>
    </w:p>
    <w:p>
      <w:pPr>
        <w:sectPr>
          <w:pgSz w:w="11900" w:h="16838" w:orient="portrait"/>
          <w:cols w:equalWidth="0" w:num="1">
            <w:col w:w="11420"/>
          </w:cols>
          <w:pgMar w:left="240" w:top="61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Randall J. Hogan, certify that:</w:t>
      </w:r>
    </w:p>
    <w:p>
      <w:pPr>
        <w:spacing w:after="0" w:line="225" w:lineRule="exact"/>
        <w:rPr>
          <w:sz w:val="20"/>
          <w:szCs w:val="20"/>
          <w:color w:val="auto"/>
        </w:rPr>
      </w:pPr>
    </w:p>
    <w:p>
      <w:pPr>
        <w:ind w:left="280" w:hanging="258"/>
        <w:spacing w:after="0"/>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20, 2018</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20,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2018 as filed with the Securities and Exchange Commission on the date hereof (the “Report”), I, Randall J. Hogan, Chairman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20, 2018</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2018 as filed with the Securities and Exchange Commission on the date hereof (the “Report”), I, John L. Stauch,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20,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1."/>
      <w:numFmt w:val="decimal"/>
      <w:start w:val="2"/>
    </w:lvl>
  </w:abstractNum>
  <w:abstractNum w:abstractNumId="3">
    <w:nsid w:val="310C50B3"/>
    <w:multiLevelType w:val="hybridMultilevel"/>
    <w:lvl w:ilvl="0">
      <w:lvlJc w:val="left"/>
      <w:lvlText w:val="%1."/>
      <w:numFmt w:val="decimal"/>
      <w:start w:val="3"/>
    </w:lvl>
  </w:abstractNum>
  <w:abstractNum w:abstractNumId="4">
    <w:nsid w:val="5FF87E05"/>
    <w:multiLevelType w:val="hybridMultilevel"/>
    <w:lvl w:ilvl="0">
      <w:lvlJc w:val="left"/>
      <w:lvlText w:val="%1."/>
      <w:numFmt w:val="decimal"/>
      <w:start w:val="4"/>
    </w:lvl>
  </w:abstractNum>
  <w:abstractNum w:abstractNumId="5">
    <w:nsid w:val="2F305DEF"/>
    <w:multiLevelType w:val="hybridMultilevel"/>
    <w:lvl w:ilvl="0">
      <w:lvlJc w:val="left"/>
      <w:lvlText w:val="%1."/>
      <w:numFmt w:val="decimal"/>
      <w:start w:val="5"/>
    </w:lvl>
  </w:abstractNum>
  <w:abstractNum w:abstractNumId="6">
    <w:nsid w:val="25A70BF7"/>
    <w:multiLevelType w:val="hybridMultilevel"/>
    <w:lvl w:ilvl="0">
      <w:lvlJc w:val="left"/>
      <w:lvlText w:val="%1."/>
      <w:numFmt w:val="decimal"/>
      <w:start w:val="6"/>
    </w:lvl>
  </w:abstractNum>
  <w:abstractNum w:abstractNumId="7">
    <w:nsid w:val="1DBABF00"/>
    <w:multiLevelType w:val="hybridMultilevel"/>
    <w:lvl w:ilvl="0">
      <w:lvlJc w:val="left"/>
      <w:lvlText w:val="%1."/>
      <w:numFmt w:val="decimal"/>
      <w:start w:val="8"/>
    </w:lvl>
  </w:abstractNum>
  <w:abstractNum w:abstractNumId="8">
    <w:nsid w:val="4AD084E9"/>
    <w:multiLevelType w:val="hybridMultilevel"/>
    <w:lvl w:ilvl="0">
      <w:lvlJc w:val="left"/>
      <w:lvlText w:val="%1."/>
      <w:numFmt w:val="decimal"/>
      <w:start w:val="9"/>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0"/>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decimal"/>
      <w:start w:val="1"/>
    </w:lvl>
    <w:lvl w:ilvl="1">
      <w:lvlJc w:val="left"/>
      <w:lvlText w:val="(%2)"/>
      <w:numFmt w:val="decimal"/>
      <w:start w:val="1"/>
    </w:lvl>
  </w:abstractNum>
  <w:abstractNum w:abstractNumId="13">
    <w:nsid w:val="6590700B"/>
    <w:multiLevelType w:val="hybridMultilevel"/>
    <w:lvl w:ilvl="0">
      <w:lvlJc w:val="left"/>
      <w:lvlText w:val="%1."/>
      <w:numFmt w:val="decimal"/>
      <w:start w:val="11"/>
    </w:lvl>
    <w:lvl w:ilvl="1">
      <w:lvlJc w:val="left"/>
      <w:lvlText w:val="%2"/>
      <w:numFmt w:val="decimal"/>
      <w:start w:val="1"/>
    </w:lvl>
  </w:abstractNum>
  <w:abstractNum w:abstractNumId="14">
    <w:nsid w:val="15014ACB"/>
    <w:multiLevelType w:val="hybridMultilevel"/>
    <w:lvl w:ilvl="0">
      <w:lvlJc w:val="left"/>
      <w:lvlText w:val="%1."/>
      <w:numFmt w:val="decimal"/>
      <w:start w:val="12"/>
    </w:lvl>
  </w:abstractNum>
  <w:abstractNum w:abstractNumId="15">
    <w:nsid w:val="5F5E7FD0"/>
    <w:multiLevelType w:val="hybridMultilevel"/>
    <w:lvl w:ilvl="0">
      <w:lvlJc w:val="left"/>
      <w:lvlText w:val="%1."/>
      <w:numFmt w:val="decimal"/>
      <w:start w:val="13"/>
    </w:lvl>
  </w:abstractNum>
  <w:abstractNum w:abstractNumId="16">
    <w:nsid w:val="98A3148"/>
    <w:multiLevelType w:val="hybridMultilevel"/>
    <w:lvl w:ilvl="0">
      <w:lvlJc w:val="left"/>
      <w:lvlText w:val="%1."/>
      <w:numFmt w:val="decimal"/>
      <w:start w:val="14"/>
    </w:lvl>
  </w:abstractNum>
  <w:abstractNum w:abstractNumId="17">
    <w:nsid w:val="799D0247"/>
    <w:multiLevelType w:val="hybridMultilevel"/>
    <w:lvl w:ilvl="0">
      <w:lvlJc w:val="left"/>
      <w:lvlText w:val="%1."/>
      <w:numFmt w:val="decimal"/>
      <w:start w:val="15"/>
    </w:lvl>
  </w:abstractNum>
  <w:abstractNum w:abstractNumId="18">
    <w:nsid w:val="6B94764"/>
    <w:multiLevelType w:val="hybridMultilevel"/>
    <w:lvl w:ilvl="0">
      <w:lvlJc w:val="left"/>
      <w:lvlText w:val="%1."/>
      <w:numFmt w:val="decimal"/>
      <w:start w:val="16"/>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decimal"/>
      <w:start w:val="10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1"/>
      <w:numFmt w:val="decimal"/>
      <w:start w:val="1"/>
    </w:lvl>
    <w:lvl w:ilvl="1">
      <w:lvlJc w:val="left"/>
      <w:lvlText w:val="(%2)"/>
      <w:numFmt w:val="lowerLetter"/>
      <w:start w:val="1"/>
    </w:lvl>
  </w:abstractNum>
  <w:abstractNum w:abstractNumId="45">
    <w:nsid w:val="6EB5BD4"/>
    <w:multiLevelType w:val="hybridMultilevel"/>
    <w:lvl w:ilvl="0">
      <w:lvlJc w:val="left"/>
      <w:lvlText w:val="%1."/>
      <w:numFmt w:val="decimal"/>
      <w:start w:val="4"/>
    </w:lvl>
    <w:lvl w:ilvl="1">
      <w:lvlJc w:val="left"/>
      <w:lvlText w:val="%2"/>
      <w:numFmt w:val="lowerLetter"/>
      <w:start w:val="1"/>
    </w:lvl>
  </w:abstractNum>
  <w:abstractNum w:abstractNumId="46">
    <w:nsid w:val="6F6DD9AC"/>
    <w:multiLevelType w:val="hybridMultilevel"/>
    <w:lvl w:ilvl="0">
      <w:lvlJc w:val="left"/>
      <w:lvlText w:val="%1."/>
      <w:numFmt w:val="decimal"/>
      <w:start w:val="5"/>
    </w:lvl>
    <w:lvl w:ilvl="1">
      <w:lvlJc w:val="left"/>
      <w:lvlText w:val="(%2)"/>
      <w:numFmt w:val="lowerLetter"/>
      <w:start w:val="1"/>
    </w:lvl>
  </w:abstractNum>
  <w:abstractNum w:abstractNumId="47">
    <w:nsid w:val="94211F2"/>
    <w:multiLevelType w:val="hybridMultilevel"/>
    <w:lvl w:ilvl="0">
      <w:lvlJc w:val="left"/>
      <w:lvlText w:val="%1."/>
      <w:numFmt w:val="decimal"/>
      <w:start w:val="6"/>
    </w:lvl>
    <w:lvl w:ilvl="1">
      <w:lvlJc w:val="left"/>
      <w:lvlText w:val="(%2)"/>
      <w:numFmt w:val="lowerLetter"/>
      <w:start w:val="1"/>
    </w:lvl>
  </w:abstractNum>
  <w:abstractNum w:abstractNumId="48">
    <w:nsid w:val="885E1B"/>
    <w:multiLevelType w:val="hybridMultilevel"/>
    <w:lvl w:ilvl="0">
      <w:lvlJc w:val="left"/>
      <w:lvlText w:val="(%1)"/>
      <w:numFmt w:val="lowerRoman"/>
      <w:start w:val="3"/>
    </w:lvl>
  </w:abstractNum>
  <w:abstractNum w:abstractNumId="49">
    <w:nsid w:val="76272110"/>
    <w:multiLevelType w:val="hybridMultilevel"/>
    <w:lvl w:ilvl="0">
      <w:lvlJc w:val="left"/>
      <w:lvlText w:val="%1."/>
      <w:numFmt w:val="decimal"/>
      <w:start w:val="8"/>
    </w:lvl>
  </w:abstractNum>
  <w:abstractNum w:abstractNumId="50">
    <w:nsid w:val="4C04A8AF"/>
    <w:multiLevelType w:val="hybridMultilevel"/>
    <w:lvl w:ilvl="0">
      <w:lvlJc w:val="left"/>
      <w:lvlText w:val="%1."/>
      <w:numFmt w:val="decimal"/>
      <w:start w:val="9"/>
    </w:lvl>
  </w:abstractNum>
  <w:abstractNum w:abstractNumId="51">
    <w:nsid w:val="1716703B"/>
    <w:multiLevelType w:val="hybridMultilevel"/>
    <w:lvl w:ilvl="0">
      <w:lvlJc w:val="left"/>
      <w:lvlText w:val="%1."/>
      <w:numFmt w:val="decimal"/>
      <w:start w:val="14"/>
    </w:lvl>
    <w:lvl w:ilvl="1">
      <w:lvlJc w:val="left"/>
      <w:lvlText w:val="(%2)"/>
      <w:numFmt w:val="lowerLetter"/>
      <w:start w:val="1"/>
    </w:lvl>
  </w:abstractNum>
  <w:abstractNum w:abstractNumId="52">
    <w:nsid w:val="14E17E33"/>
    <w:multiLevelType w:val="hybridMultilevel"/>
    <w:lvl w:ilvl="0">
      <w:lvlJc w:val="left"/>
      <w:lvlText w:val="%1"/>
      <w:numFmt w:val="decimal"/>
      <w:start w:val="1"/>
    </w:lvl>
    <w:lvl w:ilvl="1">
      <w:lvlJc w:val="left"/>
      <w:lvlText w:val="(%2)"/>
      <w:numFmt w:val="lowerLetter"/>
      <w:start w:val="4"/>
    </w:lvl>
  </w:abstractNum>
  <w:abstractNum w:abstractNumId="53">
    <w:nsid w:val="3222E7CD"/>
    <w:multiLevelType w:val="hybridMultilevel"/>
    <w:lvl w:ilvl="0">
      <w:lvlJc w:val="left"/>
      <w:lvlText w:val="%1."/>
      <w:numFmt w:val="decimal"/>
      <w:start w:val="17"/>
    </w:lvl>
    <w:lvl w:ilvl="1">
      <w:lvlJc w:val="left"/>
      <w:lvlText w:val="%2"/>
      <w:numFmt w:val="lowerLetter"/>
      <w:start w:val="1"/>
    </w:lvl>
  </w:abstractNum>
  <w:abstractNum w:abstractNumId="54">
    <w:nsid w:val="74DE0EE3"/>
    <w:multiLevelType w:val="hybridMultilevel"/>
    <w:lvl w:ilvl="0">
      <w:lvlJc w:val="left"/>
      <w:lvlText w:val="%1."/>
      <w:numFmt w:val="decimal"/>
      <w:start w:val="18"/>
    </w:lvl>
  </w:abstractNum>
  <w:abstractNum w:abstractNumId="55">
    <w:nsid w:val="68EBC550"/>
    <w:multiLevelType w:val="hybridMultilevel"/>
    <w:lvl w:ilvl="0">
      <w:lvlJc w:val="left"/>
      <w:lvlText w:val="%1."/>
      <w:numFmt w:val="decimal"/>
      <w:start w:val="19"/>
    </w:lvl>
  </w:abstractNum>
  <w:abstractNum w:abstractNumId="56">
    <w:nsid w:val="2DF6D648"/>
    <w:multiLevelType w:val="hybridMultilevel"/>
    <w:lvl w:ilvl="0">
      <w:lvlJc w:val="left"/>
      <w:lvlText w:val="%1."/>
      <w:numFmt w:val="decimal"/>
      <w:start w:val="26"/>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1."/>
      <w:numFmt w:val="decimal"/>
      <w:start w:val="3"/>
    </w:lvl>
  </w:abstractNum>
  <w:abstractNum w:abstractNumId="59">
    <w:nsid w:val="39EE015C"/>
    <w:multiLevelType w:val="hybridMultilevel"/>
    <w:lvl w:ilvl="0">
      <w:lvlJc w:val="left"/>
      <w:lvlText w:val="%1."/>
      <w:numFmt w:val="decimal"/>
      <w:start w:val="4"/>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decimal"/>
      <w:start w:val="1"/>
    </w:lvl>
    <w:lvl w:ilvl="1">
      <w:lvlJc w:val="left"/>
      <w:lvlText w:val="(%2)"/>
      <w:numFmt w:val="lowerLetter"/>
      <w:start w:val="1"/>
    </w:lvl>
  </w:abstractNum>
  <w:abstractNum w:abstractNumId="62">
    <w:nsid w:val="43F18422"/>
    <w:multiLevelType w:val="hybridMultilevel"/>
    <w:lvl w:ilvl="0">
      <w:lvlJc w:val="left"/>
      <w:lvlText w:val="%1."/>
      <w:numFmt w:val="decimal"/>
      <w:start w:val="3"/>
    </w:lvl>
    <w:lvl w:ilvl="1">
      <w:lvlJc w:val="left"/>
      <w:lvlText w:val="%2"/>
      <w:numFmt w:val="lowerLetter"/>
      <w:start w:val="1"/>
    </w:lvl>
  </w:abstractNum>
  <w:abstractNum w:abstractNumId="63">
    <w:nsid w:val="60EF0119"/>
    <w:multiLevelType w:val="hybridMultilevel"/>
    <w:lvl w:ilvl="0">
      <w:lvlJc w:val="left"/>
      <w:lvlText w:val="%1."/>
      <w:numFmt w:val="decimal"/>
      <w:start w:val="5"/>
    </w:lvl>
    <w:lvl w:ilvl="1">
      <w:lvlJc w:val="left"/>
      <w:lvlText w:val="(%2)"/>
      <w:numFmt w:val="lowerLetter"/>
      <w:start w:val="1"/>
    </w:lvl>
  </w:abstractNum>
  <w:abstractNum w:abstractNumId="64">
    <w:nsid w:val="26F324BA"/>
    <w:multiLevelType w:val="hybridMultilevel"/>
    <w:lvl w:ilvl="0">
      <w:lvlJc w:val="left"/>
      <w:lvlText w:val="(%1)"/>
      <w:numFmt w:val="lowerRoman"/>
      <w:start w:val="3"/>
    </w:lvl>
  </w:abstractNum>
  <w:abstractNum w:abstractNumId="65">
    <w:nsid w:val="7F01579B"/>
    <w:multiLevelType w:val="hybridMultilevel"/>
    <w:lvl w:ilvl="0">
      <w:lvlJc w:val="left"/>
      <w:lvlText w:val="%1."/>
      <w:numFmt w:val="decimal"/>
      <w:start w:val="7"/>
    </w:lvl>
  </w:abstractNum>
  <w:abstractNum w:abstractNumId="66">
    <w:nsid w:val="49DA307D"/>
    <w:multiLevelType w:val="hybridMultilevel"/>
    <w:lvl w:ilvl="0">
      <w:lvlJc w:val="left"/>
      <w:lvlText w:val="%1."/>
      <w:numFmt w:val="decimal"/>
      <w:start w:val="9"/>
    </w:lvl>
  </w:abstractNum>
  <w:abstractNum w:abstractNumId="67">
    <w:nsid w:val="7055A5F5"/>
    <w:multiLevelType w:val="hybridMultilevel"/>
    <w:lvl w:ilvl="0">
      <w:lvlJc w:val="left"/>
      <w:lvlText w:val="%1."/>
      <w:numFmt w:val="decimal"/>
      <w:start w:val="14"/>
    </w:lvl>
    <w:lvl w:ilvl="1">
      <w:lvlJc w:val="left"/>
      <w:lvlText w:val="(%2)"/>
      <w:numFmt w:val="lowerLetter"/>
      <w:start w:val="1"/>
    </w:lvl>
  </w:abstractNum>
  <w:abstractNum w:abstractNumId="68">
    <w:nsid w:val="5FB8370B"/>
    <w:multiLevelType w:val="hybridMultilevel"/>
    <w:lvl w:ilvl="0">
      <w:lvlJc w:val="left"/>
      <w:lvlText w:val="%1"/>
      <w:numFmt w:val="decimal"/>
      <w:start w:val="1"/>
    </w:lvl>
    <w:lvl w:ilvl="1">
      <w:lvlJc w:val="left"/>
      <w:lvlText w:val="(%2)"/>
      <w:numFmt w:val="lowerLetter"/>
      <w:start w:val="7"/>
    </w:lvl>
  </w:abstractNum>
  <w:abstractNum w:abstractNumId="69">
    <w:nsid w:val="50801EE1"/>
    <w:multiLevelType w:val="hybridMultilevel"/>
    <w:lvl w:ilvl="0">
      <w:lvlJc w:val="left"/>
      <w:lvlText w:val="%1."/>
      <w:numFmt w:val="decimal"/>
      <w:start w:val="16"/>
    </w:lvl>
    <w:lvl w:ilvl="1">
      <w:lvlJc w:val="left"/>
      <w:lvlText w:val="%2"/>
      <w:numFmt w:val="lowerLetter"/>
      <w:start w:val="1"/>
    </w:lvl>
  </w:abstractNum>
  <w:abstractNum w:abstractNumId="70">
    <w:nsid w:val="488AC1A"/>
    <w:multiLevelType w:val="hybridMultilevel"/>
    <w:lvl w:ilvl="0">
      <w:lvlJc w:val="left"/>
      <w:lvlText w:val="%1."/>
      <w:numFmt w:val="decimal"/>
      <w:start w:val="17"/>
    </w:lvl>
  </w:abstractNum>
  <w:abstractNum w:abstractNumId="71">
    <w:nsid w:val="5FB8011C"/>
    <w:multiLevelType w:val="hybridMultilevel"/>
    <w:lvl w:ilvl="0">
      <w:lvlJc w:val="left"/>
      <w:lvlText w:val="%1."/>
      <w:numFmt w:val="decimal"/>
      <w:start w:val="20"/>
    </w:lvl>
  </w:abstractNum>
  <w:abstractNum w:abstractNumId="72">
    <w:nsid w:val="6AA78F7F"/>
    <w:multiLevelType w:val="hybridMultilevel"/>
    <w:lvl w:ilvl="0">
      <w:lvlJc w:val="left"/>
      <w:lvlText w:val="%1."/>
      <w:numFmt w:val="decimal"/>
      <w:start w:val="26"/>
    </w:lvl>
  </w:abstractNum>
  <w:abstractNum w:abstractNumId="73">
    <w:nsid w:val="7672BD23"/>
    <w:multiLevelType w:val="hybridMultilevel"/>
    <w:lvl w:ilvl="0">
      <w:lvlJc w:val="left"/>
      <w:lvlText w:val="5"/>
      <w:numFmt w:val="bullet"/>
      <w:start w:val="1"/>
    </w:lvl>
    <w:lvl w:ilvl="1">
      <w:lvlJc w:val="left"/>
      <w:lvlText w:val="%2."/>
      <w:numFmt w:val="decimal"/>
      <w:start w:val="1"/>
    </w:lvl>
  </w:abstractNum>
  <w:abstractNum w:abstractNumId="74">
    <w:nsid w:val="6FC75AF8"/>
    <w:multiLevelType w:val="hybridMultilevel"/>
    <w:lvl w:ilvl="0">
      <w:lvlJc w:val="left"/>
      <w:lvlText w:val="%1."/>
      <w:numFmt w:val="decimal"/>
      <w:start w:val="3"/>
    </w:lvl>
  </w:abstractNum>
  <w:abstractNum w:abstractNumId="75">
    <w:nsid w:val="6A5F7029"/>
    <w:multiLevelType w:val="hybridMultilevel"/>
    <w:lvl w:ilvl="0">
      <w:lvlJc w:val="left"/>
      <w:lvlText w:val="%1."/>
      <w:numFmt w:val="decimal"/>
      <w:start w:val="4"/>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decimal"/>
      <w:start w:val="3"/>
    </w:lvl>
  </w:abstractNum>
  <w:abstractNum w:abstractNumId="79">
    <w:nsid w:val="7DE67713"/>
    <w:multiLevelType w:val="hybridMultilevel"/>
    <w:lvl w:ilvl="0">
      <w:lvlJc w:val="left"/>
      <w:lvlText w:val="%1."/>
      <w:numFmt w:val="decimal"/>
      <w:start w:val="4"/>
    </w:lvl>
    <w:lvl w:ilvl="1">
      <w:lvlJc w:val="left"/>
      <w:lvlText w:val="(%2)"/>
      <w:numFmt w:val="lowerLetter"/>
      <w:start w:val="1"/>
    </w:lvl>
  </w:abstractNum>
  <w:abstractNum w:abstractNumId="80">
    <w:nsid w:val="555C55B5"/>
    <w:multiLevelType w:val="hybridMultilevel"/>
    <w:lvl w:ilvl="0">
      <w:lvlJc w:val="left"/>
      <w:lvlText w:val="%1."/>
      <w:numFmt w:val="decimal"/>
      <w:start w:val="5"/>
    </w:lvl>
  </w:abstractNum>
  <w:abstractNum w:abstractNumId="81">
    <w:nsid w:val="3FA62ACA"/>
    <w:multiLevelType w:val="hybridMultilevel"/>
    <w:lvl w:ilvl="0">
      <w:lvlJc w:val="left"/>
      <w:lvlText w:val="%1."/>
      <w:numFmt w:val="decimal"/>
      <w:start w:val="6"/>
    </w:lvl>
  </w:abstractNum>
  <w:abstractNum w:abstractNumId="82">
    <w:nsid w:val="14FCE74E"/>
    <w:multiLevelType w:val="hybridMultilevel"/>
    <w:lvl w:ilvl="0">
      <w:lvlJc w:val="left"/>
      <w:lvlText w:val="%1."/>
      <w:numFmt w:val="decimal"/>
      <w:start w:val="9"/>
    </w:lvl>
  </w:abstractNum>
  <w:abstractNum w:abstractNumId="83">
    <w:nsid w:val="6A3DD3E8"/>
    <w:multiLevelType w:val="hybridMultilevel"/>
    <w:lvl w:ilvl="0">
      <w:lvlJc w:val="left"/>
      <w:lvlText w:val="%1."/>
      <w:numFmt w:val="decimal"/>
      <w:start w:val="14"/>
    </w:lvl>
    <w:lvl w:ilvl="1">
      <w:lvlJc w:val="left"/>
      <w:lvlText w:val="(%2)"/>
      <w:numFmt w:val="lowerLetter"/>
      <w:start w:val="1"/>
    </w:lvl>
  </w:abstractNum>
  <w:abstractNum w:abstractNumId="84">
    <w:nsid w:val="71C91298"/>
    <w:multiLevelType w:val="hybridMultilevel"/>
    <w:lvl w:ilvl="0">
      <w:lvlJc w:val="left"/>
      <w:lvlText w:val="%1"/>
      <w:numFmt w:val="decimal"/>
      <w:start w:val="1"/>
    </w:lvl>
    <w:lvl w:ilvl="1">
      <w:lvlJc w:val="left"/>
      <w:lvlText w:val="(%2)"/>
      <w:numFmt w:val="lowerLetter"/>
      <w:start w:val="12"/>
    </w:lvl>
  </w:abstractNum>
  <w:abstractNum w:abstractNumId="85">
    <w:nsid w:val="9DAF632"/>
    <w:multiLevelType w:val="hybridMultilevel"/>
    <w:lvl w:ilvl="0">
      <w:lvlJc w:val="left"/>
      <w:lvlText w:val="%1."/>
      <w:numFmt w:val="decimal"/>
      <w:start w:val="15"/>
    </w:lvl>
    <w:lvl w:ilvl="1">
      <w:lvlJc w:val="left"/>
      <w:lvlText w:val="%2"/>
      <w:numFmt w:val="lowerLetter"/>
      <w:start w:val="1"/>
    </w:lvl>
  </w:abstractNum>
  <w:abstractNum w:abstractNumId="86">
    <w:nsid w:val="53299938"/>
    <w:multiLevelType w:val="hybridMultilevel"/>
    <w:lvl w:ilvl="0">
      <w:lvlJc w:val="left"/>
      <w:lvlText w:val="%1."/>
      <w:numFmt w:val="decimal"/>
      <w:start w:val="16"/>
    </w:lvl>
  </w:abstractNum>
  <w:abstractNum w:abstractNumId="87">
    <w:nsid w:val="1FBFE8E0"/>
    <w:multiLevelType w:val="hybridMultilevel"/>
    <w:lvl w:ilvl="0">
      <w:lvlJc w:val="left"/>
      <w:lvlText w:val="%1."/>
      <w:numFmt w:val="decimal"/>
      <w:start w:val="20"/>
    </w:lvl>
  </w:abstractNum>
  <w:abstractNum w:abstractNumId="88">
    <w:nsid w:val="5092CA79"/>
    <w:multiLevelType w:val="hybridMultilevel"/>
    <w:lvl w:ilvl="0">
      <w:lvlJc w:val="left"/>
      <w:lvlText w:val="%1."/>
      <w:numFmt w:val="decimal"/>
      <w:start w:val="27"/>
    </w:lvl>
    <w:lvl w:ilvl="1">
      <w:lvlJc w:val="left"/>
      <w:lvlText w:val="*"/>
      <w:numFmt w:val="bullet"/>
      <w:start w:val="1"/>
    </w:lvl>
  </w:abstractNum>
  <w:abstractNum w:abstractNumId="89">
    <w:nsid w:val="1D545C4D"/>
    <w:multiLevelType w:val="hybridMultilevel"/>
    <w:lvl w:ilvl="0">
      <w:lvlJc w:val="left"/>
      <w:lvlText w:val="%1."/>
      <w:numFmt w:val="decimal"/>
      <w:start w:val="1"/>
    </w:lvl>
    <w:lvl w:ilvl="1">
      <w:lvlJc w:val="left"/>
      <w:lvlText w:val="%2."/>
      <w:numFmt w:val="decimal"/>
      <w:start w:val="2"/>
    </w:lvl>
  </w:abstractNum>
  <w:abstractNum w:abstractNumId="90">
    <w:nsid w:val="59ADEA3D"/>
    <w:multiLevelType w:val="hybridMultilevel"/>
    <w:lvl w:ilvl="0">
      <w:lvlJc w:val="left"/>
      <w:lvlText w:val="%1."/>
      <w:numFmt w:val="decimal"/>
      <w:start w:val="3"/>
    </w:lvl>
  </w:abstractNum>
  <w:abstractNum w:abstractNumId="91">
    <w:nsid w:val="288F1A34"/>
    <w:multiLevelType w:val="hybridMultilevel"/>
    <w:lvl w:ilvl="0">
      <w:lvlJc w:val="left"/>
      <w:lvlText w:val="%1."/>
      <w:numFmt w:val="decimal"/>
      <w:start w:val="4"/>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decimal"/>
      <w:start w:val="1"/>
    </w:lvl>
    <w:lvl w:ilvl="1">
      <w:lvlJc w:val="left"/>
      <w:lvlText w:val="(%2)"/>
      <w:numFmt w:val="lowerLetter"/>
      <w:start w:val="1"/>
    </w:lvl>
  </w:abstractNum>
  <w:abstractNum w:abstractNumId="94">
    <w:nsid w:val="97E1B4E"/>
    <w:multiLevelType w:val="hybridMultilevel"/>
    <w:lvl w:ilvl="0">
      <w:lvlJc w:val="left"/>
      <w:lvlText w:val="%1."/>
      <w:numFmt w:val="decimal"/>
      <w:start w:val="3"/>
    </w:lvl>
    <w:lvl w:ilvl="1">
      <w:lvlJc w:val="left"/>
      <w:lvlText w:val="%2"/>
      <w:numFmt w:val="lowerLetter"/>
      <w:start w:val="1"/>
    </w:lvl>
  </w:abstractNum>
  <w:abstractNum w:abstractNumId="95">
    <w:nsid w:val="51088277"/>
    <w:multiLevelType w:val="hybridMultilevel"/>
    <w:lvl w:ilvl="0">
      <w:lvlJc w:val="left"/>
      <w:lvlText w:val="(%1)"/>
      <w:numFmt w:val="lowerLetter"/>
      <w:start w:val="1"/>
    </w:lvl>
    <w:lvl w:ilvl="1">
      <w:lvlJc w:val="left"/>
      <w:lvlText w:val="(%2)"/>
      <w:numFmt w:val="lowerRoman"/>
      <w:start w:val="1"/>
    </w:lvl>
  </w:abstractNum>
  <w:abstractNum w:abstractNumId="96">
    <w:nsid w:val="1CA0C5FA"/>
    <w:multiLevelType w:val="hybridMultilevel"/>
    <w:lvl w:ilvl="0">
      <w:lvlJc w:val="left"/>
      <w:lvlText w:val="%1."/>
      <w:numFmt w:val="decimal"/>
      <w:start w:val="5"/>
    </w:lvl>
    <w:lvl w:ilvl="1">
      <w:lvlJc w:val="left"/>
      <w:lvlText w:val="(%2)"/>
      <w:numFmt w:val="lowerLetter"/>
      <w:start w:val="1"/>
    </w:lvl>
  </w:abstractNum>
  <w:abstractNum w:abstractNumId="97">
    <w:nsid w:val="53584BCB"/>
    <w:multiLevelType w:val="hybridMultilevel"/>
    <w:lvl w:ilvl="0">
      <w:lvlJc w:val="left"/>
      <w:lvlText w:val="(%1)"/>
      <w:numFmt w:val="lowerRoman"/>
      <w:start w:val="3"/>
    </w:lvl>
  </w:abstractNum>
  <w:abstractNum w:abstractNumId="98">
    <w:nsid w:val="415E286C"/>
    <w:multiLevelType w:val="hybridMultilevel"/>
    <w:lvl w:ilvl="0">
      <w:lvlJc w:val="left"/>
      <w:lvlText w:val="%1."/>
      <w:numFmt w:val="decimal"/>
      <w:start w:val="7"/>
    </w:lvl>
  </w:abstractNum>
  <w:abstractNum w:abstractNumId="99">
    <w:nsid w:val="7C58FD05"/>
    <w:multiLevelType w:val="hybridMultilevel"/>
    <w:lvl w:ilvl="0">
      <w:lvlJc w:val="left"/>
      <w:lvlText w:val="%1."/>
      <w:numFmt w:val="decimal"/>
      <w:start w:val="12"/>
    </w:lvl>
  </w:abstractNum>
  <w:abstractNum w:abstractNumId="100">
    <w:nsid w:val="23D86AAC"/>
    <w:multiLevelType w:val="hybridMultilevel"/>
    <w:lvl w:ilvl="0">
      <w:lvlJc w:val="left"/>
      <w:lvlText w:val="%1."/>
      <w:numFmt w:val="decimal"/>
      <w:start w:val="15"/>
    </w:lvl>
    <w:lvl w:ilvl="1">
      <w:lvlJc w:val="left"/>
      <w:lvlText w:val="(%2)"/>
      <w:numFmt w:val="lowerLetter"/>
      <w:start w:val="1"/>
    </w:lvl>
  </w:abstractNum>
  <w:abstractNum w:abstractNumId="101">
    <w:nsid w:val="45E6D486"/>
    <w:multiLevelType w:val="hybridMultilevel"/>
    <w:lvl w:ilvl="0">
      <w:lvlJc w:val="left"/>
      <w:lvlText w:val="%1."/>
      <w:numFmt w:val="decimal"/>
      <w:start w:val="16"/>
    </w:lvl>
  </w:abstractNum>
  <w:abstractNum w:abstractNumId="102">
    <w:nsid w:val="5C10FE21"/>
    <w:multiLevelType w:val="hybridMultilevel"/>
    <w:lvl w:ilvl="0">
      <w:lvlJc w:val="left"/>
      <w:lvlText w:val="%1."/>
      <w:numFmt w:val="decimal"/>
      <w:start w:val="17"/>
    </w:lvl>
  </w:abstractNum>
  <w:abstractNum w:abstractNumId="103">
    <w:nsid w:val="E7FFA2B"/>
    <w:multiLevelType w:val="hybridMultilevel"/>
    <w:lvl w:ilvl="0">
      <w:lvlJc w:val="left"/>
      <w:lvlText w:val="%1."/>
      <w:numFmt w:val="decimal"/>
      <w:start w:val="23"/>
    </w:lvl>
  </w:abstractNum>
  <w:abstractNum w:abstractNumId="104">
    <w:nsid w:val="3C5991AA"/>
    <w:multiLevelType w:val="hybridMultilevel"/>
    <w:lvl w:ilvl="0">
      <w:lvlJc w:val="left"/>
      <w:lvlText w:val="5"/>
      <w:numFmt w:val="bullet"/>
      <w:start w:val="1"/>
    </w:lvl>
    <w:lvl w:ilvl="1">
      <w:lvlJc w:val="left"/>
      <w:lvlText w:val="%2."/>
      <w:numFmt w:val="decimal"/>
      <w:start w:val="1"/>
    </w:lvl>
  </w:abstractNum>
  <w:abstractNum w:abstractNumId="105">
    <w:nsid w:val="4BD8591A"/>
    <w:multiLevelType w:val="hybridMultilevel"/>
    <w:lvl w:ilvl="0">
      <w:lvlJc w:val="left"/>
      <w:lvlText w:val="%1."/>
      <w:numFmt w:val="decimal"/>
      <w:start w:val="3"/>
    </w:lvl>
  </w:abstractNum>
  <w:abstractNum w:abstractNumId="106">
    <w:nsid w:val="78DF6A55"/>
    <w:multiLevelType w:val="hybridMultilevel"/>
    <w:lvl w:ilvl="0">
      <w:lvlJc w:val="left"/>
      <w:lvlText w:val="%1."/>
      <w:numFmt w:val="decimal"/>
      <w:start w:val="4"/>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2"/>
    </w:lvl>
  </w:abstractNum>
  <w:abstractNum w:abstractNumId="109">
    <w:nsid w:val="6C80EC70"/>
    <w:multiLevelType w:val="hybridMultilevel"/>
    <w:lvl w:ilvl="0">
      <w:lvlJc w:val="left"/>
      <w:lvlText w:val="%1."/>
      <w:numFmt w:val="decimal"/>
      <w:start w:val="3"/>
    </w:lvl>
  </w:abstractNum>
  <w:abstractNum w:abstractNumId="110">
    <w:nsid w:val="379E21B5"/>
    <w:multiLevelType w:val="hybridMultilevel"/>
    <w:lvl w:ilvl="0">
      <w:lvlJc w:val="left"/>
      <w:lvlText w:val="%1."/>
      <w:numFmt w:val="decimal"/>
      <w:start w:val="5"/>
    </w:lvl>
  </w:abstractNum>
  <w:abstractNum w:abstractNumId="111">
    <w:nsid w:val="69E373"/>
    <w:multiLevelType w:val="hybridMultilevel"/>
    <w:lvl w:ilvl="0">
      <w:lvlJc w:val="left"/>
      <w:lvlText w:val="%1"/>
      <w:numFmt w:val="lowerRoman"/>
      <w:start w:val="1"/>
    </w:lvl>
    <w:lvl w:ilvl="1">
      <w:lvlJc w:val="left"/>
      <w:lvlText w:val="%2."/>
      <w:numFmt w:val="decimal"/>
      <w:start w:val="9"/>
    </w:lvl>
  </w:abstractNum>
  <w:abstractNum w:abstractNumId="112">
    <w:nsid w:val="2C27173B"/>
    <w:multiLevelType w:val="hybridMultilevel"/>
    <w:lvl w:ilvl="0">
      <w:lvlJc w:val="left"/>
      <w:lvlText w:val="%1."/>
      <w:numFmt w:val="lowerRoman"/>
      <w:start w:val="1"/>
    </w:lvl>
    <w:lvl w:ilvl="1">
      <w:lvlJc w:val="left"/>
      <w:lvlText w:val="%2"/>
      <w:numFmt w:val="decimal"/>
      <w:start w:val="1"/>
    </w:lvl>
  </w:abstractNum>
  <w:abstractNum w:abstractNumId="113">
    <w:nsid w:val="4C9B0904"/>
    <w:multiLevelType w:val="hybridMultilevel"/>
    <w:lvl w:ilvl="0">
      <w:lvlJc w:val="left"/>
      <w:lvlText w:val="%1."/>
      <w:numFmt w:val="lowerRoman"/>
      <w:start w:val="4"/>
    </w:lvl>
  </w:abstractNum>
  <w:abstractNum w:abstractNumId="114">
    <w:nsid w:val="6AA7B75C"/>
    <w:multiLevelType w:val="hybridMultilevel"/>
    <w:lvl w:ilvl="0">
      <w:lvlJc w:val="left"/>
      <w:lvlText w:val="%1."/>
      <w:numFmt w:val="decimal"/>
      <w:start w:val="11"/>
    </w:lvl>
    <w:lvl w:ilvl="1">
      <w:lvlJc w:val="left"/>
      <w:lvlText w:val="(%2)"/>
      <w:numFmt w:val="lowerLetter"/>
      <w:start w:val="1"/>
    </w:lvl>
  </w:abstractNum>
  <w:abstractNum w:abstractNumId="115">
    <w:nsid w:val="1DF029D3"/>
    <w:multiLevelType w:val="hybridMultilevel"/>
    <w:lvl w:ilvl="0">
      <w:lvlJc w:val="left"/>
      <w:lvlText w:val="(%1)"/>
      <w:numFmt w:val="lowerLetter"/>
      <w:start w:val="2"/>
    </w:lvl>
  </w:abstractNum>
  <w:abstractNum w:abstractNumId="116">
    <w:nsid w:val="5675FF36"/>
    <w:multiLevelType w:val="hybridMultilevel"/>
    <w:lvl w:ilvl="0">
      <w:lvlJc w:val="left"/>
      <w:lvlText w:val="(%1)"/>
      <w:numFmt w:val="lowerLetter"/>
      <w:start w:val="4"/>
    </w:lvl>
  </w:abstractNum>
  <w:abstractNum w:abstractNumId="117">
    <w:nsid w:val="3DD15094"/>
    <w:multiLevelType w:val="hybridMultilevel"/>
    <w:lvl w:ilvl="0">
      <w:lvlJc w:val="left"/>
      <w:lvlText w:val="%1."/>
      <w:numFmt w:val="decimal"/>
      <w:start w:val="12"/>
    </w:lvl>
  </w:abstractNum>
  <w:abstractNum w:abstractNumId="118">
    <w:nsid w:val="3DB012B3"/>
    <w:multiLevelType w:val="hybridMultilevel"/>
    <w:lvl w:ilvl="0">
      <w:lvlJc w:val="left"/>
      <w:lvlText w:val="%1"/>
      <w:numFmt w:val="lowerLetter"/>
      <w:start w:val="1"/>
    </w:lvl>
    <w:lvl w:ilvl="1">
      <w:lvlJc w:val="left"/>
      <w:lvlText w:val="%2."/>
      <w:numFmt w:val="decimal"/>
      <w:start w:val="13"/>
    </w:lvl>
  </w:abstractNum>
  <w:abstractNum w:abstractNumId="119">
    <w:nsid w:val="2708C9AF"/>
    <w:multiLevelType w:val="hybridMultilevel"/>
    <w:lvl w:ilvl="0">
      <w:lvlJc w:val="left"/>
      <w:lvlText w:val="(%1)"/>
      <w:numFmt w:val="lowerLetter"/>
      <w:start w:val="3"/>
    </w:lvl>
    <w:lvl w:ilvl="1">
      <w:lvlJc w:val="left"/>
      <w:lvlText w:val="%2"/>
      <w:numFmt w:val="decimal"/>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11" Type="http://schemas.openxmlformats.org/officeDocument/2006/relationships/hyperlink" Target="http://www.sec.gov/Archives/edgar/data/77360/000119312518095873/d558798dex41.htm" TargetMode="External"/><Relationship Id="rId12" Type="http://schemas.openxmlformats.org/officeDocument/2006/relationships/hyperlink" Target="http://www.sec.gov/Archives/edgar/data/77360/000119312518095873/d558798dex42.htm" TargetMode="External"/><Relationship Id="rId13" Type="http://schemas.openxmlformats.org/officeDocument/2006/relationships/hyperlink" Target="http://www.sec.gov/Archives/edgar/data/77360/000119312518095873/d558798dex43.htm" TargetMode="External"/><Relationship Id="rId14" Type="http://schemas.openxmlformats.org/officeDocument/2006/relationships/hyperlink" Target="http://www.sec.gov/Archives/edgar/data/77360/000119312518095873/d558798dex44.htm" TargetMode="External"/><Relationship Id="rId15" Type="http://schemas.openxmlformats.org/officeDocument/2006/relationships/hyperlink" Target="http://www.sec.gov/Archives/edgar/data/77360/000119312518084003/d5417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2020-01-15T01:44:12Z</dcterms:created>
  <dcterms:modified xsi:type="dcterms:W3CDTF">2020-01-15T01:44:12Z</dcterms:modified>
</cp:coreProperties>
</file>