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576d1_8k.htm"/>
      <w:bookmarkStart w:id="1" w:name="kstm2624576d1_8k"/>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4_edei--DocumentType_c202609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val="false"/>
          <w:i w:val="false"/>
          <w:caps w:val="false"/>
          <w:smallCaps w:val="false"/>
          <w:sz w:val="20"/>
        </w:rPr>
        <w:t>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590800"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90800" cy="7143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C_edei--EntityRegistrantName_c2026"/>
      <w:bookmarkEnd w:id="4"/>
      <w:r>
        <w:rPr>
          <w:rFonts w:ascii="Times New Roman;Times;Serif" w:hAnsi="Times New Roman;Times;Serif"/>
          <w:b/>
          <w:i w:val="false"/>
          <w:caps w:val="false"/>
          <w:smallCaps w:val="false"/>
          <w:sz w:val="48"/>
        </w:rPr>
        <w:t>Pentair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2480"/>
        <w:gridCol w:w="60"/>
        <w:gridCol w:w="1100"/>
        <w:gridCol w:w="60"/>
        <w:gridCol w:w="1520"/>
      </w:tblGrid>
      <w:tr>
        <w:trPr/>
        <w:tc>
          <w:tcPr>
            <w:tcW w:w="248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Ireland</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0_edei--EntityFileNumber_c20260901"/>
            <w:bookmarkEnd w:id="6"/>
            <w:r>
              <w:rPr>
                <w:rFonts w:ascii="Times New Roman;Times;Serif" w:hAnsi="Times New Roman;Times;Serif"/>
                <w:b/>
                <w:i w:val="false"/>
                <w:caps w:val="false"/>
                <w:smallCaps w:val="false"/>
                <w:sz w:val="20"/>
              </w:rPr>
              <w:t>001-11625</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98-1141328</w:t>
            </w:r>
          </w:p>
        </w:tc>
      </w:tr>
      <w:tr>
        <w:trPr/>
        <w:tc>
          <w:tcPr>
            <w:tcW w:w="24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No.)</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Regal House, </w:t>
      </w:r>
      <w:bookmarkStart w:id="9" w:name="xdx_90F_edei--EntityAddressAddressLine2_"/>
      <w:bookmarkEnd w:id="9"/>
      <w:r>
        <w:rPr>
          <w:rFonts w:ascii="Times New Roman;Times;Serif" w:hAnsi="Times New Roman;Times;Serif"/>
          <w:b/>
          <w:i w:val="false"/>
          <w:caps w:val="false"/>
          <w:smallCaps w:val="false"/>
          <w:sz w:val="20"/>
        </w:rPr>
        <w:t xml:space="preserve">70 London Road, </w:t>
      </w:r>
      <w:bookmarkStart w:id="10" w:name="xdx_901_edei--EntityAddressCityOrTown_c2"/>
      <w:bookmarkEnd w:id="10"/>
      <w:r>
        <w:rPr>
          <w:rFonts w:ascii="Times New Roman;Times;Serif" w:hAnsi="Times New Roman;Times;Serif"/>
          <w:b/>
          <w:i w:val="false"/>
          <w:caps w:val="false"/>
          <w:smallCaps w:val="false"/>
          <w:sz w:val="20"/>
        </w:rPr>
        <w:t xml:space="preserve">Twickenham, London, </w:t>
      </w:r>
      <w:bookmarkStart w:id="11" w:name="xdx_903_edei--EntityAddressPostalZipCode"/>
      <w:bookmarkEnd w:id="11"/>
      <w:r>
        <w:rPr>
          <w:rFonts w:ascii="Times New Roman;Times;Serif" w:hAnsi="Times New Roman;Times;Serif"/>
          <w:b/>
          <w:i w:val="false"/>
          <w:caps w:val="false"/>
          <w:smallCaps w:val="false"/>
          <w:sz w:val="20"/>
        </w:rPr>
        <w:t xml:space="preserve">TW13QS </w:t>
      </w:r>
      <w:bookmarkStart w:id="12" w:name="xdx_90E_edei--EntityAddressCountry_c2026"/>
      <w:bookmarkEnd w:id="12"/>
      <w:r>
        <w:rPr>
          <w:rFonts w:ascii="Times New Roman;Times;Serif" w:hAnsi="Times New Roman;Times;Serif"/>
          <w:b/>
          <w:i w:val="false"/>
          <w:caps w:val="false"/>
          <w:smallCaps w:val="false"/>
          <w:sz w:val="20"/>
        </w:rPr>
        <w:t>United Kingdom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2_edei--CountryRegion_c20260901__2"/>
      <w:bookmarkEnd w:id="13"/>
      <w:r>
        <w:rPr>
          <w:rFonts w:ascii="Times New Roman;Times;Serif" w:hAnsi="Times New Roman;Times;Serif"/>
          <w:b/>
          <w:i w:val="false"/>
          <w:caps w:val="false"/>
          <w:smallCaps w:val="false"/>
          <w:sz w:val="20"/>
        </w:rPr>
        <w:t>44-</w:t>
      </w:r>
      <w:bookmarkStart w:id="14" w:name="xdx_90D_edei--CityAreaCode_c20260901__20"/>
      <w:bookmarkEnd w:id="14"/>
      <w:r>
        <w:rPr>
          <w:rFonts w:ascii="Times New Roman;Times;Serif" w:hAnsi="Times New Roman;Times;Serif"/>
          <w:b/>
          <w:i w:val="false"/>
          <w:caps w:val="false"/>
          <w:smallCaps w:val="false"/>
          <w:sz w:val="20"/>
        </w:rPr>
        <w:t>74-</w:t>
      </w:r>
      <w:bookmarkStart w:id="15" w:name="xdx_905_edei--LocalPhoneNumber_c20260901"/>
      <w:bookmarkEnd w:id="15"/>
      <w:r>
        <w:rPr>
          <w:rFonts w:ascii="Times New Roman;Times;Serif" w:hAnsi="Times New Roman;Times;Serif"/>
          <w:b/>
          <w:i w:val="false"/>
          <w:caps w:val="false"/>
          <w:smallCaps w:val="false"/>
          <w:sz w:val="20"/>
        </w:rPr>
        <w:t>9421-6154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D_edei--WrittenCommunications_c202"/>
            <w:bookmarkEnd w:id="16"/>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283"/>
        <w:jc w:val="left"/>
        <w:rPr/>
      </w:pPr>
      <w:r>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C_edei--SolicitingMaterial_c202609"/>
            <w:bookmarkEnd w:id="17"/>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0_edei--PreCommencementTenderOffer"/>
            <w:bookmarkEnd w:id="18"/>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D_edei--PreCommencementIssuerTende"/>
            <w:bookmarkEnd w:id="19"/>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75" w:type="dxa"/>
        <w:jc w:val="left"/>
        <w:tblInd w:w="0" w:type="dxa"/>
        <w:tblLayout w:type="fixed"/>
        <w:tblCellMar>
          <w:top w:w="0" w:type="dxa"/>
          <w:left w:w="0" w:type="dxa"/>
          <w:bottom w:w="28" w:type="dxa"/>
          <w:right w:w="0" w:type="dxa"/>
        </w:tblCellMar>
      </w:tblPr>
      <w:tblGrid>
        <w:gridCol w:w="3845"/>
        <w:gridCol w:w="60"/>
        <w:gridCol w:w="1535"/>
        <w:gridCol w:w="60"/>
        <w:gridCol w:w="3575"/>
      </w:tblGrid>
      <w:tr>
        <w:trPr/>
        <w:tc>
          <w:tcPr>
            <w:tcW w:w="3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35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Security12bTitle_c20260901"/>
            <w:bookmarkEnd w:id="20"/>
            <w:r>
              <w:rPr>
                <w:rFonts w:ascii="Times New Roman;Times;Serif" w:hAnsi="Times New Roman;Times;Serif"/>
                <w:b w:val="false"/>
                <w:i w:val="false"/>
                <w:caps w:val="false"/>
                <w:smallCaps w:val="false"/>
                <w:sz w:val="20"/>
              </w:rPr>
              <w:t>Ordinary Shares, nominal value $0.01 per share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F_edei--TradingSymbol_c20260901__2"/>
            <w:bookmarkEnd w:id="21"/>
            <w:r>
              <w:rPr>
                <w:rFonts w:ascii="Times New Roman;Times;Serif" w:hAnsi="Times New Roman;Times;Serif"/>
                <w:b w:val="false"/>
                <w:i w:val="false"/>
                <w:caps w:val="false"/>
                <w:smallCaps w:val="false"/>
                <w:sz w:val="20"/>
              </w:rPr>
              <w:t>PNR</w:t>
            </w:r>
          </w:p>
        </w:tc>
        <w:tc>
          <w:tcPr>
            <w:tcW w:w="60" w:type="dxa"/>
            <w:tcBorders/>
            <w:tcMar>
              <w:bottom w:w="0" w:type="dxa"/>
            </w:tcMar>
            <w:vAlign w:val="center"/>
          </w:tcPr>
          <w:p>
            <w:pPr>
              <w:pStyle w:val="TableContents"/>
              <w:bidi w:val="0"/>
              <w:spacing w:before="0" w:after="283"/>
              <w:jc w:val="center"/>
              <w:rPr/>
            </w:pPr>
            <w:r>
              <w:rPr/>
              <w:t> </w:t>
            </w:r>
          </w:p>
        </w:tc>
        <w:tc>
          <w:tcPr>
            <w:tcW w:w="35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5_edei--SecurityExchangeName_c2026"/>
            <w:bookmarkEnd w:id="22"/>
            <w:r>
              <w:rPr>
                <w:rFonts w:ascii="Times New Roman;Times;Serif" w:hAnsi="Times New Roman;Times;Serif"/>
                <w:b w:val="false"/>
                <w:i w:val="false"/>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(17 CFR 230.405) or Rule 12b-2 of the Exchange Act (17 CFR 240.12b-2).     </w:t>
      </w:r>
      <w:bookmarkStart w:id="23" w:name="xdx_90C_edei--EntityEmergingGrowthCompan"/>
      <w:bookmarkEnd w:id="23"/>
      <w:r>
        <w:rPr>
          <w:rFonts w:ascii="Times New Roman;Times;Serif" w:hAnsi="Times New Roman;Times;Serif"/>
          <w:b w:val="false"/>
          <w:i w:val="false"/>
          <w:caps w:val="false"/>
          <w:smallCaps w:val="false"/>
          <w:sz w:val="20"/>
        </w:rPr>
        <w:t>☐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22"/>
        <w:gridCol w:w="9145"/>
      </w:tblGrid>
      <w:tr>
        <w:trPr/>
        <w:tc>
          <w:tcPr>
            <w:tcW w:w="3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b/>
              </w:rPr>
            </w:pPr>
            <w:r>
              <w:rPr>
                <w:b/>
              </w:rPr>
              <w:t>ITEM 2.03</w:t>
            </w:r>
          </w:p>
        </w:tc>
        <w:tc>
          <w:tcPr>
            <w:tcW w:w="9145" w:type="dxa"/>
            <w:tcBorders/>
            <w:vAlign w:val="center"/>
          </w:tcPr>
          <w:p>
            <w:pPr>
              <w:pStyle w:val="TableContents"/>
              <w:bidi w:val="0"/>
              <w:spacing w:before="0" w:after="283"/>
              <w:jc w:val="left"/>
              <w:rPr>
                <w:b/>
              </w:rPr>
            </w:pPr>
            <w:r>
              <w:rPr>
                <w:b/>
              </w:rPr>
              <w:t>Creation of a Direct Financial Obligation or an Obligation under an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July 27, 2026, Pentair plc (“Pentair”) entered into a definitive agreement (the “Purchase Agreement”) to acquire the issued and outstanding equity securities of Taco Group Holdings (“Taco”), for a purchase price of $1.425 billion, subject to customary adjustments contemplated by the Purchase Agreement (the “Taco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in contemplation of the Taco Acquisition, Pentair and its subsidiaries Pentair Finance S.à r.l. (“Pentair Finance”) and Pentair, Inc. (“Pentair U.S.”) entered into a Credit Agreement (the “Agreement”), among Pentair Finance, as borrower, Pentair and Pentair U.S., as guarantors, and the lenders and agents party thereto, providing for (i) a $400.0 million senior unsecured tranche 1 term loan facility (the “Tranche 1 Term Loan Facility”) and (ii) a $1.0 billion senior unsecured tranche 2 term loan facility (the “Tranche 2 Term Loan Facility”; together with the Tranche 1 Term Loan Facility, the “Term Loan Facilities”). As of September 1, 2026, no loans were outstanding under the Term Loan Facilities. Pentair Finance intends to borrow the full $1.4 billion aggregate principal amount available under the Term Loan Facilities to finance a portion of the purchase price in the Taco Acquisition, to pay related fees and expenses, and to refinance certain outstanding indebtedness of Taco. The availability of loans under the Term Loan Facilities is subject to the satisfaction or waiver of certain conditions, including, among other things, (i) the closing of the Taco Acquisition substantially concurrently with the funding of such loans, (ii) the absence of a material adverse effect with respect to Taco since July 27, 2026, (iii) the truth and accuracy in all material respects of certain representations and warranties, (iv) the receipt of certain certificates, (v) the receipt of certain financial statements, and (vi) the refinancing of certain outstanding indebtedness of Taco on or prior to the date of the closing of the Taco Acquisition. Beginning November 24, 2026, Pentair Finance will pay a ticking fee to each lender under the Agreement of 0.125% per annum on the amount of such lender’s daily undrawn term loan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commitment to make the Term Loan Facilities available to Pentair Finance expires on the earliest of (i) the date that is five business days after the “Outside Date” (as defined in the Purchase Agreement), (ii) the date of the closing of the Taco Acquisition after giving effect to the full funding of the term loans on such date, (iii) the date that the Purchase Agreement expires in accordance with its terms or the obligations of Pentair to consummate the Taco Acquisition under the Purchase Agreement terminate in accordance with its terms and notice of same is given to the administrative agent under the Agreement, (iv) December 31, 2026, and (v) the date set forth in a written notice from Pentair Finance to the administrative agent and the lenders of Pentair Finance’s election to terminate all term loan commitments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Facilities are guaranteed by Pentair and Pentair U.S. The Term Loan Facilities bear interest at a rate equal to an adjusted base rate or Term SOFR, plus, in each case, an applicable margin. The applicable margin is based on, at Pentair Finance’s election, Pentair’s leverage level or Pentair Finance’s public credit rating. Interest on borrowings are generally payable in arrears (i) quarterly, (ii) monthly, or (iii) at the end of the interest period, unless such interest period is longer than three months, in which case payment is due on each successive date three months after the first day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certain exceptions, outstanding term loans under (i) the Tranche 1 Term Loan Facility will mature on the date that occurs 18 months after the closing date of the Taco Acquisition and (ii) the Tranche 2 Term Loan Facility will mature on May 5, 2030. Pentair Finance is permitted to voluntarily prepay loans and/or reduce the commitments under the Term Loan Facilities, in whole or in part, without penalty or premium, subject to certain minimum amounts and increments and the payment of customary breakage costs. No mandatory prepayment will be required under the Term Loan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contains financial covenants requiring Pentair not to permit (i) the ratio of its consolidated debt (net of its consolidated unrestricted cash and cash equivalents in excess of $5.0 million but not to exceed $250.0 million) to its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Pentair Finance’s election and subject to certain conditions, 4.25 to 1.00 for four testing periods in connection with certain material acquisitions) and (ii) the ratio of its EBITDA to its consolidated cash interest expense for the same period to be less than 3.00 to 1.00. In addition, subject to certain qualifications and exceptions, the Agreement also contains covenants that, among other things, restrict Pentair’s ability to create liens, merge or consolidate with another person, make acquisitions and incur subsidiary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contains customary events of default. If an event of default occurs and is continuing, then the lenders may terminate all commitments to extend further credit and declare all amounts outstanding under the Agreement due and payable immediately. In addition, in the case of an event of default arising from certain events of bankruptcy, insolvency or reorganization, all amounts outstanding under the Agreement will automatically become due and payable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Agreement is qualified in its entirety by reference to the full text of the Agreement filed as Exhibit 4.1 to this Current Report on Form 8-K, which is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114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275"/>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280" w:type="dxa"/>
            <w:tcBorders/>
            <w:vAlign w:val="center"/>
          </w:tcPr>
          <w:p>
            <w:pPr>
              <w:pStyle w:val="TableContents"/>
              <w:bidi w:val="0"/>
              <w:spacing w:before="0" w:after="283"/>
              <w:jc w:val="both"/>
              <w:rPr/>
            </w:pPr>
            <w:r>
              <w:rPr/>
              <w:t>Financial Statements of Businesses Acquired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38"/>
        <w:gridCol w:w="29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3140" w:type="dxa"/>
            <w:tcBorders/>
            <w:vAlign w:val="center"/>
          </w:tcPr>
          <w:p>
            <w:pPr>
              <w:pStyle w:val="TableContents"/>
              <w:bidi w:val="0"/>
              <w:spacing w:before="0" w:after="283"/>
              <w:jc w:val="both"/>
              <w:rPr/>
            </w:pPr>
            <w:r>
              <w:rPr/>
              <w:t>Pro Forma Financial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27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2765" w:type="dxa"/>
            <w:tcBorders/>
            <w:vAlign w:val="center"/>
          </w:tcPr>
          <w:p>
            <w:pPr>
              <w:pStyle w:val="TableContents"/>
              <w:bidi w:val="0"/>
              <w:spacing w:before="0" w:after="283"/>
              <w:jc w:val="both"/>
              <w:rPr/>
            </w:pPr>
            <w:r>
              <w:rPr/>
              <w:t>Shell Company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29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in the Exhibit Index below are filed as part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91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4576d1_ex4-1.htm">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hyperlink w:anchor="tm2624576d1_ex4-1.htm">
              <w:r>
                <w:rPr>
                  <w:rStyle w:val="InternetLink"/>
                  <w:rFonts w:ascii="Times New Roman;Times;Serif" w:hAnsi="Times New Roman;Times;Serif"/>
                  <w:sz w:val="20"/>
                </w:rPr>
                <w:t>Credit Agreement, dated as of September 1, 2026, among Pentair plc, Pentair Finance S.à r.l., Pentair, Inc. and the lenders and agents party thereto.</w:t>
              </w:r>
            </w:hyperlink>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(embedded within the Inline XBRL document)</w:t>
            </w:r>
          </w:p>
        </w:tc>
      </w:tr>
    </w:tbl>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 on September 2, 2026.</w:t>
      </w:r>
    </w:p>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320"/>
        <w:gridCol w:w="4655"/>
      </w:tblGrid>
      <w:tr>
        <w:trPr/>
        <w:tc>
          <w:tcPr>
            <w:tcW w:w="75"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PENTAIR PLC</w:t>
            </w:r>
          </w:p>
        </w:tc>
      </w:tr>
      <w:tr>
        <w:trPr/>
        <w:tc>
          <w:tcPr>
            <w:tcW w:w="75"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Lance T Bonner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Lance T Bonner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24576d1_ex4-1.htm"/>
      <w:bookmarkStart w:id="25" w:name="kstm2624576d1_ex41"/>
      <w:bookmarkEnd w:id="24"/>
      <w:bookmarkEnd w:id="25"/>
      <w:r>
        <w:rPr/>
        <w:t> </w:t>
      </w:r>
      <w:r>
        <w:br w:type="page"/>
      </w:r>
    </w:p>
    <w:p>
      <w:pPr>
        <w:pStyle w:val="TextBody"/>
        <w:bidi w:val="0"/>
        <w:jc w:val="right"/>
        <w:rPr>
          <w:b/>
        </w:rPr>
      </w:pPr>
      <w:r>
        <w:rPr>
          <w:b/>
        </w:rPr>
        <w:t>Exhibit 4.1</w:t>
      </w:r>
    </w:p>
    <w:p>
      <w:pPr>
        <w:pStyle w:val="TextBody"/>
        <w:pBdr>
          <w:bottom w:val="double" w:sz="2" w:space="1" w:color="000000"/>
        </w:pBdr>
        <w:bidi w:val="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Published CUSIP Numbers:</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 CUSIP: L7579CAG1</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Tranche 1 Term Loan CUSIP: L7579CAH9</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Tranche 2 Term Loan CUSIP: L7579CAJ5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PENTAIR plc</w:t>
        <w:br/>
        <w:t>as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PENTAIR FINANCE S.À R.L.</w:t>
        <w:br/>
        <w:t>as Borrower,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Guarantors From Time to Time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Party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NATIONAL ASSOCIATION,</w:t>
        <w:br/>
        <w:t>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Syndication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BANCO BILBAO VIZCAYA ARGENTARIA, S.A., NEW YORK BRANCH,</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CHINA LIMITED, LOS ANGELES BRANCH,</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MONTREAL EUROPE PLC, 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BANK,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Documentation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BANCO BILBAO VIZCAYA ARGENTARIA, S.A., NEW YORK BRANCH,</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CHINA LIMITED, LOS ANGELES BRANCH,</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BMO CAPITAL MARKETS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 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Joint Lead Arrangers and Joint Bookrunners</w:t>
      </w:r>
    </w:p>
    <w:p>
      <w:pPr>
        <w:pStyle w:val="TextBody"/>
        <w:bidi w:val="0"/>
        <w:spacing w:before="0" w:after="0"/>
        <w:ind w:left="0" w:right="0" w:hanging="0"/>
        <w:jc w:val="left"/>
        <w:rPr>
          <w:caps w:val="false"/>
          <w:smallCaps w:val="false"/>
        </w:rPr>
      </w:pPr>
      <w:r>
        <w:rPr>
          <w:caps w:val="false"/>
          <w:smallCaps w:val="false"/>
        </w:rPr>
        <w:t> </w:t>
      </w:r>
    </w:p>
    <w:p>
      <w:pPr>
        <w:pStyle w:val="TextBody"/>
        <w:pBdr>
          <w:top w:val="doub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6870" w:type="dxa"/>
        <w:jc w:val="left"/>
        <w:tblInd w:w="0" w:type="dxa"/>
        <w:tblLayout w:type="fixed"/>
        <w:tblCellMar>
          <w:top w:w="0" w:type="dxa"/>
          <w:left w:w="0" w:type="dxa"/>
          <w:bottom w:w="0" w:type="dxa"/>
          <w:right w:w="0" w:type="dxa"/>
        </w:tblCellMar>
      </w:tblPr>
      <w:tblGrid>
        <w:gridCol w:w="1235"/>
        <w:gridCol w:w="5360"/>
        <w:gridCol w:w="275"/>
      </w:tblGrid>
      <w:tr>
        <w:trPr/>
        <w:tc>
          <w:tcPr>
            <w:tcW w:w="659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 Definitions</w:t>
            </w:r>
          </w:p>
        </w:tc>
        <w:tc>
          <w:tcPr>
            <w:tcW w:w="27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1</w:t>
            </w:r>
          </w:p>
        </w:tc>
      </w:tr>
      <w:tr>
        <w:trPr/>
        <w:tc>
          <w:tcPr>
            <w:tcW w:w="1235"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1.01</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Defined Terms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1.02</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Classification of Loans and Borrowings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1.03</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Generally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1.04</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Terms; GAAP</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1.05</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Rates; Benchmark Notification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1.06</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Luxembourg Terms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1.07</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Calculations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1.08</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Divisions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1.09</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Leverage Ratios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1.10</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CRD VI</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235"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59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II. The Credits</w:t>
            </w:r>
          </w:p>
        </w:tc>
        <w:tc>
          <w:tcPr>
            <w:tcW w:w="27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33</w:t>
            </w:r>
          </w:p>
        </w:tc>
      </w:tr>
      <w:tr>
        <w:trPr/>
        <w:tc>
          <w:tcPr>
            <w:tcW w:w="1235"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2.01</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Commitments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2.02</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Loans and Borrowings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2.03</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Requests for Borrowings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2.04</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Funding of Borrowings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2.05</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Elections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2.06</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and Reduction of Commitments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2.07</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and Amortization of Loans; Evidence of Indebtedness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2.08</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Prepayment of Loans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2.09</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w:t>
            </w:r>
          </w:p>
        </w:tc>
        <w:tc>
          <w:tcPr>
            <w:tcW w:w="275" w:type="dxa"/>
            <w:tcBorders/>
            <w:vAlign w:val="center"/>
          </w:tcPr>
          <w:p>
            <w:pPr>
              <w:pStyle w:val="TableContents"/>
              <w:bidi w:val="0"/>
              <w:spacing w:before="0" w:after="283"/>
              <w:jc w:val="right"/>
              <w:rPr/>
            </w:pPr>
            <w:r>
              <w:rPr/>
              <w:t>41</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2.10</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2.11</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Alternate Rate of Interest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2.12</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Increased Costs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2.13</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Break Funding Payments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2.14</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275" w:type="dxa"/>
            <w:tcBorders/>
            <w:vAlign w:val="center"/>
          </w:tcPr>
          <w:p>
            <w:pPr>
              <w:pStyle w:val="TableContents"/>
              <w:bidi w:val="0"/>
              <w:spacing w:before="0" w:after="283"/>
              <w:jc w:val="right"/>
              <w:rPr/>
            </w:pPr>
            <w:r>
              <w:rPr/>
              <w:t>45</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2.15</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Generally; Pro Rata Treatment; Sharing of Set-offs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2.16</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Mitigation Obligations; Replacement of Lenders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2.17</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Judgment Currency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2.18</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Defaulting Lenders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2.19</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Illegality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235"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659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III. REPRESENTATIONS AND WARRANTIES</w:t>
            </w:r>
          </w:p>
        </w:tc>
        <w:tc>
          <w:tcPr>
            <w:tcW w:w="27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52</w:t>
            </w:r>
          </w:p>
        </w:tc>
      </w:tr>
      <w:tr>
        <w:trPr/>
        <w:tc>
          <w:tcPr>
            <w:tcW w:w="1235"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3.01</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Existence and Power</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3.02</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and Governmental Authorization; Contravention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3.03</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Binding Effect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3.04</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Information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3.05</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 etc.</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3.06</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ERISA Compliance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3.07</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3.08</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an Investment Company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3.09</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3.10</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3.11</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3.12</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Anti-Corruption Laws and Sanctions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3.13</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Domiciliation; Centre of Main Interests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3.14</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Solvency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3.15</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Affected Financial Institutions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3.16</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Irish Loan Party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145" w:type="dxa"/>
        <w:jc w:val="left"/>
        <w:tblInd w:w="0" w:type="dxa"/>
        <w:tblLayout w:type="fixed"/>
        <w:tblCellMar>
          <w:top w:w="0" w:type="dxa"/>
          <w:left w:w="0" w:type="dxa"/>
          <w:bottom w:w="0" w:type="dxa"/>
          <w:right w:w="0" w:type="dxa"/>
        </w:tblCellMar>
      </w:tblPr>
      <w:tblGrid>
        <w:gridCol w:w="1235"/>
        <w:gridCol w:w="6635"/>
        <w:gridCol w:w="275"/>
      </w:tblGrid>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3.17</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Residence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3.18</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Outbound Investment Rules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235"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87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IV. Conditions</w:t>
            </w:r>
          </w:p>
        </w:tc>
        <w:tc>
          <w:tcPr>
            <w:tcW w:w="27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56</w:t>
            </w:r>
          </w:p>
        </w:tc>
      </w:tr>
      <w:tr>
        <w:trPr/>
        <w:tc>
          <w:tcPr>
            <w:tcW w:w="1235"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4.01</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Date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4.02</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Extensions of Credit on Specified Acquisition Consummation Date</w:t>
            </w:r>
          </w:p>
        </w:tc>
        <w:tc>
          <w:tcPr>
            <w:tcW w:w="275" w:type="dxa"/>
            <w:tcBorders/>
            <w:vAlign w:val="center"/>
          </w:tcPr>
          <w:p>
            <w:pPr>
              <w:pStyle w:val="TableContents"/>
              <w:bidi w:val="0"/>
              <w:spacing w:before="0" w:after="283"/>
              <w:jc w:val="right"/>
              <w:rPr/>
            </w:pPr>
            <w:r>
              <w:rPr/>
              <w:t>57</w:t>
            </w:r>
          </w:p>
        </w:tc>
      </w:tr>
      <w:tr>
        <w:trPr/>
        <w:tc>
          <w:tcPr>
            <w:tcW w:w="1235"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87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V. AFFIRMATIVE COVENANTS</w:t>
            </w:r>
          </w:p>
        </w:tc>
        <w:tc>
          <w:tcPr>
            <w:tcW w:w="27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59</w:t>
            </w:r>
          </w:p>
        </w:tc>
      </w:tr>
      <w:tr>
        <w:trPr/>
        <w:tc>
          <w:tcPr>
            <w:tcW w:w="1235"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5.01</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5.02</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5.03</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Contractual Obligations and Laws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5.04</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5.05</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Ownership of Loan Parties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5.06</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Taxes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5.07</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 Party Location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5.08</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Residence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5.09</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Service of Process Agent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5.10</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Assurances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235"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87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VI. NEGATIVE COVENANTS</w:t>
            </w:r>
          </w:p>
        </w:tc>
        <w:tc>
          <w:tcPr>
            <w:tcW w:w="27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62</w:t>
            </w:r>
          </w:p>
        </w:tc>
      </w:tr>
      <w:tr>
        <w:trPr/>
        <w:tc>
          <w:tcPr>
            <w:tcW w:w="1235"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6.01</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Maximum Net Leverage Ratio</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6.02</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Minimum Interest Coverage Ratio</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6.03</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Negative Pledge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6.04</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Consolidations, Mergers and Sales of Assets; Acquisitions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6.05</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Subsidiary Debt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6.06</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OFAC and Anti-Corruption Laws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6.07</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Outbound Investment Rules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1235"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87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VII. EVENTS OF DEFAULT</w:t>
            </w:r>
          </w:p>
        </w:tc>
        <w:tc>
          <w:tcPr>
            <w:tcW w:w="27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68</w:t>
            </w:r>
          </w:p>
        </w:tc>
      </w:tr>
      <w:tr>
        <w:trPr/>
        <w:tc>
          <w:tcPr>
            <w:tcW w:w="1235"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87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VIII. The Administrative Agent</w:t>
            </w:r>
          </w:p>
        </w:tc>
        <w:tc>
          <w:tcPr>
            <w:tcW w:w="27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71</w:t>
            </w:r>
          </w:p>
        </w:tc>
      </w:tr>
      <w:tr>
        <w:trPr/>
        <w:tc>
          <w:tcPr>
            <w:tcW w:w="1235"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8.01</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 and Action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8.02</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Administrative Agent’s Reliance, Indemnification, Etc.</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8.03</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Posting of Communications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8.04</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Administrative Agent Individually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8.05</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Administrative Agent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8.06</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 of Lenders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8.07</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ERISA Matters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8.08</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Borrower Communications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1235"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87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IX. Miscellaneous</w:t>
            </w:r>
          </w:p>
        </w:tc>
        <w:tc>
          <w:tcPr>
            <w:tcW w:w="27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80</w:t>
            </w:r>
          </w:p>
        </w:tc>
      </w:tr>
      <w:tr>
        <w:trPr/>
        <w:tc>
          <w:tcPr>
            <w:tcW w:w="1235"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9.01</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9.02</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Waivers; Amendments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9.03</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Indemnity; Damage Waiver</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9.04</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and Assigns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9.05</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9.06</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 Integration; Effectiveness; Electronic Execution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9.07</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9.08</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Setoff</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9.09</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Jurisdiction; Consent to Service of Process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9.10</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9.11</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Headings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9.12</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2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9.13</w:t>
            </w:r>
          </w:p>
        </w:tc>
        <w:tc>
          <w:tcPr>
            <w:tcW w:w="6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USA PATRIOT Act; Beneficial Ownership Regulation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785" w:type="dxa"/>
        <w:jc w:val="left"/>
        <w:tblInd w:w="0" w:type="dxa"/>
        <w:tblLayout w:type="fixed"/>
        <w:tblCellMar>
          <w:top w:w="0" w:type="dxa"/>
          <w:left w:w="0" w:type="dxa"/>
          <w:bottom w:w="0" w:type="dxa"/>
          <w:right w:w="0" w:type="dxa"/>
        </w:tblCellMar>
      </w:tblPr>
      <w:tblGrid>
        <w:gridCol w:w="1340"/>
        <w:gridCol w:w="6170"/>
        <w:gridCol w:w="275"/>
      </w:tblGrid>
      <w:tr>
        <w:trPr/>
        <w:tc>
          <w:tcPr>
            <w:tcW w:w="134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9.14</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 Limitation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34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9.15</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Fiduciary Duty, etc.</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34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9.16</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 and Consent to Bail-In of Affected Financial Institutions</w:t>
            </w:r>
          </w:p>
        </w:tc>
        <w:tc>
          <w:tcPr>
            <w:tcW w:w="275" w:type="dxa"/>
            <w:tcBorders/>
            <w:vAlign w:val="center"/>
          </w:tcPr>
          <w:p>
            <w:pPr>
              <w:pStyle w:val="TableContents"/>
              <w:bidi w:val="0"/>
              <w:spacing w:before="0" w:after="283"/>
              <w:jc w:val="right"/>
              <w:rPr/>
            </w:pPr>
            <w:r>
              <w:rPr/>
              <w:t>95</w:t>
            </w:r>
          </w:p>
        </w:tc>
      </w:tr>
      <w:tr>
        <w:trPr/>
        <w:tc>
          <w:tcPr>
            <w:tcW w:w="134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9.17</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 Regarding Any Supported QFCs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34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51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Article X. Guarantee</w:t>
            </w:r>
          </w:p>
        </w:tc>
        <w:tc>
          <w:tcPr>
            <w:tcW w:w="275" w:type="dxa"/>
            <w:tcBorders/>
            <w:vAlign w:val="center"/>
          </w:tcPr>
          <w:p>
            <w:pPr>
              <w:pStyle w:val="TableContents"/>
              <w:bidi w:val="0"/>
              <w:spacing w:before="0" w:after="283"/>
              <w:jc w:val="right"/>
              <w:rPr>
                <w:rFonts w:ascii="Times New Roman;Times;Serif" w:hAnsi="Times New Roman;Times;Serif"/>
                <w:b/>
                <w:caps/>
                <w:sz w:val="20"/>
              </w:rPr>
            </w:pPr>
            <w:r>
              <w:rPr>
                <w:rFonts w:ascii="Times New Roman;Times;Serif" w:hAnsi="Times New Roman;Times;Serif"/>
                <w:b/>
                <w:caps/>
                <w:sz w:val="20"/>
              </w:rPr>
              <w:t>96</w:t>
            </w:r>
          </w:p>
        </w:tc>
      </w:tr>
      <w:tr>
        <w:trPr/>
        <w:tc>
          <w:tcPr>
            <w:tcW w:w="751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34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10.01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3120" w:type="dxa"/>
        <w:jc w:val="left"/>
        <w:tblInd w:w="0" w:type="dxa"/>
        <w:tblLayout w:type="fixed"/>
        <w:tblCellMar>
          <w:top w:w="0" w:type="dxa"/>
          <w:left w:w="0" w:type="dxa"/>
          <w:bottom w:w="0" w:type="dxa"/>
          <w:right w:w="0" w:type="dxa"/>
        </w:tblCellMar>
      </w:tblPr>
      <w:tblGrid>
        <w:gridCol w:w="1190"/>
        <w:gridCol w:w="140"/>
        <w:gridCol w:w="1790"/>
      </w:tblGrid>
      <w:tr>
        <w:trPr/>
        <w:tc>
          <w:tcPr>
            <w:tcW w:w="1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2.01</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Commitments</w:t>
            </w:r>
          </w:p>
        </w:tc>
      </w:tr>
      <w:tr>
        <w:trPr/>
        <w:tc>
          <w:tcPr>
            <w:tcW w:w="1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6.03</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List of Existing Liens</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6.05</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Debt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980"/>
        <w:gridCol w:w="140"/>
        <w:gridCol w:w="4145"/>
      </w:tblGrid>
      <w:tr>
        <w:trPr/>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A</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Assignment and Assumption</w:t>
            </w:r>
          </w:p>
        </w:tc>
      </w:tr>
      <w:tr>
        <w:trPr/>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B-1</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Opinion of Foley &amp; Lardner LLP</w:t>
            </w:r>
          </w:p>
        </w:tc>
      </w:tr>
      <w:tr>
        <w:trPr/>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B-2</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Opinion of Arthur Cox</w:t>
            </w:r>
          </w:p>
        </w:tc>
      </w:tr>
      <w:tr>
        <w:trPr/>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B-3</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Opinion of Allen Overy Shearman Sterling</w:t>
            </w:r>
          </w:p>
        </w:tc>
      </w:tr>
      <w:tr>
        <w:trPr/>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C</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EU Notice</w:t>
            </w:r>
          </w:p>
        </w:tc>
      </w:tr>
      <w:tr>
        <w:trPr/>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D-1</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Tranche 1 Term Loan Note</w:t>
            </w:r>
          </w:p>
        </w:tc>
      </w:tr>
      <w:tr>
        <w:trPr/>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D-2</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Tranche 2 Term Loan Note</w:t>
            </w:r>
          </w:p>
        </w:tc>
      </w:tr>
      <w:tr>
        <w:trPr/>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E</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List of Closing Documents</w:t>
            </w:r>
          </w:p>
        </w:tc>
      </w:tr>
      <w:tr>
        <w:trPr/>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F</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4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Solvency Certificate</w:t>
            </w:r>
          </w:p>
        </w:tc>
      </w:tr>
      <w:tr>
        <w:trPr/>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G</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Irish Qualifying Lender Confirmation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dated as of September 1, 2026 among </w:t>
      </w:r>
      <w:r>
        <w:rPr>
          <w:rFonts w:ascii="Times New Roman;Times;Serif" w:hAnsi="Times New Roman;Times;Serif"/>
          <w:b w:val="false"/>
          <w:i w:val="false"/>
          <w:caps/>
          <w:sz w:val="20"/>
        </w:rPr>
        <w:t xml:space="preserve">PENTAIR </w:t>
      </w:r>
      <w:r>
        <w:rPr>
          <w:rFonts w:ascii="Times New Roman;Times;Serif" w:hAnsi="Times New Roman;Times;Serif"/>
          <w:b w:val="false"/>
          <w:i w:val="false"/>
          <w:caps w:val="false"/>
          <w:smallCaps w:val="false"/>
          <w:sz w:val="20"/>
        </w:rPr>
        <w:t xml:space="preserve">plc, an Irish public limited company, </w:t>
      </w:r>
      <w:r>
        <w:rPr>
          <w:rFonts w:ascii="Times New Roman;Times;Serif" w:hAnsi="Times New Roman;Times;Serif"/>
          <w:b w:val="false"/>
          <w:i w:val="false"/>
          <w:caps/>
          <w:sz w:val="20"/>
        </w:rPr>
        <w:t>PENTAIR FINANCE S.à r.l.</w:t>
      </w:r>
      <w:r>
        <w:rPr>
          <w:rFonts w:ascii="Times New Roman;Times;Serif" w:hAnsi="Times New Roman;Times;Serif"/>
          <w:b w:val="false"/>
          <w:i w:val="false"/>
          <w:caps w:val="false"/>
          <w:smallCaps w:val="false"/>
          <w:sz w:val="20"/>
        </w:rPr>
        <w:t>, a Luxembourg private limited liability company (</w:t>
      </w:r>
      <w:r>
        <w:rPr>
          <w:rFonts w:ascii="Times New Roman;Times;Serif" w:hAnsi="Times New Roman;Times;Serif"/>
          <w:b w:val="false"/>
          <w:i/>
          <w:caps w:val="false"/>
          <w:smallCaps w:val="false"/>
          <w:sz w:val="20"/>
        </w:rPr>
        <w:t>Société à responsabilité limitée</w:t>
      </w:r>
      <w:r>
        <w:rPr>
          <w:rFonts w:ascii="Times New Roman;Times;Serif" w:hAnsi="Times New Roman;Times;Serif"/>
          <w:b w:val="false"/>
          <w:i w:val="false"/>
          <w:caps w:val="false"/>
          <w:smallCaps w:val="false"/>
          <w:sz w:val="20"/>
        </w:rPr>
        <w:t>) having its registered office at 26, Boulevard Royal, L-2449 Luxembourg, Grand Duchy of Luxembourg and registered with the Luxembourg Trade and Companies Register (</w:t>
      </w:r>
      <w:r>
        <w:rPr>
          <w:rFonts w:ascii="Times New Roman;Times;Serif" w:hAnsi="Times New Roman;Times;Serif"/>
          <w:b w:val="false"/>
          <w:i/>
          <w:caps w:val="false"/>
          <w:smallCaps w:val="false"/>
          <w:sz w:val="20"/>
        </w:rPr>
        <w:t>Registre de commerce et des sociétés</w:t>
      </w:r>
      <w:r>
        <w:rPr>
          <w:rFonts w:ascii="Times New Roman;Times;Serif" w:hAnsi="Times New Roman;Times;Serif"/>
          <w:b w:val="false"/>
          <w:i w:val="false"/>
          <w:caps w:val="false"/>
          <w:smallCaps w:val="false"/>
          <w:sz w:val="20"/>
        </w:rPr>
        <w:t>, Luxembourg) under number B166305, PENTAIR, INC., a Minnesota corporation (“</w:t>
      </w:r>
      <w:r>
        <w:rPr>
          <w:rFonts w:ascii="Times New Roman;Times;Serif" w:hAnsi="Times New Roman;Times;Serif"/>
          <w:b w:val="false"/>
          <w:i w:val="false"/>
          <w:caps w:val="false"/>
          <w:smallCaps w:val="false"/>
          <w:sz w:val="20"/>
          <w:u w:val="single"/>
        </w:rPr>
        <w:t>Pentair MN</w:t>
      </w:r>
      <w:r>
        <w:rPr>
          <w:rFonts w:ascii="Times New Roman;Times;Serif" w:hAnsi="Times New Roman;Times;Serif"/>
          <w:b w:val="false"/>
          <w:i w:val="false"/>
          <w:caps w:val="false"/>
          <w:smallCaps w:val="false"/>
          <w:sz w:val="20"/>
        </w:rPr>
        <w:t>”), the other ADDITIONAL GUARANTORS from time to time party hereto, the LENDERS from time to time party hereto and U.S. BANK NATIONAL ASSOCIATION,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has requested that the Lenders make loans and other financial accommodations to the Borrower and its Subsidiaries on the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Lenders have agreed to make such loans and other financial accommodations to the Borrower and its Subsidiaries on the terms and subject to the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mutual covenants contained herein, the parties hereto covenant and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1.01</w:t>
        <w:tab/>
        <w:t>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Agreement, the following terms have the meanings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w:t>
      </w:r>
      <w:r>
        <w:rPr>
          <w:rFonts w:ascii="Times New Roman;Times;Serif" w:hAnsi="Times New Roman;Times;Serif"/>
          <w:b w:val="false"/>
          <w:i w:val="false"/>
          <w:caps w:val="false"/>
          <w:smallCaps w:val="false"/>
          <w:sz w:val="20"/>
        </w:rPr>
        <w:t>”, when used in reference to any Loan or Borrowing, refers to such Loan, or the Loans comprising such Borrowing, bearing interest at a rate determined by reference to the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means any transaction or series of related transactions (excluding any transaction solely among the Parent and/or one or more persons that are already Subsidiaries) that result, directly or indirectly, in (a) the acquisition by the Parent or any Subsidiary of all or substantially all of the assets of a Person, or of all or substantially all of any business or division of a Person, (b) the acquisition of in excess of 50% of the capital stock, partnership interests, membership interests or equity of any Person, or otherwise causing any Person to become a Subsidiary, or (c) a merger or consolidation or any other combination with another Person; provided that the Parent or a Subsidiary is the ultimate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Debt</w:t>
      </w:r>
      <w:r>
        <w:rPr>
          <w:rFonts w:ascii="Times New Roman;Times;Serif" w:hAnsi="Times New Roman;Times;Serif"/>
          <w:b w:val="false"/>
          <w:i w:val="false"/>
          <w:caps w:val="false"/>
          <w:smallCaps w:val="false"/>
          <w:sz w:val="20"/>
        </w:rPr>
        <w:t>” means any Debt of the Parent or any of its Subsidiaries that has been issued for the purpose of financing, in whole or in part, a Material Acquisition and any related transactions or series of related transactions (including for the purpose of refinancing or replacing all or a portion of any pre-existing Debt of the Parent, any of its Subsidiaries or the person(s) or assets to be acquired); provided that (a) the release of the proceeds thereof to the Parent and its Subsidiaries is contingent upon the consummation of such Material Acquisition and, pending such release, such proceeds are held in escrow (and, if the definitive agreement (or, in the case of a tender offer or similar transaction, the definitive offer document) for such acquisition is terminated prior to the consummation of such Material Acquisition or if such Material Acquisition is otherwise not consummated by the date specified in the definitive documentation relating to such Debt, such proceeds shall be promptly applied to satisfy and discharge all obligations of the Parent and its Subsidiaries in respect of such Debt) or (b) such Debt contains a “special mandatory redemption” provision (or other similar provision) or otherwise permits or requires such Debt to be redeemed or prepaid if such Material Acquisition is not consummated by the date specified in the definitive documentation relating to such Debt (and if the definitive agreement (or, in the case of a tender offer or similar transaction, the definitive offer document) for such Material Acquisition is terminated in accordance with its terms prior to the consummation of such Material Acquisition or such Material Acquisition is otherwise not consummated by the date specified in the definitive documentation relating to such Debt, such Debt is so redeemed or prepaid within 90 days of such termination or such specified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Pentair Finance S.à 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Guarantor</w:t>
      </w:r>
      <w:r>
        <w:rPr>
          <w:rFonts w:ascii="Times New Roman;Times;Serif" w:hAnsi="Times New Roman;Times;Serif"/>
          <w:b w:val="false"/>
          <w:i w:val="false"/>
          <w:caps w:val="false"/>
          <w:smallCaps w:val="false"/>
          <w:sz w:val="20"/>
        </w:rPr>
        <w:t>” means Pentair MN and each other Person that executes this Agreement (including any Additional Guarantor Joinder hereto) as an “Additional Guarantor” until such time as such Person is released from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Guarantor Joinder</w:t>
      </w:r>
      <w:r>
        <w:rPr>
          <w:rFonts w:ascii="Times New Roman;Times;Serif" w:hAnsi="Times New Roman;Times;Serif"/>
          <w:b w:val="false"/>
          <w:i w:val="false"/>
          <w:caps w:val="false"/>
          <w:smallCaps w:val="false"/>
          <w:sz w:val="20"/>
        </w:rPr>
        <w:t xml:space="preserve">” means any joinder agreement reasonably acceptable to the Borrower, the applicable Person, and the Administrative Agent pursuant to which such Person becomes an Additional Guarantor and guarantees the Guaranteed Obligations in accordance with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hereof (which joinder also shall require the applicable Person’s delivery to the Administrative Agent of certified Organizational Documents and authorization and incumbency documents, as well as opinion(s) of counsel in respect of such Person that are substantially similar to those opinion(s) delivered in respect of Additional Guarantors party to this Agreement prior to the delivery of the applicable joinder).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Term SOFR Rate</w:t>
      </w:r>
      <w:r>
        <w:rPr>
          <w:rFonts w:ascii="Times New Roman;Times;Serif" w:hAnsi="Times New Roman;Times;Serif"/>
          <w:b w:val="false"/>
          <w:i w:val="false"/>
          <w:caps w:val="false"/>
          <w:smallCaps w:val="false"/>
          <w:sz w:val="20"/>
        </w:rPr>
        <w:t xml:space="preserve">” means, for any Interest Period, an interest rate per annum equal to the Term SOFR Rate for such Interest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Adjusted Term SOFR Rate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means U.S. Bank (or any of its designated branch offices or affiliates) in its capacity as administrative agent under any of the Loan Documents, or any successor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Questionnaire</w:t>
      </w:r>
      <w:r>
        <w:rPr>
          <w:rFonts w:ascii="Times New Roman;Times;Serif" w:hAnsi="Times New Roman;Times;Serif"/>
          <w:b w:val="false"/>
          <w:i w:val="false"/>
          <w:caps w:val="false"/>
          <w:smallCaps w:val="false"/>
          <w:sz w:val="20"/>
        </w:rPr>
        <w:t>” means an Administrative Questionnaire in a form supplied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as to any Person, any other Person directly or indirectly controlling, controlled by, or under direct or indirect common control with, such Person. A Person shall be deemed to be “controlled by” any other Person if such other Person possesses, directly or indirectly, power to direct or cause the direction of the management and policies of such Person whether by contract or otherwise (but, for the avoidance of doubt, no individual shall be deemed to be an Affiliate of a Person solely because such individual is a director (or the equivalent thereof) or senior officer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specified in the introductory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Alternate Base Rate</w:t>
      </w:r>
      <w:r>
        <w:rPr>
          <w:rFonts w:ascii="Times New Roman;Times;Serif" w:hAnsi="Times New Roman;Times;Serif"/>
          <w:b w:val="false"/>
          <w:i w:val="false"/>
          <w:caps w:val="false"/>
          <w:smallCaps w:val="false"/>
          <w:sz w:val="20"/>
        </w:rPr>
        <w:t xml:space="preserve">” means, for any day, a rate per annum equal to the greatest of (a) the Prime Rate in effect on such day, (b) the NYFRB Rate in effect on such day plus ½ of 1% and (c) the Adjusted Term SOFR Rate for a one month Interest Period in Dollars as published two U.S. Government Securities Business Days prior to such day (or if such day is not a U.S. Government Securities Business Day, the immediately preceding U.S. Government Securities Business Day) plus 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(for the avoidance of doubt, only until the Benchmark Replacement has been determined pursuant to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Ancillary Document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all laws, rules, and regulations of any jurisdiction applicable to the Parent and its affiliated companies concerning or relating to bribery, corruption or money laundering.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8.03(c)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Percentage</w:t>
      </w:r>
      <w:r>
        <w:rPr>
          <w:rFonts w:ascii="Times New Roman;Times;Serif" w:hAnsi="Times New Roman;Times;Serif"/>
          <w:b w:val="false"/>
          <w:i w:val="false"/>
          <w:caps w:val="false"/>
          <w:smallCaps w:val="false"/>
          <w:sz w:val="20"/>
        </w:rPr>
        <w:t xml:space="preserve">” means, (i) at any time prior to the funding of the Term Loans of any Class on the Specified Acquisition Consummation Date, a percentage equal to a fraction the numerator of which is such Lender’s Term Loan Commitment of such Class and the denominator of which is the aggregate Term Loan Commitments of such Class of all Lenders and (ii) at any time after the funding of the Term Loans of any Class on the Specified Acquisition Consummation Date, a percentage equal to a fraction the numerator of which is such Lender’s outstanding principal amount of the Term Loans of such Class and the denominator of which is the aggregate outstanding principal amount of the Term Loans of such Class of all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when a Defaulting Lender shall exist, any such Defaulting Lender’s applicable Term Loan Commitment shall be disregarded in the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Rate</w:t>
      </w:r>
      <w:r>
        <w:rPr>
          <w:rFonts w:ascii="Times New Roman;Times;Serif" w:hAnsi="Times New Roman;Times;Serif"/>
          <w:b w:val="false"/>
          <w:i w:val="false"/>
          <w:caps w:val="false"/>
          <w:smallCaps w:val="false"/>
          <w:sz w:val="20"/>
        </w:rPr>
        <w:t>” means, for any day, with respect to any Term Benchmark Term Loan or any ABR Term Loan, as the case may be, the applicable rate per annum set forth below under the caption “Term Benchmark Spread for Tranche 1 Term Loans”, “ABR Spread for Tranche 1 Term Loans”, “Term Benchmark Spread for Tranche 2 Term Loans” or “ABR Spread for Tranche 2 Term Loans”, as the case may be, based upon the Pricing Level applicable on such date.</w:t>
      </w:r>
    </w:p>
    <w:p>
      <w:pPr>
        <w:pStyle w:val="TextBody"/>
        <w:bidi w:val="0"/>
        <w:spacing w:before="0" w:after="0"/>
        <w:ind w:left="0" w:right="0" w:hanging="0"/>
        <w:jc w:val="left"/>
        <w:rPr>
          <w:caps w:val="false"/>
          <w:smallCaps w:val="false"/>
        </w:rPr>
      </w:pPr>
      <w:r>
        <w:rPr>
          <w:caps w:val="false"/>
          <w:smallCaps w:val="false"/>
        </w:rPr>
        <w:t> </w:t>
      </w:r>
    </w:p>
    <w:tbl>
      <w:tblPr>
        <w:tblW w:w="6076" w:type="dxa"/>
        <w:jc w:val="center"/>
        <w:tblInd w:w="0" w:type="dxa"/>
        <w:tblLayout w:type="fixed"/>
        <w:tblCellMar>
          <w:top w:w="0" w:type="dxa"/>
          <w:left w:w="0" w:type="dxa"/>
          <w:bottom w:w="28" w:type="dxa"/>
          <w:right w:w="0" w:type="dxa"/>
        </w:tblCellMar>
      </w:tblPr>
      <w:tblGrid>
        <w:gridCol w:w="1130"/>
        <w:gridCol w:w="65"/>
        <w:gridCol w:w="117"/>
        <w:gridCol w:w="877"/>
        <w:gridCol w:w="185"/>
        <w:gridCol w:w="65"/>
        <w:gridCol w:w="115"/>
        <w:gridCol w:w="864"/>
        <w:gridCol w:w="185"/>
        <w:gridCol w:w="65"/>
        <w:gridCol w:w="115"/>
        <w:gridCol w:w="864"/>
        <w:gridCol w:w="185"/>
        <w:gridCol w:w="65"/>
        <w:gridCol w:w="115"/>
        <w:gridCol w:w="864"/>
        <w:gridCol w:w="200"/>
      </w:tblGrid>
      <w:tr>
        <w:trPr/>
        <w:tc>
          <w:tcPr>
            <w:tcW w:w="11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Level</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w:t>
              <w:br/>
              <w:t xml:space="preserve">Benchmark </w:t>
              <w:br/>
              <w:t xml:space="preserve">Spread for </w:t>
              <w:br/>
              <w:t>Tranche 1</w:t>
              <w:br/>
              <w:t>Term Loans</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ABR </w:t>
              <w:br/>
              <w:t xml:space="preserve">Spread for </w:t>
              <w:br/>
              <w:t xml:space="preserve">Tranche 1 </w:t>
              <w:br/>
              <w:t>Term Loans</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w:t>
              <w:br/>
              <w:t>Benchmark</w:t>
              <w:br/>
              <w:t>Spread for</w:t>
              <w:br/>
              <w:t>Tranche 2</w:t>
              <w:br/>
              <w:t>Term Loans</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ABR </w:t>
              <w:br/>
              <w:t>Spread for</w:t>
              <w:br/>
              <w:t>Tranche 2</w:t>
              <w:br/>
              <w:t>Term Loans</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1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I</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0.875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13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II</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0.125</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1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III</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13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IV</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0.375</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1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V</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0.625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hereof: (i) Pricing Level I, Leverage Level 1 and Ratings Level A are equivalent and correspond to each other, (ii) Pricing Level II, Leverage Level 2 and Ratings Level B are equivalent and correspond to each other, (iii) Pricing Level III, Leverage Level 3 and Ratings Level C are equivalent and correspond to each other, (iv) Pricing Level IV, Leverage Level 4 and Ratings Level D are equivalent and correspond to each other and (v) Pricing Level V, Leverage Level 5 and Ratings Level E are equivalent and correspond to each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of determination, the Pricing Level shall be determined by reference to the Leverage Level or the Ratings Level, as the Borrower shall from time to time elect by written notice to the Administrative Agent, and any change in Pricing Level resulting from such election by the Borrower shall be effected as promptly as practicable by the Administrative Agent after receiving such written election from the Borrower. Notwithstanding anything to the contrary set forth in this definition, it is understood and agreed that Pricing Level III shall be deemed to be applicable from the Effective Date until the Administrative Agent’s receipt of the financial statements and related compliance certificate for the Parent’s first fiscal quarter ending after the Effective Date (it being understood and agreed that the Borrower shall not be permitted to elect pricing by reference to the Ratings Level until such receipt by the Administrative Agent of such financial statements and compliance certificate), and adjustments to the Pricing Level then in effect shall thereafter be effected in accordance with the terms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Leverage Level Determination</w:t>
      </w:r>
    </w:p>
    <w:p>
      <w:pPr>
        <w:pStyle w:val="TextBody"/>
        <w:bidi w:val="0"/>
        <w:spacing w:before="0" w:after="0"/>
        <w:ind w:left="0" w:right="0" w:hanging="0"/>
        <w:jc w:val="left"/>
        <w:rPr>
          <w:caps w:val="false"/>
          <w:smallCaps w:val="false"/>
        </w:rPr>
      </w:pPr>
      <w:r>
        <w:rPr>
          <w:caps w:val="false"/>
          <w:smallCaps w:val="false"/>
        </w:rPr>
        <w:t> </w:t>
      </w:r>
    </w:p>
    <w:tbl>
      <w:tblPr>
        <w:tblW w:w="2905" w:type="dxa"/>
        <w:jc w:val="center"/>
        <w:tblInd w:w="0" w:type="dxa"/>
        <w:tblLayout w:type="fixed"/>
        <w:tblCellMar>
          <w:top w:w="28" w:type="dxa"/>
          <w:left w:w="108" w:type="dxa"/>
          <w:bottom w:w="28" w:type="dxa"/>
          <w:right w:w="108" w:type="dxa"/>
        </w:tblCellMar>
      </w:tblPr>
      <w:tblGrid>
        <w:gridCol w:w="1295"/>
        <w:gridCol w:w="1610"/>
      </w:tblGrid>
      <w:tr>
        <w:trPr/>
        <w:tc>
          <w:tcPr>
            <w:tcW w:w="12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Leverage Level</w:t>
            </w:r>
          </w:p>
        </w:tc>
        <w:tc>
          <w:tcPr>
            <w:tcW w:w="1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Net Leverage Ratio</w:t>
            </w:r>
          </w:p>
        </w:tc>
      </w:tr>
      <w:tr>
        <w:trPr/>
        <w:tc>
          <w:tcPr>
            <w:tcW w:w="12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Level 1</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 </w:t>
            </w:r>
            <w:r>
              <w:rPr>
                <w:rFonts w:ascii="Times New Roman;Times;Serif" w:hAnsi="Times New Roman;Times;Serif"/>
                <w:sz w:val="20"/>
              </w:rPr>
              <w:t>0.50 to 1.00</w:t>
            </w:r>
          </w:p>
        </w:tc>
      </w:tr>
      <w:tr>
        <w:trPr/>
        <w:tc>
          <w:tcPr>
            <w:tcW w:w="12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Level 2</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&gt; 0.50 to 1.00 but</w:t>
              <w:br/>
              <w:t>≤ 1.00 to 1.00</w:t>
            </w:r>
          </w:p>
        </w:tc>
      </w:tr>
      <w:tr>
        <w:trPr/>
        <w:tc>
          <w:tcPr>
            <w:tcW w:w="12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Level 3</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&gt; 1.00 to 1.00 but </w:t>
              <w:br/>
              <w:t>≤ 1.75 to 1.00</w:t>
            </w:r>
          </w:p>
        </w:tc>
      </w:tr>
      <w:tr>
        <w:trPr/>
        <w:tc>
          <w:tcPr>
            <w:tcW w:w="12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Level 4</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&gt; 1.75 to 1.00 but </w:t>
              <w:br/>
              <w:t>≤ 2.50 to 1.00</w:t>
            </w:r>
          </w:p>
        </w:tc>
      </w:tr>
      <w:tr>
        <w:trPr/>
        <w:tc>
          <w:tcPr>
            <w:tcW w:w="12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Level 5</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&gt; 2.50 to 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at any time the Parent fails to deliver the quarterly or annual financial statements or related compliance certificates required under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on or before the date such statements or certificates are due, Leverage Level 5 shall be deemed applicable for the period commencing three (3) Business Days after such required date of delivery and ending on the date which is three (3) Business Days after such statements or certificates are actually delivered, after which the Leverage Level shall be determined in accordance with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paragraph below or in the immediately preceding paragraph, adjustments, if any, to the Leverage Level then in effect shall be effective three (3) Business Days after the Administrative Agent has received the applicable financial statements and certificates (it being understood and agreed that each change in Leverage Level shall apply during the period commencing on the effective date of such change and ending on the date immediately preceding the effective date of the next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Ratings Level Determination</w:t>
      </w:r>
    </w:p>
    <w:p>
      <w:pPr>
        <w:pStyle w:val="TextBody"/>
        <w:bidi w:val="0"/>
        <w:spacing w:before="0" w:after="0"/>
        <w:ind w:left="0" w:right="0" w:hanging="0"/>
        <w:jc w:val="left"/>
        <w:rPr>
          <w:caps w:val="false"/>
          <w:smallCaps w:val="false"/>
        </w:rPr>
      </w:pPr>
      <w:r>
        <w:rPr>
          <w:caps w:val="false"/>
          <w:smallCaps w:val="false"/>
        </w:rPr>
        <w:t> </w:t>
      </w:r>
    </w:p>
    <w:tbl>
      <w:tblPr>
        <w:tblW w:w="3295" w:type="dxa"/>
        <w:jc w:val="center"/>
        <w:tblInd w:w="0" w:type="dxa"/>
        <w:tblLayout w:type="fixed"/>
        <w:tblCellMar>
          <w:top w:w="28" w:type="dxa"/>
          <w:left w:w="108" w:type="dxa"/>
          <w:bottom w:w="28" w:type="dxa"/>
          <w:right w:w="108" w:type="dxa"/>
        </w:tblCellMar>
      </w:tblPr>
      <w:tblGrid>
        <w:gridCol w:w="1175"/>
        <w:gridCol w:w="2120"/>
      </w:tblGrid>
      <w:tr>
        <w:trPr/>
        <w:tc>
          <w:tcPr>
            <w:tcW w:w="11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Ratings Level</w:t>
            </w:r>
          </w:p>
        </w:tc>
        <w:tc>
          <w:tcPr>
            <w:tcW w:w="21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Public Debt Ratings</w:t>
              <w:br/>
              <w:t>(S&amp;P / Moody’s / Fitch)</w:t>
            </w:r>
          </w:p>
        </w:tc>
      </w:tr>
      <w:tr>
        <w:trPr/>
        <w:tc>
          <w:tcPr>
            <w:tcW w:w="11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Level A</w:t>
            </w:r>
          </w:p>
        </w:tc>
        <w:tc>
          <w:tcPr>
            <w:tcW w:w="21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 / A3 / A- or higher</w:t>
            </w:r>
          </w:p>
        </w:tc>
      </w:tr>
      <w:tr>
        <w:trPr/>
        <w:tc>
          <w:tcPr>
            <w:tcW w:w="11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Level B</w:t>
            </w:r>
          </w:p>
        </w:tc>
        <w:tc>
          <w:tcPr>
            <w:tcW w:w="21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BBB+ / Baa1 / BBB+</w:t>
            </w:r>
          </w:p>
        </w:tc>
      </w:tr>
      <w:tr>
        <w:trPr/>
        <w:tc>
          <w:tcPr>
            <w:tcW w:w="11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Level C</w:t>
            </w:r>
          </w:p>
        </w:tc>
        <w:tc>
          <w:tcPr>
            <w:tcW w:w="21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BBB / Baa2 / BBB</w:t>
            </w:r>
          </w:p>
        </w:tc>
      </w:tr>
      <w:tr>
        <w:trPr/>
        <w:tc>
          <w:tcPr>
            <w:tcW w:w="11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Level D</w:t>
            </w:r>
          </w:p>
        </w:tc>
        <w:tc>
          <w:tcPr>
            <w:tcW w:w="21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BBB- / Baa3 / BBB-</w:t>
            </w:r>
          </w:p>
        </w:tc>
      </w:tr>
      <w:tr>
        <w:trPr/>
        <w:tc>
          <w:tcPr>
            <w:tcW w:w="11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Level E</w:t>
            </w:r>
          </w:p>
        </w:tc>
        <w:tc>
          <w:tcPr>
            <w:tcW w:w="21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BB+ / Ba1 / BB+ or lower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(a) if only one of S&amp;P, Moody’s or Fitch shall have in effect a Public Debt Rating, the Ratings Level shall be determined by reference to the available rating; (b) if none of S&amp;P, Moody’s or Fitch shall have in effect a Public Debt Rating, the Ratings Level will be set in accordance with Level E; (c) if all three of the rating agencies shall have a Public Debt Rating in effect and the ratings established by each of S&amp;P, Moody’s and Fitch shall fall within three different Levels in the immediately foregoing table (such Level A, Level B, Level C, Level D and Level E, collectively, the “</w:t>
      </w:r>
      <w:r>
        <w:rPr>
          <w:rFonts w:ascii="Times New Roman;Times;Serif" w:hAnsi="Times New Roman;Times;Serif"/>
          <w:b w:val="false"/>
          <w:i w:val="false"/>
          <w:caps w:val="false"/>
          <w:smallCaps w:val="false"/>
          <w:sz w:val="20"/>
          <w:u w:val="single"/>
        </w:rPr>
        <w:t>Levels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Level</w:t>
      </w:r>
      <w:r>
        <w:rPr>
          <w:rFonts w:ascii="Times New Roman;Times;Serif" w:hAnsi="Times New Roman;Times;Serif"/>
          <w:b w:val="false"/>
          <w:i w:val="false"/>
          <w:caps w:val="false"/>
          <w:smallCaps w:val="false"/>
          <w:sz w:val="20"/>
        </w:rPr>
        <w:t>”), the Ratings Level shall be based upon the intermediate Level; (d) if all three of the rating agencies shall have a Public Debt Rating in effect and two out of the three ratings of S&amp;P, Moody’s and Fitch are at the same Level, then the Ratings Level shall be based on such Level, (e) if only two Public Debt Ratings from S&amp;P, Moody’s and Fitch are available and such ratings fall within different Levels, then the Ratings Level shall be based on the higher rating unless such ratings differ by two or more Levels, in which case the applicable Ratings Level will be deemed to be one Level above the lower of such Levels, (f) if any rating established by S&amp;P, Moody’s or Fitch shall be changed, such change shall be effective as of the third Business Day following the date on which such change is first announced publicly by the rating agency making such change; (g) if S&amp;P, Moody’s or Fitch shall change the basis on which ratings are established, each reference to the Public Debt Rating announced by S&amp;P, Moody’s or Fitch, as the case may be, shall refer to the then equivalent rating by S&amp;P, Moody’s or Fitch, as the case may be (and if there is no such equivalent rating, to the rating most recently in effect prior to such change); and (h) if any such rating agency shall cease to be in the business of rating corporate debt obligations, the Borrower and the Lenders shall negotiate in good faith to amend this definition to reflect the unavailability of ratings from such rating agency and, pending the effectiveness of such amendment, the Ratings Level shall be determined by reference to the rating (and the Level applicable thereto) most recently in effect prior to such cessation.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Borrower Portal</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8.08(a)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Electronic Platform</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Arrangers</w:t>
      </w:r>
      <w:r>
        <w:rPr>
          <w:rFonts w:ascii="Times New Roman;Times;Serif" w:hAnsi="Times New Roman;Times;Serif"/>
          <w:b w:val="false"/>
          <w:i w:val="false"/>
          <w:caps w:val="false"/>
          <w:smallCaps w:val="false"/>
          <w:sz w:val="20"/>
        </w:rPr>
        <w:t>” means each of U.S. Bank, Banco Bilbao Vizcaya Argentaria, S.A., New York Branch, Bank of China Limited, Los Angeles Branch, BMO Capital Markets Corp., BofA Securities, Inc., and PNC Capital Markets, LLC, in its capacity as a joint bookrunner and joint lead arranger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Article 21c</w:t>
      </w:r>
      <w:r>
        <w:rPr>
          <w:rFonts w:ascii="Times New Roman;Times;Serif" w:hAnsi="Times New Roman;Times;Serif"/>
          <w:b w:val="false"/>
          <w:i w:val="false"/>
          <w:caps w:val="false"/>
          <w:smallCaps w:val="false"/>
          <w:sz w:val="20"/>
          <w:u w:val="single"/>
        </w:rPr>
        <w:t xml:space="preserve"> CRD VI</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2.02(f)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xml:space="preserve">” means an assignment and assumption agreement entered into by a Lender and an assignee (with the consent of any party whose consent is required by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and accepted by the Administrative Agent,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any other form (including electronic records generated by the use of an electronic platform)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Tenor</w:t>
      </w:r>
      <w:r>
        <w:rPr>
          <w:rFonts w:ascii="Times New Roman;Times;Serif" w:hAnsi="Times New Roman;Times;Serif"/>
          <w:b w:val="false"/>
          <w:i w:val="false"/>
          <w:caps w:val="false"/>
          <w:smallCaps w:val="false"/>
          <w:sz w:val="20"/>
        </w:rPr>
        <w:t xml:space="preserve">”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Lender</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Banking Services</w:t>
      </w:r>
      <w:r>
        <w:rPr>
          <w:rFonts w:ascii="Times New Roman;Times;Serif" w:hAnsi="Times New Roman;Times;Serif"/>
          <w:b w:val="false"/>
          <w:i w:val="false"/>
          <w:caps w:val="false"/>
          <w:smallCaps w:val="false"/>
          <w:sz w:val="20"/>
        </w:rPr>
        <w:t>” means each and any of the following bank services provided to the Parent or any Subsidiary by any Lender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services, automated clearinghouse transactions, return items services, any direct debit scheme or arrangement, overdraft services and interstate depository network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Banking Services Agreement</w:t>
      </w:r>
      <w:r>
        <w:rPr>
          <w:rFonts w:ascii="Times New Roman;Times;Serif" w:hAnsi="Times New Roman;Times;Serif"/>
          <w:b w:val="false"/>
          <w:i w:val="false"/>
          <w:caps w:val="false"/>
          <w:smallCaps w:val="false"/>
          <w:sz w:val="20"/>
        </w:rPr>
        <w:t>” means any agreement entered into by the Parent or any Subsidiary in connection with Banking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means the Federal Bankruptcy Reform Act of 1978 (11 U.S.C. §101,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Event</w:t>
      </w:r>
      <w:r>
        <w:rPr>
          <w:rFonts w:ascii="Times New Roman;Times;Serif" w:hAnsi="Times New Roman;Times;Serif"/>
          <w:b w:val="false"/>
          <w:i w:val="false"/>
          <w:caps w:val="false"/>
          <w:smallCaps w:val="false"/>
          <w:sz w:val="20"/>
        </w:rPr>
        <w:t>”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xml:space="preserve">” means, initially, the Term SOFR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clause (b) of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means, for any Available Tenor, the first alternative set forth in the order below that can be determined by the Administrative Agent for the applicable Benchmark Replacement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Daily Simple SOFR;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in the United States at such time and (b)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Benchmark Replacement as determined pursuant to clause (1) or clause (2) above would be less than the Floor, the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the Borrower, decides in its reasonable good faith discretion may be appropriate to reflect the adoption and implementation of such Benchmark and to permit the administration thereof by the Administrative Agent in a manner substantially consistent with market practice (or, if the Administrative Agent decides in its reasonable good faith discretion that adoption of any portion of such market practice is not administratively feasible or if the Administrative Agent determines in its reasonable good faith discretion that no market practice for the administration of such Benchmark exists, in such other manner of administration as the Administrative Agent, in consultation with the Borrower, decides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Date</w:t>
      </w:r>
      <w:r>
        <w:rPr>
          <w:rFonts w:ascii="Times New Roman;Times;Serif" w:hAnsi="Times New Roman;Times;Serif"/>
          <w:b w:val="false"/>
          <w:i w:val="false"/>
          <w:caps w:val="false"/>
          <w:smallCaps w:val="false"/>
          <w:sz w:val="20"/>
        </w:rPr>
        <w:t>” means, with respect to any Benchmark, the earliest to occur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Event</w:t>
      </w:r>
      <w:r>
        <w:rPr>
          <w:rFonts w:ascii="Times New Roman;Times;Serif" w:hAnsi="Times New Roman;Times;Serif"/>
          <w:b w:val="false"/>
          <w:i w:val="false"/>
          <w:caps w:val="false"/>
          <w:smallCaps w:val="false"/>
          <w:sz w:val="20"/>
        </w:rPr>
        <w:t>” means, with respect to any Benchmark, the occurrence of one or more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as of a specific date;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public statement or publication of information by the regulatory supervisor for the administrator of such Benchmark (or the published component used in the calculation thereof), the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as of a specific date; provided 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xml:space="preserve">”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and (y) ending at the time that a Benchmark Replacement has replaced such then-current Benchmark for all purposes hereunder and under any Loan Document in accordance with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means a certification regarding beneficial ownership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of a party means an “affiliate” (as such term is defined under, and interpreted in accordance with, 12 U.S.C. 1841(k))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Blocking Law</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Blocking Regulation</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Governors of the Federal Reserve System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means Pentair Finance S.à r.l., a Luxembourg private limited liability company (société à responsabilité limitée), having its registered office at 26, Boulevard Royal, L-2449 Luxembourg and registered with the Luxembourg Trade and Companies Register (Registre de commerce et des sociétés, Luxembourg) under number B166305.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w:t>
      </w:r>
      <w:r>
        <w:rPr>
          <w:rFonts w:ascii="Times New Roman;Times;Serif" w:hAnsi="Times New Roman;Times;Serif"/>
          <w:b w:val="false"/>
          <w:i w:val="false"/>
          <w:caps w:val="false"/>
          <w:smallCaps w:val="false"/>
          <w:sz w:val="20"/>
        </w:rPr>
        <w:t>” means a Term Loan of the same Type and Class, made, converted or continued on the same date and, in the case of Term Benchmark Loans, as to which a single Interest Period is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Request</w:t>
      </w:r>
      <w:r>
        <w:rPr>
          <w:rFonts w:ascii="Times New Roman;Times;Serif" w:hAnsi="Times New Roman;Times;Serif"/>
          <w:b w:val="false"/>
          <w:i w:val="false"/>
          <w:caps w:val="false"/>
          <w:smallCaps w:val="false"/>
          <w:sz w:val="20"/>
        </w:rPr>
        <w:t xml:space="preserve">” means a request by the Borrower for a Borrowing in accordance with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in substantially the form approved by the Administrative Agent and separately provided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or a Sunday) on which banks are open for business in New York 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means Pentair Water Group, Inc., a Delaware corporation, and a wholly-owned subsidiary of the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xml:space="preserve">” means the occurrence, after the Effective Date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requirement or directive (whether or not having the force of law) by any Governmental Authority;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notwithstanding anything herein to the contrary, except to the extent they are merely proposed and not in effect,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Tranche 1 Term Loans or Tranche 2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CME Term SOFR Administrator</w:t>
      </w:r>
      <w:r>
        <w:rPr>
          <w:rFonts w:ascii="Times New Roman;Times;Serif" w:hAnsi="Times New Roman;Times;Serif"/>
          <w:b w:val="false"/>
          <w:i w:val="false"/>
          <w:caps w:val="false"/>
          <w:smallCaps w:val="false"/>
          <w:sz w:val="20"/>
        </w:rPr>
        <w:t>” means CME Group Benchmark Administration Limited as administrator of the forward-looking term Secured Overnight Financing Rate (SOFR) (or a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Combination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Combined Lender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means a Term Loan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Commodity Exchange Act</w:t>
      </w:r>
      <w:r>
        <w:rPr>
          <w:rFonts w:ascii="Times New Roman;Times;Serif" w:hAnsi="Times New Roman;Times;Serif"/>
          <w:b w:val="false"/>
          <w:i w:val="false"/>
          <w:caps w:val="false"/>
          <w:smallCaps w:val="false"/>
          <w:sz w:val="20"/>
        </w:rPr>
        <w:t>” means the Commodity Exchange Act (7 U.S.C. § 1 et seq.),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xml:space="preserve">” means, collectively, any notice, demand, communication, information, document or other material provided by or on behalf of any Loan Party pursuant to any Loan Document or the transactions contemplated therein which is distributed by the Administrative Agent or any Lender by means of electronic communications pursuant to </w:t>
      </w:r>
      <w:r>
        <w:rPr>
          <w:rFonts w:ascii="Times New Roman;Times;Serif" w:hAnsi="Times New Roman;Times;Serif"/>
          <w:b w:val="false"/>
          <w:i w:val="false"/>
          <w:caps w:val="false"/>
          <w:smallCaps w:val="false"/>
          <w:sz w:val="20"/>
          <w:u w:val="single"/>
        </w:rPr>
        <w:t>Section 8.03(c)</w:t>
      </w:r>
      <w:r>
        <w:rPr>
          <w:rFonts w:ascii="Times New Roman;Times;Serif" w:hAnsi="Times New Roman;Times;Serif"/>
          <w:b w:val="false"/>
          <w:i w:val="false"/>
          <w:caps w:val="false"/>
          <w:smallCaps w:val="false"/>
          <w:sz w:val="20"/>
        </w:rPr>
        <w:t>, including through an Approved Electronic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Subsidiary</w:t>
      </w:r>
      <w:r>
        <w:rPr>
          <w:rFonts w:ascii="Times New Roman;Times;Serif" w:hAnsi="Times New Roman;Times;Serif"/>
          <w:b w:val="false"/>
          <w:i w:val="false"/>
          <w:caps w:val="false"/>
          <w:smallCaps w:val="false"/>
          <w:sz w:val="20"/>
        </w:rPr>
        <w:t>” means, as of any date, any Subsidiary or other entity the accounts of which would be consolidated with those of the Parent in its consolidated financial statements as of such date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Total Assets</w:t>
      </w:r>
      <w:r>
        <w:rPr>
          <w:rFonts w:ascii="Times New Roman;Times;Serif" w:hAnsi="Times New Roman;Times;Serif"/>
          <w:b w:val="false"/>
          <w:i w:val="false"/>
          <w:caps w:val="false"/>
          <w:smallCaps w:val="false"/>
          <w:sz w:val="20"/>
        </w:rPr>
        <w:t>” means the total consolidated assets of the Parent and its Subsidiaries, in each case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Corresponding Tenor</w:t>
      </w:r>
      <w:r>
        <w:rPr>
          <w:rFonts w:ascii="Times New Roman;Times;Serif" w:hAnsi="Times New Roman;Times;Serif"/>
          <w:b w:val="false"/>
          <w:i w:val="false"/>
          <w:caps w:val="false"/>
          <w:smallCaps w:val="false"/>
          <w:sz w:val="20"/>
        </w:rPr>
        <w:t>” 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9.17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Event</w:t>
      </w:r>
      <w:r>
        <w:rPr>
          <w:rFonts w:ascii="Times New Roman;Times;Serif" w:hAnsi="Times New Roman;Times;Serif"/>
          <w:b w:val="false"/>
          <w:i w:val="false"/>
          <w:caps w:val="false"/>
          <w:smallCaps w:val="false"/>
          <w:sz w:val="20"/>
        </w:rPr>
        <w:t>” means a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Exposure</w:t>
      </w:r>
      <w:r>
        <w:rPr>
          <w:rFonts w:ascii="Times New Roman;Times;Serif" w:hAnsi="Times New Roman;Times;Serif"/>
          <w:b w:val="false"/>
          <w:i w:val="false"/>
          <w:caps w:val="false"/>
          <w:smallCaps w:val="false"/>
          <w:sz w:val="20"/>
        </w:rPr>
        <w:t>” means, as to any Lender at any time, an amount equal to the aggregate principal amount of its Term Loans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Party</w:t>
      </w:r>
      <w:r>
        <w:rPr>
          <w:rFonts w:ascii="Times New Roman;Times;Serif" w:hAnsi="Times New Roman;Times;Serif"/>
          <w:b w:val="false"/>
          <w:i w:val="false"/>
          <w:caps w:val="false"/>
          <w:smallCaps w:val="false"/>
          <w:sz w:val="20"/>
        </w:rPr>
        <w:t>” means the Administrative Agent or any other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a rate per annum equal to SOFR for the day (such day, a “</w:t>
      </w:r>
      <w:r>
        <w:rPr>
          <w:rFonts w:ascii="Times New Roman;Times;Serif" w:hAnsi="Times New Roman;Times;Serif"/>
          <w:b w:val="false"/>
          <w:i w:val="false"/>
          <w:caps w:val="false"/>
          <w:smallCaps w:val="false"/>
          <w:sz w:val="20"/>
          <w:u w:val="single"/>
        </w:rPr>
        <w:t>SOFR Determination Date</w:t>
      </w:r>
      <w:r>
        <w:rPr>
          <w:rFonts w:ascii="Times New Roman;Times;Serif" w:hAnsi="Times New Roman;Times;Serif"/>
          <w:b w:val="false"/>
          <w:i w:val="false"/>
          <w:caps w:val="false"/>
          <w:smallCaps w:val="false"/>
          <w:sz w:val="20"/>
        </w:rPr>
        <w:t xml:space="preserv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the Daily Simple SOFR as so determined would be less than the Floor, such rate shall be deemed to be equal to the Floor for the purposes of this Agreement. Any change in Daily Simple SOFR due to a change in SOFR shall be effective from and including the effective date of such change in SOFR without notice to the Borrower.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w:t>
      </w:r>
      <w:r>
        <w:rPr>
          <w:rFonts w:ascii="Times New Roman;Times;Serif" w:hAnsi="Times New Roman;Times;Serif"/>
          <w:b w:val="false"/>
          <w:i w:val="false"/>
          <w:caps w:val="false"/>
          <w:smallCaps w:val="false"/>
          <w:sz w:val="20"/>
        </w:rPr>
        <w:t>” means, with respect to any Person at any date, without duplication, (i) all obligations of such Person for borrowed money, (ii) all obligations of such Person evidenced by bonds, debentures, notes or other similar instruments, (iii) all obligations of such Person to pay the deferred purchase price of property or services, except trade accounts payable and accrued liabilities (including employee compensation and benefit obligations) arising in the ordinary course of business, (iv) the outstanding principal obligations of such Person as lessee under capital leases, (v) all Debt of others secured by a Lien on any asset of such Person, whether or not such Debt is assumed by such Person (it being understood that if such Debt has not been assumed by such Person, the amount of such Debt shall be deemed to be the lesser of the fair market value at such date of such asset and the amount of such Debt), (vi) the aggregate outstanding investment or claim held by purchasers, assignees or transferees of (or of interests in) receivables of such Person in connection with any Securitization Transaction, (vii) all non-contingent reimbursement obligations of such Person under letters of credit and bank guarantees, and (viii) all Debt (as defined above) of others Guaranteed by such Person. Notwithstanding the foregoing, Debt shall exclude (a) any customary purchase price adjustments, earnouts, holdbacks and deferred payments of a similar nature in connection with a Permitted Acquisition (including deferred compensation representing consideration or other contingent obligations incurred in connection with a Permitted Acquisition), (b) any obligations in respect of customer advances in the ordinary course of business consistent with past practices, (c) defeased, discharged and/or redeemed indebtedness so long as (1) neither the Parent nor any Subsidiary has any liability (contingent or otherwise) with respect to such indebtedness and (2) the cash, securities and/or other assets used to defease, discharge and/or redeem such indebtedness are not, directly or indirectly, an asset of the Parent or any Subsidiary and (d) interest, fees, make-whole amounts, premiums, charges or expenses, if any, relating to the principal amount of Debt. In the event any of the foregoing Debt is limited to recourse against a particular asset or assets of such Person, the amount of the corresponding Debt shall be equal to the lesser of the amount of such Debt and the fair market value of such asset or assets, as determined by the Borrower in good faith, at the date for determination of the amount of such Debt. For the avoidance of doubt, the amount of Debt of any Person at any date will be calculated without duplication of any Guarantee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or condition which constitutes an Event of Default or which upon notice, lapse of time or both would, unless cured or waived, become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Lender</w:t>
      </w:r>
      <w:r>
        <w:rPr>
          <w:rFonts w:ascii="Times New Roman;Times;Serif" w:hAnsi="Times New Roman;Times;Serif"/>
          <w:b w:val="false"/>
          <w:i w:val="false"/>
          <w:caps w:val="false"/>
          <w:smallCaps w:val="false"/>
          <w:sz w:val="20"/>
        </w:rPr>
        <w:t>” means any Lender that (a) has failed, within three (3) Business Days of the date required to be funded or paid, to (i) fund any portion of its Loans or (ii)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the Borrower or the Administrative Agent, acting in good faith, to provide a certification in writing from an authorized officer of such Lender that it will comply with its obligations (and is financially able to meet such obligations) to fund prospective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and/or (ii) a Bail-In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Persons</w:t>
      </w:r>
      <w:r>
        <w:rPr>
          <w:rFonts w:ascii="Times New Roman;Times;Serif" w:hAnsi="Times New Roman;Times;Serif"/>
          <w:b w:val="false"/>
          <w:i w:val="false"/>
          <w:caps w:val="false"/>
          <w:smallCaps w:val="false"/>
          <w:sz w:val="20"/>
        </w:rPr>
        <w:t>” means any Person listed on a Sanctions List.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Institutions</w:t>
      </w:r>
      <w:r>
        <w:rPr>
          <w:rFonts w:ascii="Times New Roman;Times;Serif" w:hAnsi="Times New Roman;Times;Serif"/>
          <w:b w:val="false"/>
          <w:i w:val="false"/>
          <w:caps w:val="false"/>
          <w:smallCaps w:val="false"/>
          <w:sz w:val="20"/>
        </w:rPr>
        <w:t xml:space="preserve">” means (i) those Persons identified by the Borrower to the Administrative Agent and the Lenders in writing prior to the Effective Date, (ii) those Persons that are reasonably determined by the Borrower to be competitors of the Borrower or any of its Subsidiaries and which have been specifically identified by the Borrower to the Administrative Agent and the Lenders in writing prior to the Effective Date and (iii) in the case of each of clauses (i) and (ii) (and any supplements thereto as contemplated below), any of their respective Affiliates, to the extent any such Affiliate (x) is clearly identifiable as an Affiliate of the applicable Person solely by similarity of such Affiliate’s name and (y) is not a bona fide debt investment fund that is an Affiliate of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by notice to the Administrative Agent and the Lenders after the Effective Date, shall be permitted to supplement from time to time in writing by name the list of Persons that are Disqualified Institutions to the extent that the Persons added by such supplements are determined by the Borrower to be competitors of the Borrower or any of its Subsidiaries (or Affiliates of such competitors that are not bona fide debt investment funds). Each such supplement shall become effective three (3) Business Days after delivery thereof to the Administrative Agent and the Lenders (including through an Approved Electronic Platform) in accordance with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but which shall not apply retroactively to disqualify any Persons that have previously acquired an assignment or participation interest in the Loans (but solely with respect to such Loans). It is understood and agreed that (i) the Administrative Agent shall have no responsibility or liability to determine or monitor whether any Lender or potential Lender is a Disqualified Institution, (ii) the Borrower’s failure to deliver such list (or supplement thereto) in accordance with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shall render such list (or supplement) not received and not effective and (iii) “Disqualified Institution” shall exclude any Person that the Borrower has designated as no longer being a “Disqualified Institution” by written notice delivered to the Administrative Agent (which notice may be distributed to the Lenders) from time to time in accordance with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Disregarded Entity</w:t>
      </w:r>
      <w:r>
        <w:rPr>
          <w:rFonts w:ascii="Times New Roman;Times;Serif" w:hAnsi="Times New Roman;Times;Serif"/>
          <w:b w:val="false"/>
          <w:i w:val="false"/>
          <w:caps w:val="false"/>
          <w:smallCaps w:val="false"/>
          <w:sz w:val="20"/>
        </w:rPr>
        <w:t>” means an entity that, pursuant to Treas. Reg. § 301.7701-2(c)(2), is disregarded for U.S. federal income Tax purposes as an entity separate from its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Documentation Agent</w:t>
      </w:r>
      <w:r>
        <w:rPr>
          <w:rFonts w:ascii="Times New Roman;Times;Serif" w:hAnsi="Times New Roman;Times;Serif"/>
          <w:b w:val="false"/>
          <w:i w:val="false"/>
          <w:caps w:val="false"/>
          <w:smallCaps w:val="false"/>
          <w:sz w:val="20"/>
        </w:rPr>
        <w:t>” means each of Banco Bilbao Vizcaya Argentaria, S.A., New York Branch, Bank of China Limited, Los Angeles Branch, Bank of Montreal Europe PLC, and PNC Bank, National Association in its capacity as documentation agent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 Amount</w:t>
      </w:r>
      <w:r>
        <w:rPr>
          <w:rFonts w:ascii="Times New Roman;Times;Serif" w:hAnsi="Times New Roman;Times;Serif"/>
          <w:b w:val="false"/>
          <w:i w:val="false"/>
          <w:caps w:val="false"/>
          <w:smallCaps w:val="false"/>
          <w:sz w:val="20"/>
        </w:rPr>
        <w:t>” of any amount of any currency means, at the time of determination thereof, (a) if such amount is expressed in Dollars, such amount, (b) if such amount is expressed in a currency other than Dollars (a “</w:t>
      </w:r>
      <w:r>
        <w:rPr>
          <w:rFonts w:ascii="Times New Roman;Times;Serif" w:hAnsi="Times New Roman;Times;Serif"/>
          <w:b w:val="false"/>
          <w:i w:val="false"/>
          <w:caps w:val="false"/>
          <w:smallCaps w:val="false"/>
          <w:sz w:val="20"/>
          <w:u w:val="single"/>
        </w:rPr>
        <w:t>Foreign Currency</w:t>
      </w:r>
      <w:r>
        <w:rPr>
          <w:rFonts w:ascii="Times New Roman;Times;Serif" w:hAnsi="Times New Roman;Times;Serif"/>
          <w:b w:val="false"/>
          <w:i w:val="false"/>
          <w:caps w:val="false"/>
          <w:smallCaps w:val="false"/>
          <w:sz w:val="20"/>
        </w:rPr>
        <w:t>”), the equivalent of such amount in Dollars determined by using the rate of exchange for the purchase of Dollars with such Foreign Currency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Dollars with such Foreign Currency, as provided by such other publicly available information service which provides that rate of exchange at such time in place of Reuters chosen by the Administrative Agent in its reasonable discretion (or if such service ceases to be available or ceases to provide such rate of exchange, the equivalent of such amount in Dollars as reasonably determined by the Administrative Agent, in consultation with the Borrower, using any reasonable method of determination it deems reasonably appropriate) and (c) if such amount is denominated in any other currency, the equivalent of such amount in Dollars as reasonably determined by the Administrative Agent, in consultation with the Borrower, using any reasonable method of determination it deems reasonably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refers to lawful money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Subsidiary</w:t>
      </w:r>
      <w:r>
        <w:rPr>
          <w:rFonts w:ascii="Times New Roman;Times;Serif" w:hAnsi="Times New Roman;Times;Serif"/>
          <w:b w:val="false"/>
          <w:i w:val="false"/>
          <w:caps w:val="false"/>
          <w:smallCaps w:val="false"/>
          <w:sz w:val="20"/>
        </w:rPr>
        <w:t>” means each Subsidiary of the Parent other than a Foreign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DQ List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9.04(e)(iv)</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EBITDA</w:t>
      </w:r>
      <w:r>
        <w:rPr>
          <w:rFonts w:ascii="Times New Roman;Times;Serif" w:hAnsi="Times New Roman;Times;Serif"/>
          <w:b w:val="false"/>
          <w:i w:val="false"/>
          <w:caps w:val="false"/>
          <w:smallCaps w:val="false"/>
          <w:sz w:val="20"/>
        </w:rPr>
        <w:t xml:space="preserve">” means, for any period, the sum of the consolidated net income of the Parent for such period excluding the effect of (a) any non-cash gains (including any non-cash gains arising from the adoption of mark-to-market accounting with respect to pension or other retirement benefit plans); (b) any non-cash losses, charges and expenses (including any non-cash loss, charge or expense arising from the adoption of mark-to-market accounting with respect to pension or other retirement benefit plans); (c) any earnings from discontinued operations (but if such operations are classified as discontinued due to the fact that they are subject to an agreement to dispose of such operations, such earnings shall be excluded in the calculation of EBITDA (i) only when and to the extent such operations are actually disposed of and (ii) if the sales revenue generated by the applicable entity or business unit in the twelve (12) months prior to such disposition was $25,000,000 or more); (d) fees, costs, expenses, premiums, make-whole or penalty payments, other similar items and, in the case of </w:t>
      </w:r>
      <w:r>
        <w:rPr>
          <w:rFonts w:ascii="Times New Roman;Times;Serif" w:hAnsi="Times New Roman;Times;Serif"/>
          <w:b w:val="false"/>
          <w:i w:val="false"/>
          <w:caps w:val="false"/>
          <w:smallCaps w:val="false"/>
          <w:sz w:val="20"/>
          <w:u w:val="single"/>
        </w:rPr>
        <w:t>clause (v)</w:t>
      </w:r>
      <w:r>
        <w:rPr>
          <w:rFonts w:ascii="Times New Roman;Times;Serif" w:hAnsi="Times New Roman;Times;Serif"/>
          <w:b w:val="false"/>
          <w:i w:val="false"/>
          <w:caps w:val="false"/>
          <w:smallCaps w:val="false"/>
          <w:sz w:val="20"/>
        </w:rPr>
        <w:t> below, awards, settlement payments and similar amounts, in each case, incurred after the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add back amounts arising in respect of the Transactions may be incurred prior to, on and/or after the Effective Date) and arising out of (i) Permitted Acquisitions, (ii) investments and dispositions not prohibited by this Agreement, (iii) any incurrence, issuance, repayment or refinancing of Debt permitted by this Agreement, (iv) any issuance or redemption of Equity Interests and (v) litigation, arbitration and/or other resolutions of legal disputes (provided that the aggregate amount permitted to be added back pursuant to this </w:t>
      </w:r>
      <w:r>
        <w:rPr>
          <w:rFonts w:ascii="Times New Roman;Times;Serif" w:hAnsi="Times New Roman;Times;Serif"/>
          <w:b w:val="false"/>
          <w:i w:val="false"/>
          <w:caps w:val="false"/>
          <w:smallCaps w:val="false"/>
          <w:sz w:val="20"/>
          <w:u w:val="single"/>
        </w:rPr>
        <w:t>clause (d)(v)</w:t>
      </w:r>
      <w:r>
        <w:rPr>
          <w:rFonts w:ascii="Times New Roman;Times;Serif" w:hAnsi="Times New Roman;Times;Serif"/>
          <w:b w:val="false"/>
          <w:i w:val="false"/>
          <w:caps w:val="false"/>
          <w:smallCaps w:val="false"/>
          <w:sz w:val="20"/>
        </w:rPr>
        <w:t xml:space="preserve"> shall not exceed $25,000,000 during such period); (e) any losses, charges, costs and expenses from discontinued operations plus, to the extent deducted in determining such consolidated net income, but without duplication, Interest Expense, taxes on or measured by income, depreciation, amortization, non-cash stock-based compensation expenses; (f) any losses, charges, costs and expenses from restructurings, casualty and condemnation events, takings under power of eminent domain and similar events (not to exceed 10% of EBITDA for such period); (g) any unusual or non-recurring losses, charges, costs and expenses to the extent deducted in the calculation of consolidated net income (together with the amount added back pursuant to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below, not to exceed 10% of EBITDA); and (h) any cost-savings and cost synergies resulting from a Permitted Acquisition projected in good faith by the Parent to be realized within 18 months of such acquisition (together with the amounts in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above, not to exceed 10% of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ECP</w:t>
      </w:r>
      <w:r>
        <w:rPr>
          <w:rFonts w:ascii="Times New Roman;Times;Serif" w:hAnsi="Times New Roman;Times;Serif"/>
          <w:b w:val="false"/>
          <w:i w:val="false"/>
          <w:caps w:val="false"/>
          <w:smallCaps w:val="false"/>
          <w:sz w:val="20"/>
        </w:rPr>
        <w:t>” means an “eligible contract participant” as defined in Section 1(a)(18) of the Commodity Exchange Act or any regulations promulgated thereunder and the applicable rules issued by the Commodity Futures Trading Commission and/or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means the date on which the conditions specified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are satisfied (or waived in accordance with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means an electronic sound, symbol, or process attached to, or associated with, a contract or other record and adopted by a Person with the intent to sign, authenticate or accept such contract or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Claims</w:t>
      </w:r>
      <w:r>
        <w:rPr>
          <w:rFonts w:ascii="Times New Roman;Times;Serif" w:hAnsi="Times New Roman;Times;Serif"/>
          <w:b w:val="false"/>
          <w:i w:val="false"/>
          <w:caps w:val="false"/>
          <w:smallCaps w:val="false"/>
          <w:sz w:val="20"/>
        </w:rPr>
        <w:t>” means all claims, however asserted, by any Governmental Authority or other Person alleging potential liability or responsibility for violation of any Environmental Law, or for release or injury to the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all federal, state and local laws, statutes, common law duties, rules, regulations, ordinances and codes, together with all administrative orders, directed duties, requests, licenses, authorizations and permits of, and agreements with, any judicial, regulating or other governmental authority, in each case relating to environmental and land use matters or health or safety matters affecting the environment or land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Liability</w:t>
      </w:r>
      <w:r>
        <w:rPr>
          <w:rFonts w:ascii="Times New Roman;Times;Serif" w:hAnsi="Times New Roman;Times;Serif"/>
          <w:b w:val="false"/>
          <w:i w:val="false"/>
          <w:caps w:val="false"/>
          <w:smallCaps w:val="false"/>
          <w:sz w:val="20"/>
        </w:rPr>
        <w:t>” means any liability, contingent or otherwise (including any liability for damages, costs of environmental remediation, fines, penalties or indemnities), of the Parent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trade or business (whether or not incorporated) under common control with the Parent within the meaning of Section 414(b) or (c) of the Code (and Sections 414(m) and (o) of the Code for purposes of provisions relating to Section 412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w:t>
      </w:r>
      <w:r>
        <w:rPr>
          <w:rFonts w:ascii="Times New Roman;Times;Serif" w:hAnsi="Times New Roman;Times;Serif"/>
          <w:b w:val="false"/>
          <w:i w:val="false"/>
          <w:caps w:val="false"/>
          <w:smallCaps w:val="false"/>
          <w:sz w:val="20"/>
        </w:rPr>
        <w:t>” means the European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Borrower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2.02(f)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Borrowing Request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Funding Obligations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2.02(g)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Lender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2.02(f)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Lender Provisions</w:t>
      </w:r>
      <w:r>
        <w:rPr>
          <w:rFonts w:ascii="Times New Roman;Times;Serif" w:hAnsi="Times New Roman;Times;Serif"/>
          <w:b w:val="false"/>
          <w:i w:val="false"/>
          <w:caps w:val="false"/>
          <w:smallCaps w:val="false"/>
          <w:sz w:val="20"/>
        </w:rPr>
        <w:t xml:space="preserve">” means, collectively, </w:t>
      </w:r>
      <w:r>
        <w:rPr>
          <w:rFonts w:ascii="Times New Roman;Times;Serif" w:hAnsi="Times New Roman;Times;Serif"/>
          <w:b w:val="false"/>
          <w:i w:val="false"/>
          <w:caps w:val="false"/>
          <w:smallCaps w:val="false"/>
          <w:sz w:val="20"/>
          <w:u w:val="single"/>
        </w:rPr>
        <w:t>Sections 2.02(e)</w:t>
      </w:r>
      <w:r>
        <w:rPr>
          <w:rFonts w:ascii="Times New Roman;Times;Serif" w:hAnsi="Times New Roman;Times;Serif"/>
          <w:b w:val="false"/>
          <w:i w:val="false"/>
          <w:caps w:val="false"/>
          <w:smallCaps w:val="false"/>
          <w:sz w:val="20"/>
        </w:rPr>
        <w:t xml:space="preserve"> through (and including)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and the final paragraph of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Notice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2.02(f)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requirement for the giving of notice, the lapse of time, or both, or any other condition has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Swap Obligation</w:t>
      </w:r>
      <w:r>
        <w:rPr>
          <w:rFonts w:ascii="Times New Roman;Times;Serif" w:hAnsi="Times New Roman;Times;Serif"/>
          <w:b w:val="false"/>
          <w:i w:val="false"/>
          <w:caps w:val="false"/>
          <w:smallCaps w:val="false"/>
          <w:sz w:val="20"/>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(a) by virtue of such Loan Party’s failure for any reason to constitute an ECP at the time the Guarantee of such Loan Party or the grant of such security interest becomes or would become effective with respect to such Specified Swap Obligation or (b) in the case of a Specified Swap Obligation subject to a clearing requirement pursuant to Section 2(h) of the Commodity Exchange Act (or any successor provision thereto), because such Loan Party is a “financial entity,” as defined in Section 2(h)(7)(C)(i) of the Commodity Exchange Act (or any successor provision thereto), at the time the Guarantee of such Loan Party or the grant of such security interest becomes or would become effective with respect to such related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xml:space="preserve">” means, with respect to the Administrative Agent, any Lender, or any other recipient of any payment to be made by or on account of any obligation of the Borrower or any guarantor under any Loan Document, (a) Taxes imposed on or measured by net income (however denominated), franchise Taxes and branch profits Taxes, in each case, (i) imposed by the jurisdiction under the laws of which such recipient is organized or in which it has a principal office or, in the case of any Lender, in which its applicable lending office is located or (ii) that are Other Connection Taxes, (b) in the case of a Lender, any U.S. federal withholding Tax that is imposed on amounts payable to or for the account of such Lender with respect to an applicable interest in a Loan or Commitment pursuant to a law in effect on the date on which (i) such Lender becomes a party to this Agreement (other than pursuant to an assignment request by the Borrower under </w:t>
      </w:r>
      <w:r>
        <w:rPr>
          <w:rFonts w:ascii="Times New Roman;Times;Serif" w:hAnsi="Times New Roman;Times;Serif"/>
          <w:b w:val="false"/>
          <w:i w:val="false"/>
          <w:caps w:val="false"/>
          <w:smallCaps w:val="false"/>
          <w:sz w:val="20"/>
          <w:u w:val="single"/>
        </w:rPr>
        <w:t>Section 2.16(b)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9.02(c)</w:t>
      </w:r>
      <w:r>
        <w:rPr>
          <w:rFonts w:ascii="Times New Roman;Times;Serif" w:hAnsi="Times New Roman;Times;Serif"/>
          <w:b w:val="false"/>
          <w:i w:val="false"/>
          <w:caps w:val="false"/>
          <w:smallCaps w:val="false"/>
          <w:sz w:val="20"/>
        </w:rPr>
        <w:t xml:space="preserve">) or (ii) such Lender designates a new lending office, except in each case to the extent that such Lender (or its assignor, if any) was entitled, immediately before the designation of a new lending office (or an assignment), to receive additional amounts pursuant to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 xml:space="preserve">, (c) Taxes attributable to such recipient’s failure to comply with </w:t>
      </w:r>
      <w:r>
        <w:rPr>
          <w:rFonts w:ascii="Times New Roman;Times;Serif" w:hAnsi="Times New Roman;Times;Serif"/>
          <w:b w:val="false"/>
          <w:i w:val="false"/>
          <w:caps w:val="false"/>
          <w:smallCaps w:val="false"/>
          <w:sz w:val="20"/>
          <w:u w:val="single"/>
        </w:rPr>
        <w:t>Section 2.14(e)</w:t>
      </w:r>
      <w:r>
        <w:rPr>
          <w:rFonts w:ascii="Times New Roman;Times;Serif" w:hAnsi="Times New Roman;Times;Serif"/>
          <w:b w:val="false"/>
          <w:i w:val="false"/>
          <w:caps w:val="false"/>
          <w:smallCaps w:val="false"/>
          <w:sz w:val="20"/>
        </w:rPr>
        <w:t>, (d) any withholding Tax that is imposed under FATCA and (e) any deduction or withholding on account of Taxes imposed by Luxembourg under the law dated 23 December 2005, as amended, introducing a final withholding tax on interest payable to Luxembourg resident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JPM Credit Agreement</w:t>
      </w:r>
      <w:r>
        <w:rPr>
          <w:rFonts w:ascii="Times New Roman;Times;Serif" w:hAnsi="Times New Roman;Times;Serif"/>
          <w:b w:val="false"/>
          <w:i w:val="false"/>
          <w:caps w:val="false"/>
          <w:smallCaps w:val="false"/>
          <w:sz w:val="20"/>
        </w:rPr>
        <w:t>” means that certain Second Amended and Restated Credit Agreement, dated as of May 5, 2025, by and among the Borrower, the Parent, Pentair MN, the financial institutions from time to time party thereto as lenders, and JPMorgan Chase Bank, N.A., as administrative agent, as amended prior to the date hereof and as the same may be further amended,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 Office</w:t>
      </w:r>
      <w:r>
        <w:rPr>
          <w:rFonts w:ascii="Times New Roman;Times;Serif" w:hAnsi="Times New Roman;Times;Serif"/>
          <w:b w:val="false"/>
          <w:i w:val="false"/>
          <w:caps w:val="false"/>
          <w:smallCaps w:val="false"/>
          <w:sz w:val="20"/>
        </w:rPr>
        <w:t>” means the office or offices through which a Lender will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Effective Rate</w:t>
      </w:r>
      <w:r>
        <w:rPr>
          <w:rFonts w:ascii="Times New Roman;Times;Serif" w:hAnsi="Times New Roman;Times;Serif"/>
          <w:b w:val="false"/>
          <w:i w:val="false"/>
          <w:caps w:val="false"/>
          <w:smallCaps w:val="false"/>
          <w:sz w:val="20"/>
        </w:rPr>
        <w:t>”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would be less than zero, such rate shall be deemed to be zero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Fee Letter</w:t>
      </w:r>
      <w:r>
        <w:rPr>
          <w:rFonts w:ascii="Times New Roman;Times;Serif" w:hAnsi="Times New Roman;Times;Serif"/>
          <w:b w:val="false"/>
          <w:i w:val="false"/>
          <w:caps w:val="false"/>
          <w:smallCaps w:val="false"/>
          <w:sz w:val="20"/>
        </w:rPr>
        <w:t>” means that certain Delayed Draw Term Loan Facilities Fee Letter, dated September 1, 2026, between the Borrower and U.S.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Officer</w:t>
      </w:r>
      <w:r>
        <w:rPr>
          <w:rFonts w:ascii="Times New Roman;Times;Serif" w:hAnsi="Times New Roman;Times;Serif"/>
          <w:b w:val="false"/>
          <w:i w:val="false"/>
          <w:caps w:val="false"/>
          <w:smallCaps w:val="false"/>
          <w:sz w:val="20"/>
        </w:rPr>
        <w:t>” means (i) with respect to the Borrower, a Manager of the Borrower; and (ii) with respect to the Parent, the Chief Financial Officer, the Chief Accounting Officer or the Treasurer of the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means Fitch Ratings,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w:t>
      </w:r>
      <w:r>
        <w:rPr>
          <w:rFonts w:ascii="Times New Roman;Times;Serif" w:hAnsi="Times New Roman;Times;Serif"/>
          <w:b w:val="false"/>
          <w:i w:val="false"/>
          <w:caps w:val="false"/>
          <w:smallCaps w:val="false"/>
          <w:sz w:val="20"/>
        </w:rPr>
        <w:t>” means the benchmark rate floor, if any, provided in this Agreement initially (as of the execution of this Agreement, the modification, amendment or renewal of this Agreement or otherwise) with respect to the Adjusted Term SOFR Rate or the Daily Simple SOFR, as applicable. For the avoidance of doubt, the initial Floor for each of the Adjusted Term SOFR Rate and the Daily Simple SOFR shall be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Lender</w:t>
      </w:r>
      <w:r>
        <w:rPr>
          <w:rFonts w:ascii="Times New Roman;Times;Serif" w:hAnsi="Times New Roman;Times;Serif"/>
          <w:b w:val="false"/>
          <w:i w:val="false"/>
          <w:caps w:val="false"/>
          <w:smallCaps w:val="false"/>
          <w:sz w:val="20"/>
        </w:rPr>
        <w:t>” means a Lender that is neither a U.S. Person nor a Disregarded Entity that is treated for U.S. federal income Tax purposes as having as its sole owner a Person that is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Subsidiary</w:t>
      </w:r>
      <w:r>
        <w:rPr>
          <w:rFonts w:ascii="Times New Roman;Times;Serif" w:hAnsi="Times New Roman;Times;Serif"/>
          <w:b w:val="false"/>
          <w:i w:val="false"/>
          <w:caps w:val="false"/>
          <w:smallCaps w:val="false"/>
          <w:sz w:val="20"/>
        </w:rPr>
        <w:t>” means, with respect to any Person, each Subsidiary of such Person that is incorporated or organized under the laws of a jurisdiction located outside of the United States or any state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as from time to time in effect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federal, state, municipal, national or other governmental department, commission, board, bureau, court, agency, ministry or instrumentality or political subdivision thereof or any entity, officer, minister or other Person exercising executive, legislative, judicial, regulatory or administrative functions of or pertaining to any government or any court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xml:space="preserve">” means, with respect to any Person, any obligation of such Person, contingent or otherwise, directly or indirectly guaranteeing any Debt of any other Person or in any manner providing for the payment of any Debt of any other Person or otherwise protecting the holder of such Debt against loss (whether by agreement to keep-well, to purchase assets, goods, securities or services, to take-or-pay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 “Guarantee” shall not include endorsements for collection or deposit in the ordinary course of business. The term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used as a verb has a correlative meaning. It is understood that the amount of any Guarantee of or by any Person shall be deemed to be the lower of (a) the amount of Debt in respect of which such Guarantee exists and (b) the maximum amount for which such Person may be liable pursuant to the instrument embodying such Guarantee. For the avoidance of doubt, in the event any Guarantee is limited to recourse against a particular asset or assets of such Person, the amount of such Guarantee shall be equal to the lesser of the amount of such Guarantee and the fair market value of such asset or assets, as determined by such Person in good faith, at the date for determination of the amount of such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each of the Parent and each Additional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Hedging Agreement</w:t>
      </w:r>
      <w:r>
        <w:rPr>
          <w:rFonts w:ascii="Times New Roman;Times;Serif" w:hAnsi="Times New Roman;Times;Serif"/>
          <w:b w:val="false"/>
          <w:i w:val="false"/>
          <w:caps w:val="false"/>
          <w:smallCaps w:val="false"/>
          <w:sz w:val="20"/>
        </w:rPr>
        <w:t xml:space="preserve">” means any agreement with respect to any swap, forward, future or derivative transaction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phantom stock or similar plan providing for payments only on account of services provided by current or former directors, officers, employees or consultants of the Parent or the Subsidiaries shall be a Hedging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means (a) Taxes other than Excluded Taxes imposed on or with respect to any payment made by any Loan Party under any Loan Document and (b)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Ineligible Institution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Insolvency Regulation</w:t>
      </w:r>
      <w:r>
        <w:rPr>
          <w:rFonts w:ascii="Times New Roman;Times;Serif" w:hAnsi="Times New Roman;Times;Serif"/>
          <w:b w:val="false"/>
          <w:i w:val="false"/>
          <w:caps w:val="false"/>
          <w:smallCaps w:val="false"/>
          <w:sz w:val="20"/>
        </w:rPr>
        <w:t>” means Regulation (EU) 2015/848 of the European Parliament and of the Council of 20 May 2015 on insolvency proceedings (recast).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Coverage Ratio</w:t>
      </w:r>
      <w:r>
        <w:rPr>
          <w:rFonts w:ascii="Times New Roman;Times;Serif" w:hAnsi="Times New Roman;Times;Serif"/>
          <w:b w:val="false"/>
          <w:i w:val="false"/>
          <w:caps w:val="false"/>
          <w:smallCaps w:val="false"/>
          <w:sz w:val="20"/>
        </w:rPr>
        <w:t>” means, for any period, the ratio of (i) EBITDA for such period to (ii) Interest Expense (excluding any Interest Expense in respect of intercompany Debt), to the extent paid in cash,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Election Request</w:t>
      </w:r>
      <w:r>
        <w:rPr>
          <w:rFonts w:ascii="Times New Roman;Times;Serif" w:hAnsi="Times New Roman;Times;Serif"/>
          <w:b w:val="false"/>
          <w:i w:val="false"/>
          <w:caps w:val="false"/>
          <w:smallCaps w:val="false"/>
          <w:sz w:val="20"/>
        </w:rPr>
        <w:t xml:space="preserve">” means a request by the Borrower to convert or continue a Borrowing in accordance with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in substantially the form approved by the Administrative Agent and separately provided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Expense</w:t>
      </w:r>
      <w:r>
        <w:rPr>
          <w:rFonts w:ascii="Times New Roman;Times;Serif" w:hAnsi="Times New Roman;Times;Serif"/>
          <w:b w:val="false"/>
          <w:i w:val="false"/>
          <w:caps w:val="false"/>
          <w:smallCaps w:val="false"/>
          <w:sz w:val="20"/>
        </w:rPr>
        <w:t xml:space="preserve">” means, for any period, the sum, without duplication, of consolidated interest expense of the Parent and its Subsidiaries for such period (including, in each case to the extent included in interest expense on the Parent’s consolidated income statement, the interest component of capital leases, the interest component of Synthetic Lease Obligations, facility, commitment and usage fees, and fees for standby letters of credit),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consolidated yield or discount accrued, during such period on the aggregate outstanding investment or claim held by purchasers, assignees or other transferees of (or of interests in) receivables of the Parent and its Subsidiaries in connection with any Securitization Transaction (regardless of the accounting treatment of such Securitization Transaction), plus net payments (if any) pursuant to Hedging Agreements,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sum (without duplication) of (a) annual administrative agent fees, (b) costs associated with obtaining swap agreements and any interest expense attributable to the movement of the mark-to-market valuation of obligations under swap agreements or other derivative instruments and any one-time costs associated with breakage in respect of swap agreements for interest rates, (c) costs associated with the issuance or incurrence of debt, including amortization and write-off of deferred and other financing fees, debt issuance costs, commissions, fees and expenses and original issue discount, (d) PIK interest, (e) any non-cash expense in respect of any interest component relating to accretion or accrual of discounted liabilities and (f) net receipts (if any) pursuant to Hedging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means (a) with respect to any ABR Loan, the last day of each March, June, September and December and the applicable Maturity Date and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applicable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xml:space="preserve">” means with respect to any Term Benchmark Borrowing, the period commencing on the date of such Borrowing and ending on the numerically corresponding day in the calendar month that is one, three or six months thereafter (or such other period of time as is acceptable to each of the Lenders) (in each case, subject to the availability for the Benchmark applicable to the relevant Loan or Commitment), as the Borrower may elect;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first Business Day immediately prior to such date,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Times;Serif" w:hAnsi="Times New Roman;Times;Serif"/>
          <w:b w:val="false"/>
          <w:i w:val="false"/>
          <w:caps w:val="false"/>
          <w:smallCaps w:val="false"/>
          <w:sz w:val="20"/>
          <w:u w:val="single"/>
        </w:rPr>
        <w:t>Section 2.11(e)</w:t>
      </w:r>
      <w:r>
        <w:rPr>
          <w:rFonts w:ascii="Times New Roman;Times;Serif" w:hAnsi="Times New Roman;Times;Serif"/>
          <w:b w:val="false"/>
          <w:i w:val="false"/>
          <w:caps w:val="false"/>
          <w:smallCaps w:val="false"/>
          <w:sz w:val="20"/>
        </w:rPr>
        <w:t> shall be available for specification in any Borrowing Request or Interest Election Request. For purposes hereof, the date of a Borrowing initially shall be the date on which such Borrowing is made and thereafter shall be the effective date of the most recent conversion or continuation of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Ireland</w:t>
      </w:r>
      <w:r>
        <w:rPr>
          <w:rFonts w:ascii="Times New Roman;Times;Serif" w:hAnsi="Times New Roman;Times;Serif"/>
          <w:b w:val="false"/>
          <w:i w:val="false"/>
          <w:caps w:val="false"/>
          <w:smallCaps w:val="false"/>
          <w:sz w:val="20"/>
        </w:rPr>
        <w:t>” means Ireland, exclusive of Northern Ireland.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Irish Companies Act</w:t>
      </w:r>
      <w:r>
        <w:rPr>
          <w:rFonts w:ascii="Times New Roman;Times;Serif" w:hAnsi="Times New Roman;Times;Serif"/>
          <w:b w:val="false"/>
          <w:i w:val="false"/>
          <w:caps w:val="false"/>
          <w:smallCaps w:val="false"/>
          <w:sz w:val="20"/>
        </w:rPr>
        <w:t>” means the Companies Act 2014 of Ireland.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Irish Guarantor</w:t>
      </w:r>
      <w:r>
        <w:rPr>
          <w:rFonts w:ascii="Times New Roman;Times;Serif" w:hAnsi="Times New Roman;Times;Serif"/>
          <w:b w:val="false"/>
          <w:i w:val="false"/>
          <w:caps w:val="false"/>
          <w:smallCaps w:val="false"/>
          <w:sz w:val="20"/>
        </w:rPr>
        <w:t>” means each of the Parent and each Additional Guarantor organized under the laws of Ireland,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Irish Loan Party</w:t>
      </w:r>
      <w:r>
        <w:rPr>
          <w:rFonts w:ascii="Times New Roman;Times;Serif" w:hAnsi="Times New Roman;Times;Serif"/>
          <w:b w:val="false"/>
          <w:i w:val="false"/>
          <w:caps w:val="false"/>
          <w:smallCaps w:val="false"/>
          <w:sz w:val="20"/>
        </w:rPr>
        <w:t>” means each Irish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Irish Qualifying Lender</w:t>
      </w:r>
      <w:r>
        <w:rPr>
          <w:rFonts w:ascii="Times New Roman;Times;Serif" w:hAnsi="Times New Roman;Times;Serif"/>
          <w:b w:val="false"/>
          <w:i w:val="false"/>
          <w:caps w:val="false"/>
          <w:smallCaps w:val="false"/>
          <w:sz w:val="20"/>
        </w:rPr>
        <w:t>” means a Lender which is beneficially entitled to interest payable to it in respect of an advance under this Agreement, and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bank within the meaning of Section 246 of the Irish TCA which is carrying on a bona fide banking business in Ireland for the purposes of Section 246(3)(a) of the Irish TCA and whose Facility Office is located in Ireland; 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9"/>
        <w:gridCol w:w="8086"/>
        <w:gridCol w:w="1060"/>
      </w:tblGrid>
      <w:tr>
        <w:trPr/>
        <w:tc>
          <w:tcPr>
            <w:tcW w:w="1059" w:type="dxa"/>
            <w:tcBorders/>
            <w:vAlign w:val="center"/>
          </w:tcPr>
          <w:p>
            <w:pPr>
              <w:pStyle w:val="TableContents"/>
              <w:bidi w:val="0"/>
              <w:spacing w:before="0" w:after="283"/>
              <w:jc w:val="left"/>
              <w:rPr>
                <w:sz w:val="4"/>
                <w:szCs w:val="4"/>
              </w:rPr>
            </w:pPr>
            <w:r>
              <w:rPr>
                <w:sz w:val="4"/>
                <w:szCs w:val="4"/>
              </w:rPr>
            </w:r>
          </w:p>
        </w:tc>
        <w:tc>
          <w:tcPr>
            <w:tcW w:w="8086" w:type="dxa"/>
            <w:tcBorders/>
            <w:vAlign w:val="center"/>
          </w:tcPr>
          <w:p>
            <w:pPr>
              <w:pStyle w:val="TableContents"/>
              <w:bidi w:val="0"/>
              <w:spacing w:before="0" w:after="283"/>
              <w:jc w:val="left"/>
              <w:rPr/>
            </w:pPr>
            <w:r>
              <w:rPr/>
              <w:t>(b)</w:t>
            </w:r>
          </w:p>
        </w:tc>
        <w:tc>
          <w:tcPr>
            <w:tcW w:w="10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company (within the meaning of Section 246 of the Irish TCA) which by virtue of the laws of a Relevant Territory is resident in that Relevant Territory for the purposes of tax and that Relevant Territory imposes a tax which corresponds to Irish income tax or Irish corporation tax and which generally applies to interest receivable in that Relevant Territory by companies (within the meaning of Section 246 of the Irish TCA) from sources outside that Relevant Territory;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company (within the meaning of Section 246 of the Irish TCA) in receipt of interest under this Agreement which: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exempted from the charge to Irish income tax under an Irish Treaty between Ireland and the country in which the Lender is resident for tax purposes having the force of law under the procedures set out in section 826(1) of the Irish TCA;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would be exempted from the charge to Irish income tax under an Irish Treaty between Ireland and the country in which the Lender is resident for tax purposes entered into on or before the payment date of that interest if that Irish Treaty had the force of law under the procedures set out in section 826(1) of the Irish TCA at that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U.S. company that is incorporated in the U.S. and taxed in the U.S. on its worldwide income;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U.S. limited liability company (“</w:t>
      </w:r>
      <w:r>
        <w:rPr>
          <w:rFonts w:ascii="Times New Roman;Times;Serif" w:hAnsi="Times New Roman;Times;Serif"/>
          <w:b w:val="false"/>
          <w:i w:val="false"/>
          <w:caps w:val="false"/>
          <w:smallCaps w:val="false"/>
          <w:sz w:val="20"/>
          <w:u w:val="single"/>
        </w:rPr>
        <w:t>LLC</w:t>
      </w:r>
      <w:r>
        <w:rPr>
          <w:rFonts w:ascii="Times New Roman;Times;Serif" w:hAnsi="Times New Roman;Times;Serif"/>
          <w:b w:val="false"/>
          <w:i w:val="false"/>
          <w:caps w:val="false"/>
          <w:smallCaps w:val="false"/>
          <w:sz w:val="20"/>
        </w:rPr>
        <w:t>”), provided the ultimate recipients of the interest would be Irish Qualifying Lenders within paragraph (i), (ii) or (iii) of this definition and the business conducted through the LLC is so structured for non-tax commercial reasons and not for tax avoidance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in the case of (i), (ii), (iii), and (iv), the company does not provide its (or in the case of (iv), the ultimate recipients of the interest do not provide their) commitment in connection with a trade or business which is carried on in Ireland through a branch or agency;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body corporate which: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advances money in the ordinary course of a trade which includes the lending of money and whose Facility Office is located in Ireland;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whose hands any interest payable in respect of money so advanced is taken into account in computing the trading income of that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which has complied with the notification requirements set out in Section 246(5)(a) of the Irish 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qualifying company within the meaning of Section 110 of the Irish TCA;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investment undertaking within the meaning of Section 739B of the Irish TCA;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 Irish Treaty Lender;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 exempted approved scheme within the meaning of Section 774 of the Irish 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Irish TCA</w:t>
      </w:r>
      <w:r>
        <w:rPr>
          <w:rFonts w:ascii="Times New Roman;Times;Serif" w:hAnsi="Times New Roman;Times;Serif"/>
          <w:b w:val="false"/>
          <w:i w:val="false"/>
          <w:caps w:val="false"/>
          <w:smallCaps w:val="false"/>
          <w:sz w:val="20"/>
        </w:rPr>
        <w:t>” means the Taxes Consolidation Act, 1997 of Ireland.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Irish Treaty Lender</w:t>
      </w:r>
      <w:r>
        <w:rPr>
          <w:rFonts w:ascii="Times New Roman;Times;Serif" w:hAnsi="Times New Roman;Times;Serif"/>
          <w:b w:val="false"/>
          <w:i w:val="false"/>
          <w:caps w:val="false"/>
          <w:smallCaps w:val="false"/>
          <w:sz w:val="20"/>
        </w:rPr>
        <w:t>” means a Lender (other than a Lender falling within clause (b) of the definition of Irish Qualifying Lender) which is on the date the relevant payment is made entitled under a double taxation agreement (an “</w:t>
      </w:r>
      <w:r>
        <w:rPr>
          <w:rFonts w:ascii="Times New Roman;Times;Serif" w:hAnsi="Times New Roman;Times;Serif"/>
          <w:b w:val="false"/>
          <w:i w:val="false"/>
          <w:caps w:val="false"/>
          <w:smallCaps w:val="false"/>
          <w:sz w:val="20"/>
          <w:u w:val="single"/>
        </w:rPr>
        <w:t>Irish Treaty</w:t>
      </w:r>
      <w:r>
        <w:rPr>
          <w:rFonts w:ascii="Times New Roman;Times;Serif" w:hAnsi="Times New Roman;Times;Serif"/>
          <w:b w:val="false"/>
          <w:i w:val="false"/>
          <w:caps w:val="false"/>
          <w:smallCaps w:val="false"/>
          <w:sz w:val="20"/>
        </w:rPr>
        <w:t>”) in force on that date between Ireland and another jurisdiction to that payment without any withholding for or on account of Irish Tax (subject to the completion of any procedural formalities) and which does not carry on a business in Ireland through a permanent establishment with which that Lender’s participation in the Loan is effectively connected.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means the actual knowledge of a Responsible Officer, without giving effect to imputed or constructive knowledge or giving rise to any duty to investigate.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 Parent</w:t>
      </w:r>
      <w:r>
        <w:rPr>
          <w:rFonts w:ascii="Times New Roman;Times;Serif" w:hAnsi="Times New Roman;Times;Serif"/>
          <w:b w:val="false"/>
          <w:i w:val="false"/>
          <w:caps w:val="false"/>
          <w:smallCaps w:val="false"/>
          <w:sz w:val="20"/>
        </w:rPr>
        <w:t>” means, with respect to any Lender, any Person as to which such Lender is, directly or indirectly,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Lender-Related Person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9.03(d)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xml:space="preserve">” means the Persons listed on </w:t>
      </w:r>
      <w:r>
        <w:rPr>
          <w:rFonts w:ascii="Times New Roman;Times;Serif" w:hAnsi="Times New Roman;Times;Serif"/>
          <w:b w:val="false"/>
          <w:i w:val="false"/>
          <w:caps w:val="false"/>
          <w:smallCaps w:val="false"/>
          <w:sz w:val="20"/>
          <w:u w:val="single"/>
        </w:rPr>
        <w:t>Schedule 2.01</w:t>
      </w:r>
      <w:r>
        <w:rPr>
          <w:rFonts w:ascii="Times New Roman;Times;Serif" w:hAnsi="Times New Roman;Times;Serif"/>
          <w:b w:val="false"/>
          <w:i w:val="false"/>
          <w:caps w:val="false"/>
          <w:smallCaps w:val="false"/>
          <w:sz w:val="20"/>
        </w:rPr>
        <w:t xml:space="preserve"> and any other Person that shall have become a Lender hereunder pursuant to an Assignment and Assumption or other documentation contemplated hereby, other than any such Person that ceases to be a party hereto pursuant to an Assignment and Assumption or other documentation contemplated hereby. For the avoidance of doubt, the term “Lender” includes each Term Lender and the term “Lenders” includes all Term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Liabilities</w:t>
      </w:r>
      <w:r>
        <w:rPr>
          <w:rFonts w:ascii="Times New Roman;Times;Serif" w:hAnsi="Times New Roman;Times;Serif"/>
          <w:b w:val="false"/>
          <w:i w:val="false"/>
          <w:caps w:val="false"/>
          <w:smallCaps w:val="false"/>
          <w:sz w:val="20"/>
        </w:rPr>
        <w:t>” means any losses, claims, damages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interest in property securing any obligation owed to, or a claim by, a Person other than the owner of the property, whether such interest is based on the common law, statute, regulation, decree or contract, including (a) any lien or security interest arising from any mortgage, encumbrance, pledge, security agreement, conditional sale or trust receipt or consignment or bailment for security purposes and (b) the interest of a person under a capital lease (but excluding the interest of a lessor under an operating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Liquidity</w:t>
      </w:r>
      <w:r>
        <w:rPr>
          <w:rFonts w:ascii="Times New Roman;Times;Serif" w:hAnsi="Times New Roman;Times;Serif"/>
          <w:b w:val="false"/>
          <w:i w:val="false"/>
          <w:caps w:val="false"/>
          <w:smallCaps w:val="false"/>
          <w:sz w:val="20"/>
        </w:rPr>
        <w:t xml:space="preserve">” means, at any time, the amount of unrestricted and unencumbered cash and cash equivalent investments of the Parent and its Subsidiaries at such time that is not subject to any Lien other than Liens permitted under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that is in excess of $5,000,000 but in no event to exceed $250,000,000.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xml:space="preserve">” means this Agreement, any promissory notes executed and delivered pursuant to </w:t>
      </w:r>
      <w:r>
        <w:rPr>
          <w:rFonts w:ascii="Times New Roman;Times;Serif" w:hAnsi="Times New Roman;Times;Serif"/>
          <w:b w:val="false"/>
          <w:i w:val="false"/>
          <w:caps w:val="false"/>
          <w:smallCaps w:val="false"/>
          <w:sz w:val="20"/>
          <w:u w:val="single"/>
        </w:rPr>
        <w:t>Section 2.07(g)</w:t>
      </w:r>
      <w:r>
        <w:rPr>
          <w:rFonts w:ascii="Times New Roman;Times;Serif" w:hAnsi="Times New Roman;Times;Serif"/>
          <w:b w:val="false"/>
          <w:i w:val="false"/>
          <w:caps w:val="false"/>
          <w:smallCaps w:val="false"/>
          <w:sz w:val="20"/>
        </w:rPr>
        <w:t>, each Borrowing Request and any and all other instruments and documents executed and delivered in connection with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Parties</w:t>
      </w:r>
      <w:r>
        <w:rPr>
          <w:rFonts w:ascii="Times New Roman;Times;Serif" w:hAnsi="Times New Roman;Times;Serif"/>
          <w:b w:val="false"/>
          <w:i w:val="false"/>
          <w:caps w:val="false"/>
          <w:smallCaps w:val="false"/>
          <w:sz w:val="20"/>
        </w:rPr>
        <w:t>” means each Guarantor and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 means the term loans made by the Lenders to the Borrower pursuant to this Agreement, it being understood that conversions and continuations of Loans are not Loans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Luxembourg</w:t>
      </w:r>
      <w:r>
        <w:rPr>
          <w:rFonts w:ascii="Times New Roman;Times;Serif" w:hAnsi="Times New Roman;Times;Serif"/>
          <w:b w:val="false"/>
          <w:i w:val="false"/>
          <w:caps w:val="false"/>
          <w:smallCaps w:val="false"/>
          <w:sz w:val="20"/>
        </w:rPr>
        <w:t>” means the Grand Duchy of Luxembourg.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Luxembourg Bankruptcy Modernisation Law</w:t>
      </w:r>
      <w:r>
        <w:rPr>
          <w:rFonts w:ascii="Times New Roman;Times;Serif" w:hAnsi="Times New Roman;Times;Serif"/>
          <w:b w:val="false"/>
          <w:i w:val="false"/>
          <w:caps w:val="false"/>
          <w:smallCaps w:val="false"/>
          <w:sz w:val="20"/>
        </w:rPr>
        <w:t>” means the Luxembourg law on business continuity, restructuring and the modernisation of the bankruptcy regime dated 7 August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Luxembourg Debtor Relief Laws</w:t>
      </w:r>
      <w:r>
        <w:rPr>
          <w:rFonts w:ascii="Times New Roman;Times;Serif" w:hAnsi="Times New Roman;Times;Serif"/>
          <w:b w:val="false"/>
          <w:i w:val="false"/>
          <w:caps w:val="false"/>
          <w:smallCaps w:val="false"/>
          <w:sz w:val="20"/>
        </w:rPr>
        <w:t>” means (i) bankruptcy (</w:t>
      </w:r>
      <w:r>
        <w:rPr>
          <w:rFonts w:ascii="Times New Roman;Times;Serif" w:hAnsi="Times New Roman;Times;Serif"/>
          <w:b w:val="false"/>
          <w:i/>
          <w:caps w:val="false"/>
          <w:smallCaps w:val="false"/>
          <w:sz w:val="20"/>
        </w:rPr>
        <w:t>faillite</w:t>
      </w:r>
      <w:r>
        <w:rPr>
          <w:rFonts w:ascii="Times New Roman;Times;Serif" w:hAnsi="Times New Roman;Times;Serif"/>
          <w:b w:val="false"/>
          <w:i w:val="false"/>
          <w:caps w:val="false"/>
          <w:smallCaps w:val="false"/>
          <w:sz w:val="20"/>
        </w:rPr>
        <w:t xml:space="preserve">) within the meaning of Articles 437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of the Luxembourg Commercial Code, (ii) judicial reorganisation proceedings in the form of a mutual agreement (</w:t>
      </w:r>
      <w:r>
        <w:rPr>
          <w:rFonts w:ascii="Times New Roman;Times;Serif" w:hAnsi="Times New Roman;Times;Serif"/>
          <w:b w:val="false"/>
          <w:i/>
          <w:caps w:val="false"/>
          <w:smallCaps w:val="false"/>
          <w:sz w:val="20"/>
        </w:rPr>
        <w:t>réorganisation judiciaire par accord amiable</w:t>
      </w:r>
      <w:r>
        <w:rPr>
          <w:rFonts w:ascii="Times New Roman;Times;Serif" w:hAnsi="Times New Roman;Times;Serif"/>
          <w:b w:val="false"/>
          <w:i w:val="false"/>
          <w:caps w:val="false"/>
          <w:smallCaps w:val="false"/>
          <w:sz w:val="20"/>
        </w:rPr>
        <w:t>), a collective agreement (</w:t>
      </w:r>
      <w:r>
        <w:rPr>
          <w:rFonts w:ascii="Times New Roman;Times;Serif" w:hAnsi="Times New Roman;Times;Serif"/>
          <w:b w:val="false"/>
          <w:i/>
          <w:caps w:val="false"/>
          <w:smallCaps w:val="false"/>
          <w:sz w:val="20"/>
        </w:rPr>
        <w:t>réorganisation judiciaire par accord collectif</w:t>
      </w:r>
      <w:r>
        <w:rPr>
          <w:rFonts w:ascii="Times New Roman;Times;Serif" w:hAnsi="Times New Roman;Times;Serif"/>
          <w:b w:val="false"/>
          <w:i w:val="false"/>
          <w:caps w:val="false"/>
          <w:smallCaps w:val="false"/>
          <w:sz w:val="20"/>
        </w:rPr>
        <w:t>) or a judicial reorganisation by transfer by court order (</w:t>
      </w:r>
      <w:r>
        <w:rPr>
          <w:rFonts w:ascii="Times New Roman;Times;Serif" w:hAnsi="Times New Roman;Times;Serif"/>
          <w:b w:val="false"/>
          <w:i/>
          <w:caps w:val="false"/>
          <w:smallCaps w:val="false"/>
          <w:sz w:val="20"/>
        </w:rPr>
        <w:t>réorganisation judiciaire par transfert par décision de justice</w:t>
      </w:r>
      <w:r>
        <w:rPr>
          <w:rFonts w:ascii="Times New Roman;Times;Serif" w:hAnsi="Times New Roman;Times;Serif"/>
          <w:b w:val="false"/>
          <w:i w:val="false"/>
          <w:caps w:val="false"/>
          <w:smallCaps w:val="false"/>
          <w:sz w:val="20"/>
        </w:rPr>
        <w:t>) within the meaning of the Luxembourg Bankruptcy Modernisation Law, (iii) suspension of payments (</w:t>
      </w:r>
      <w:r>
        <w:rPr>
          <w:rFonts w:ascii="Times New Roman;Times;Serif" w:hAnsi="Times New Roman;Times;Serif"/>
          <w:b w:val="false"/>
          <w:i/>
          <w:caps w:val="false"/>
          <w:smallCaps w:val="false"/>
          <w:sz w:val="20"/>
        </w:rPr>
        <w:t>sursis de paiement</w:t>
      </w:r>
      <w:r>
        <w:rPr>
          <w:rFonts w:ascii="Times New Roman;Times;Serif" w:hAnsi="Times New Roman;Times;Serif"/>
          <w:b w:val="false"/>
          <w:i w:val="false"/>
          <w:caps w:val="false"/>
          <w:smallCaps w:val="false"/>
          <w:sz w:val="20"/>
        </w:rPr>
        <w:t xml:space="preserve">) within the meaning of Articles 593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of the Luxembourg Commercial Code, and (iv) voluntary or compulsory liquidation pursuant to the Luxembourg law of August 10, 1915 on commercial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Luxembourg Person</w:t>
      </w:r>
      <w:r>
        <w:rPr>
          <w:rFonts w:ascii="Times New Roman;Times;Serif" w:hAnsi="Times New Roman;Times;Serif"/>
          <w:b w:val="false"/>
          <w:i w:val="false"/>
          <w:caps w:val="false"/>
          <w:smallCaps w:val="false"/>
          <w:sz w:val="20"/>
        </w:rPr>
        <w:t>” means an entity that (i) is organized under the laws of the Grand-Duchy of Luxembourg, (ii) has its center of main interests, within the meaning of the Insolvency Regulation, in Luxembourg or (iii) has an establishment, within the meaning of the Insolvency Regulation, in Luxembourg.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Luxembourg Relief</w:t>
      </w:r>
      <w:r>
        <w:rPr>
          <w:rFonts w:ascii="Times New Roman;Times;Serif" w:hAnsi="Times New Roman;Times;Serif"/>
          <w:b w:val="false"/>
          <w:i w:val="false"/>
          <w:caps w:val="false"/>
          <w:smallCaps w:val="false"/>
          <w:sz w:val="20"/>
        </w:rPr>
        <w:t>” means bankruptcy (</w:t>
      </w:r>
      <w:r>
        <w:rPr>
          <w:rFonts w:ascii="Times New Roman;Times;Serif" w:hAnsi="Times New Roman;Times;Serif"/>
          <w:b w:val="false"/>
          <w:i/>
          <w:caps w:val="false"/>
          <w:smallCaps w:val="false"/>
          <w:sz w:val="20"/>
        </w:rPr>
        <w:t>faillite</w:t>
      </w:r>
      <w:r>
        <w:rPr>
          <w:rFonts w:ascii="Times New Roman;Times;Serif" w:hAnsi="Times New Roman;Times;Serif"/>
          <w:b w:val="false"/>
          <w:i w:val="false"/>
          <w:caps w:val="false"/>
          <w:smallCaps w:val="false"/>
          <w:sz w:val="20"/>
        </w:rPr>
        <w:t>), suspension of payments (</w:t>
      </w:r>
      <w:r>
        <w:rPr>
          <w:rFonts w:ascii="Times New Roman;Times;Serif" w:hAnsi="Times New Roman;Times;Serif"/>
          <w:b w:val="false"/>
          <w:i/>
          <w:caps w:val="false"/>
          <w:smallCaps w:val="false"/>
          <w:sz w:val="20"/>
        </w:rPr>
        <w:t>sursis de paiement</w:t>
      </w:r>
      <w:r>
        <w:rPr>
          <w:rFonts w:ascii="Times New Roman;Times;Serif" w:hAnsi="Times New Roman;Times;Serif"/>
          <w:b w:val="false"/>
          <w:i w:val="false"/>
          <w:caps w:val="false"/>
          <w:smallCaps w:val="false"/>
          <w:sz w:val="20"/>
        </w:rPr>
        <w:t>), administrative dissolution without liquidation (</w:t>
      </w:r>
      <w:r>
        <w:rPr>
          <w:rFonts w:ascii="Times New Roman;Times;Serif" w:hAnsi="Times New Roman;Times;Serif"/>
          <w:b w:val="false"/>
          <w:i/>
          <w:caps w:val="false"/>
          <w:smallCaps w:val="false"/>
          <w:sz w:val="20"/>
        </w:rPr>
        <w:t>dissolution administrative sans liquidation</w:t>
      </w:r>
      <w:r>
        <w:rPr>
          <w:rFonts w:ascii="Times New Roman;Times;Serif" w:hAnsi="Times New Roman;Times;Serif"/>
          <w:b w:val="false"/>
          <w:i w:val="false"/>
          <w:caps w:val="false"/>
          <w:smallCaps w:val="false"/>
          <w:sz w:val="20"/>
        </w:rPr>
        <w:t>), judicial reorganisation proceedings in the form of a mutual agreement (</w:t>
      </w:r>
      <w:r>
        <w:rPr>
          <w:rFonts w:ascii="Times New Roman;Times;Serif" w:hAnsi="Times New Roman;Times;Serif"/>
          <w:b w:val="false"/>
          <w:i/>
          <w:caps w:val="false"/>
          <w:smallCaps w:val="false"/>
          <w:sz w:val="20"/>
        </w:rPr>
        <w:t>réorganisation judiciaire par accord amiable</w:t>
      </w:r>
      <w:r>
        <w:rPr>
          <w:rFonts w:ascii="Times New Roman;Times;Serif" w:hAnsi="Times New Roman;Times;Serif"/>
          <w:b w:val="false"/>
          <w:i w:val="false"/>
          <w:caps w:val="false"/>
          <w:smallCaps w:val="false"/>
          <w:sz w:val="20"/>
        </w:rPr>
        <w:t>), a collective agreement (</w:t>
      </w:r>
      <w:r>
        <w:rPr>
          <w:rFonts w:ascii="Times New Roman;Times;Serif" w:hAnsi="Times New Roman;Times;Serif"/>
          <w:b w:val="false"/>
          <w:i/>
          <w:caps w:val="false"/>
          <w:smallCaps w:val="false"/>
          <w:sz w:val="20"/>
        </w:rPr>
        <w:t>réorganisation judiciaire par accord collectif</w:t>
      </w:r>
      <w:r>
        <w:rPr>
          <w:rFonts w:ascii="Times New Roman;Times;Serif" w:hAnsi="Times New Roman;Times;Serif"/>
          <w:b w:val="false"/>
          <w:i w:val="false"/>
          <w:caps w:val="false"/>
          <w:smallCaps w:val="false"/>
          <w:sz w:val="20"/>
        </w:rPr>
        <w:t>) or a judicial reorganisation by transfer by court order (</w:t>
      </w:r>
      <w:r>
        <w:rPr>
          <w:rFonts w:ascii="Times New Roman;Times;Serif" w:hAnsi="Times New Roman;Times;Serif"/>
          <w:b w:val="false"/>
          <w:i/>
          <w:caps w:val="false"/>
          <w:smallCaps w:val="false"/>
          <w:sz w:val="20"/>
        </w:rPr>
        <w:t>réorganisation judiciaire par transfert par décision de justice</w:t>
      </w:r>
      <w:r>
        <w:rPr>
          <w:rFonts w:ascii="Times New Roman;Times;Serif" w:hAnsi="Times New Roman;Times;Serif"/>
          <w:b w:val="false"/>
          <w:i w:val="false"/>
          <w:caps w:val="false"/>
          <w:smallCaps w:val="false"/>
          <w:sz w:val="20"/>
        </w:rPr>
        <w:t>), a general settlement with creditors and voluntary or compulsory liquidation, as such terms are understood within the Luxembourg Debtor Relief Laws, and also means any other proceedings affecting the rights of creditors generally or the appointment of an interim administrator (</w:t>
      </w:r>
      <w:r>
        <w:rPr>
          <w:rFonts w:ascii="Times New Roman;Times;Serif" w:hAnsi="Times New Roman;Times;Serif"/>
          <w:b w:val="false"/>
          <w:i/>
          <w:caps w:val="false"/>
          <w:smallCaps w:val="false"/>
          <w:sz w:val="20"/>
        </w:rPr>
        <w:t>administrateur provisoire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Acquisition</w:t>
      </w:r>
      <w:r>
        <w:rPr>
          <w:rFonts w:ascii="Times New Roman;Times;Serif" w:hAnsi="Times New Roman;Times;Serif"/>
          <w:b w:val="false"/>
          <w:i w:val="false"/>
          <w:caps w:val="false"/>
          <w:smallCaps w:val="false"/>
          <w:sz w:val="20"/>
        </w:rPr>
        <w:t>” means any acquisition if the aggregate consideration paid or to be paid (including liabilities to be assumed as part of the purchase consideration) by the Parent or a Subsidiary in respect of such acquisition is equal to or greater than $250,000,000.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means a material adverse effect on (i) the business, assets, operations or financial condition of the Parent and its Subsidiaries taken as a whole or (ii) the ability of any Loan Party to perform its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specific events, circumstances, changes, effects or conditions (and not general economic or industry conditions) specifically applicable to the Parent and its Subsidiaries disclosed in the Public Filings shall not constitute a “Material Adverse Effect” to the extent so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Financial Obligations</w:t>
      </w:r>
      <w:r>
        <w:rPr>
          <w:rFonts w:ascii="Times New Roman;Times;Serif" w:hAnsi="Times New Roman;Times;Serif"/>
          <w:b w:val="false"/>
          <w:i w:val="false"/>
          <w:caps w:val="false"/>
          <w:smallCaps w:val="false"/>
          <w:sz w:val="20"/>
        </w:rPr>
        <w:t>” means Debt or Synthetic Lease Obligations of the Parent or any Subsidiary (excluding amounts owed to the Parent or any Subsidiary that is wholly-owned (except for directors’ qualifying shares)) in an aggregate amount (for all applicable Debt and Synthetic Lease Obligations, but without duplication) equal to or greater than a Dollar Amount of $75,000,000.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Subsidiary</w:t>
      </w:r>
      <w:r>
        <w:rPr>
          <w:rFonts w:ascii="Times New Roman;Times;Serif" w:hAnsi="Times New Roman;Times;Serif"/>
          <w:b w:val="false"/>
          <w:i w:val="false"/>
          <w:caps w:val="false"/>
          <w:smallCaps w:val="false"/>
          <w:sz w:val="20"/>
        </w:rPr>
        <w:t>” means (a) the Borrower, (b) each Additional Guarantor that is a Subsidiary of the Parent and (c) each other Subsidiary of the Parent that at the time of determination constitutes a “significant subsidiary” (as such term is defined in Regulation S-X of the SEC as in effect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means the Tranche 1 Term Loan Maturity Date and/or the Tranche 2 Term Loan Maturity Date,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Leverage Ratio</w:t>
      </w:r>
      <w:r>
        <w:rPr>
          <w:rFonts w:ascii="Times New Roman;Times;Serif" w:hAnsi="Times New Roman;Times;Serif"/>
          <w:b w:val="false"/>
          <w:i w:val="false"/>
          <w:caps w:val="false"/>
          <w:smallCaps w:val="false"/>
          <w:sz w:val="20"/>
        </w:rPr>
        <w:t xml:space="preserve">” means, as of the last day of any period of four consecutive fiscal quarters, the ratio of (a) (i) the sum (without duplication) of the outstanding principal amount of all Debt (excluding, without duplication, Synthetic Lease Obligations) of the Parent and its Consolidated Subsidiaries determined on a consolidated basis as of such date,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Liquidity as of such date, to (b) EBITDA for the period of four consecutive fiscal quarters then ended;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calculating EBITDA pursuant to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the consolidated net income of any Person or business unit acquired (or divested or liquidated, if the sales revenue generated by such Person or business unit in the 12 months prior to such divestiture or liquidation was $25,000,000 or more) by the Parent or any Subsidiary during such period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to the extent deducted in determining such consolidated net income, Interest Expense, income tax expense, depreciation and amortization and non-cash compensation expenses of such Person or business unit) shall be included (or, in the case of a divestiture or liquidation, excluded) on a </w:t>
      </w:r>
      <w:r>
        <w:rPr>
          <w:rFonts w:ascii="Times New Roman;Times;Serif" w:hAnsi="Times New Roman;Times;Serif"/>
          <w:b w:val="false"/>
          <w:i w:val="false"/>
          <w:caps w:val="false"/>
          <w:smallCaps w:val="false"/>
          <w:sz w:val="20"/>
          <w:u w:val="single"/>
        </w:rPr>
        <w:t>pro forma</w:t>
      </w:r>
      <w:r>
        <w:rPr>
          <w:rFonts w:ascii="Times New Roman;Times;Serif" w:hAnsi="Times New Roman;Times;Serif"/>
          <w:b w:val="false"/>
          <w:i w:val="false"/>
          <w:caps w:val="false"/>
          <w:smallCaps w:val="false"/>
          <w:sz w:val="20"/>
        </w:rPr>
        <w:t xml:space="preserve"> basis for such period (assuming the consummation of each such acquisition and the incurrence or assumption of any Debt in connection therewith (or the consummation of such divestiture or liquidation) occurred on the first day of such period) in accordance with Article 11 of Regulation S-X of the SEC;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at any time after the definitive agreement for any Material Acquisition shall have been executed (or, in the case of a Material Acquisition in the form of a tender offer or similar transaction, after the offer shall have been launched) and prior to the consummation of such Material Acquisition (or termination of the definitive documentation in respect thereof (or such later date as such indebtedness ceases to constitute Acquisition Debt as set forth in the definition of “Acquisition Debt”)), any Acquisition Debt (and the proceeds of such Debt) shall be excluded from the determination of the Net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9.02(c)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xml:space="preserve">” means a note substantially in the form of </w:t>
      </w:r>
      <w:r>
        <w:rPr>
          <w:rFonts w:ascii="Times New Roman;Times;Serif" w:hAnsi="Times New Roman;Times;Serif"/>
          <w:b w:val="false"/>
          <w:i w:val="false"/>
          <w:caps w:val="false"/>
          <w:smallCaps w:val="false"/>
          <w:sz w:val="20"/>
          <w:u w:val="single"/>
        </w:rPr>
        <w:t>Exhibit D-1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D-2</w:t>
      </w:r>
      <w:r>
        <w:rPr>
          <w:rFonts w:ascii="Times New Roman;Times;Serif" w:hAnsi="Times New Roman;Times;Serif"/>
          <w:b w:val="false"/>
          <w:i w:val="false"/>
          <w:caps w:val="false"/>
          <w:smallCaps w:val="false"/>
          <w:sz w:val="20"/>
        </w:rPr>
        <w:t xml:space="preserve"> hereto, as applicable, evidencing the Term Loans of the applicable Class made by any applicable Lender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w:t>
      </w:r>
      <w:r>
        <w:rPr>
          <w:rFonts w:ascii="Times New Roman;Times;Serif" w:hAnsi="Times New Roman;Times;Serif"/>
          <w:b w:val="false"/>
          <w:i w:val="false"/>
          <w:caps w:val="false"/>
          <w:smallCaps w:val="false"/>
          <w:sz w:val="20"/>
        </w:rPr>
        <w:t>” means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 Rate</w:t>
      </w:r>
      <w:r>
        <w:rPr>
          <w:rFonts w:ascii="Times New Roman;Times;Serif" w:hAnsi="Times New Roman;Times;Serif"/>
          <w:b w:val="false"/>
          <w:i w:val="false"/>
          <w:caps w:val="false"/>
          <w:smallCaps w:val="false"/>
          <w:sz w:val="20"/>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both such rates are not so published for any day that is a Business Day, the term “NYFRB Rate” means the rate quoted for such day for a federal funds transaction at 11:00 a.m., New York City time, on such day received by the Administrative Agent from a federal funds broker of recognized standing selected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any of the aforesaid rates as so determined would be less than 0%, such rate shall be deemed to be 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NYFRB’s Website</w:t>
      </w:r>
      <w:r>
        <w:rPr>
          <w:rFonts w:ascii="Times New Roman;Times;Serif" w:hAnsi="Times New Roman;Times;Serif"/>
          <w:b w:val="false"/>
          <w:i w:val="false"/>
          <w:caps w:val="false"/>
          <w:smallCaps w:val="false"/>
          <w:sz w:val="20"/>
        </w:rPr>
        <w:t>” means the website of the NYFRB at http://www.newyorkfed.org, or any successor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means all indebtedness (including interest and fees accruing during the pendency of any bankruptcy, insolvency, examinership, receivership or other similar proceeding, regardless of whether allowed or allowable in such proceeding), obligations and liabilities of any of the Parent and its Subsidiaries to any of the Lenders, any indemnified party and the Administrative Agent, individually or collectively, under this Agreement or any of the other Loan Documents or in respect of any of the Loans made or reimbursement obligations incurred or other instruments at any time evidencing any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Office of Foreign Assets Control of the U.S. Department of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(a) with respect to any corporation or unlimited liability company,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xml:space="preserve">” means, with respect to the Administrative Agent or any Lender,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(other than an assignment at the request of the Borrower under </w:t>
      </w:r>
      <w:r>
        <w:rPr>
          <w:rFonts w:ascii="Times New Roman;Times;Serif" w:hAnsi="Times New Roman;Times;Serif"/>
          <w:b w:val="false"/>
          <w:i w:val="false"/>
          <w:caps w:val="false"/>
          <w:smallCaps w:val="false"/>
          <w:sz w:val="20"/>
          <w:u w:val="single"/>
        </w:rPr>
        <w:t>Section 2.16(b)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xml:space="preserve">” means any and all present or future stamp, registration or documentary Taxes or any other excise or property Taxes, charges or similar Taxes or levies arising from any payment made hereunder or from the execution, delivery or enforcement of, or otherwise with respect to, any Loan Document, but excluding (i) Excluded Taxes, (ii) Taxes that are Other Connection Taxes imposed with respect to an assignment (other than an assignment made pursuant to </w:t>
      </w:r>
      <w:r>
        <w:rPr>
          <w:rFonts w:ascii="Times New Roman;Times;Serif" w:hAnsi="Times New Roman;Times;Serif"/>
          <w:b w:val="false"/>
          <w:i w:val="false"/>
          <w:caps w:val="false"/>
          <w:smallCaps w:val="false"/>
          <w:sz w:val="20"/>
          <w:u w:val="single"/>
        </w:rPr>
        <w:t>Section 2.16(b)</w:t>
      </w:r>
      <w:r>
        <w:rPr>
          <w:rFonts w:ascii="Times New Roman;Times;Serif" w:hAnsi="Times New Roman;Times;Serif"/>
          <w:b w:val="false"/>
          <w:i w:val="false"/>
          <w:caps w:val="false"/>
          <w:smallCaps w:val="false"/>
          <w:sz w:val="20"/>
        </w:rPr>
        <w:t>) and (iii) any such stamp, court or documentary, intangible, mortgage, recording, filing or similar Tax that becomes payable upon a registration made by any party (including, for the avoidance of doubt, any Luxembourg registration duties (</w:t>
      </w:r>
      <w:r>
        <w:rPr>
          <w:rFonts w:ascii="Times New Roman;Times;Serif" w:hAnsi="Times New Roman;Times;Serif"/>
          <w:b w:val="false"/>
          <w:i/>
          <w:caps w:val="false"/>
          <w:smallCaps w:val="false"/>
          <w:sz w:val="20"/>
        </w:rPr>
        <w:t>droits d’enregistrement</w:t>
      </w:r>
      <w:r>
        <w:rPr>
          <w:rFonts w:ascii="Times New Roman;Times;Serif" w:hAnsi="Times New Roman;Times;Serif"/>
          <w:b w:val="false"/>
          <w:i w:val="false"/>
          <w:caps w:val="false"/>
          <w:smallCaps w:val="false"/>
          <w:sz w:val="20"/>
        </w:rPr>
        <w:t>)), including the Administrative Agent or any Lender, if such registration is not required to enforce the rights of such party or obligations of any party under a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Overnight Bank Funding Rate</w:t>
      </w:r>
      <w:r>
        <w:rPr>
          <w:rFonts w:ascii="Times New Roman;Times;Serif" w:hAnsi="Times New Roman;Times;Serif"/>
          <w:b w:val="false"/>
          <w:i w:val="false"/>
          <w:caps w:val="false"/>
          <w:smallCaps w:val="false"/>
          <w:sz w:val="20"/>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means Pentair plc, an Irish public limited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9.13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8.06(c)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Notice</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8.06(c)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Office</w:t>
      </w:r>
      <w:r>
        <w:rPr>
          <w:rFonts w:ascii="Times New Roman;Times;Serif" w:hAnsi="Times New Roman;Times;Serif"/>
          <w:b w:val="false"/>
          <w:i w:val="false"/>
          <w:caps w:val="false"/>
          <w:smallCaps w:val="false"/>
          <w:sz w:val="20"/>
        </w:rPr>
        <w:t>” of the Administrative Agent means the office, branch, affiliate or correspondent bank of the Administrative Agent for such currency as specified from time to time by the Administrative Agent to the Borrower and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Acquisition</w:t>
      </w:r>
      <w:r>
        <w:rPr>
          <w:rFonts w:ascii="Times New Roman;Times;Serif" w:hAnsi="Times New Roman;Times;Serif"/>
          <w:b w:val="false"/>
          <w:i w:val="false"/>
          <w:caps w:val="false"/>
          <w:smallCaps w:val="false"/>
          <w:sz w:val="20"/>
        </w:rPr>
        <w:t>” means (i) the Specified Acquisition and (ii) any other Acquisition by the Parent or a Subsidiary which satisfies each of the following requirements: (x) no Event of Default or Default has occurred and is continuing at the time of, or will result upon giving effect to, such Acquisition; and (y) in the case of the Acquisition of any Person, the board of directors (or equivalent governing body) of the Person being acquired (or all of the equity holders thereof) shall have approved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partnership, corporation, limited liability company, business trust, joint stock company, trust, unincorporated association, joint venture 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at any time an employee pension benefit plan which is covered by Title IV of ERISA or subject to the minimum funding standards under Section 412 of the Code and is either (i) maintained by the Parent or any ERISA Affiliate for employees of the Parent or such ERISA Affiliate or (ii) maintained pursuant to a collective bargaining agreement or any other arrangement under which more than one employer makes contributions and to which the Parent or any ERISA Affiliate is then making or accruing an obligation to make contributions or has within the preceding five plan years made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Asset Regulations</w:t>
      </w:r>
      <w:r>
        <w:rPr>
          <w:rFonts w:ascii="Times New Roman;Times;Serif" w:hAnsi="Times New Roman;Times;Serif"/>
          <w:b w:val="false"/>
          <w:i w:val="false"/>
          <w:caps w:val="false"/>
          <w:smallCaps w:val="false"/>
          <w:sz w:val="20"/>
        </w:rPr>
        <w:t xml:space="preserve">” means 29 CFR § 2510.3-101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modified by Section 3(42) of ERISA,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reasonably and in good faith by the Administrative Agent) or any similar release by the Board (as determined reasonably and in good faith by the Administrative Agent). Each change in the Prime Rate shall be effective from and including the date such change is publicly announced or quoted as being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Debt Rating</w:t>
      </w:r>
      <w:r>
        <w:rPr>
          <w:rFonts w:ascii="Times New Roman;Times;Serif" w:hAnsi="Times New Roman;Times;Serif"/>
          <w:b w:val="false"/>
          <w:i w:val="false"/>
          <w:caps w:val="false"/>
          <w:smallCaps w:val="false"/>
          <w:sz w:val="20"/>
        </w:rPr>
        <w:t>” means the rating that has been most recently announced by S&amp;P, Moody’s or Fitch, as the case may be, for any class of non-credit enhanced long-term senior unsecured debt issued by the Borrower (or if no such rating is then in effect with respect to such debt, then the corporate, issuer or similar rating with respect to the Parent, that has been most recently announced by S&amp;P, Moody’s or Fitch, as the case may be), or, if any such rating agency shall have issued more than one such rating, the lowest such rating issued by such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Filings</w:t>
      </w:r>
      <w:r>
        <w:rPr>
          <w:rFonts w:ascii="Times New Roman;Times;Serif" w:hAnsi="Times New Roman;Times;Serif"/>
          <w:b w:val="false"/>
          <w:i w:val="false"/>
          <w:caps w:val="false"/>
          <w:smallCaps w:val="false"/>
          <w:sz w:val="20"/>
        </w:rPr>
        <w:t>” means any 10-K, 10-Q or 8-K, S-1 or S-4 filed by the Parent, in each case with the SEC after December 31, 2017 and on or before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9.17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Time</w:t>
      </w:r>
      <w:r>
        <w:rPr>
          <w:rFonts w:ascii="Times New Roman;Times;Serif" w:hAnsi="Times New Roman;Times;Serif"/>
          <w:b w:val="false"/>
          <w:i w:val="false"/>
          <w:caps w:val="false"/>
          <w:smallCaps w:val="false"/>
          <w:sz w:val="20"/>
        </w:rPr>
        <w:t>” with respect to any setting of the then-current Benchmark means (i) if such Benchmark is the Term SOFR Rate, 5:00 a.m., Chicago time, on the day that is two (2) U.S. Government Securities Business Days preceding the date of such setting, (ii) if such Benchmark is not the Term SOFR Rate, the time determined by the Administrative Agent in its reasonable good faith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Indemnified Person</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means, with respect to any Person, such Person’s Affiliates and the partners, directors, officers, employees, agents, trustees, administrators, managers, advisors and representatives of such Person and of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Governmental Body</w:t>
      </w:r>
      <w:r>
        <w:rPr>
          <w:rFonts w:ascii="Times New Roman;Times;Serif" w:hAnsi="Times New Roman;Times;Serif"/>
          <w:b w:val="false"/>
          <w:i w:val="false"/>
          <w:caps w:val="false"/>
          <w:smallCaps w:val="false"/>
          <w:sz w:val="20"/>
        </w:rPr>
        <w:t>” means the Board, the NYFRB and/or the CME Term SOFR Administrator, as applicable, or a committee officially endorsed or convened by the Board and/or the NYFRB or, in each case,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Rate</w:t>
      </w:r>
      <w:r>
        <w:rPr>
          <w:rFonts w:ascii="Times New Roman;Times;Serif" w:hAnsi="Times New Roman;Times;Serif"/>
          <w:b w:val="false"/>
          <w:i w:val="false"/>
          <w:caps w:val="false"/>
          <w:smallCaps w:val="false"/>
          <w:sz w:val="20"/>
        </w:rPr>
        <w:t>” means the Adjusted Term SOFR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Screen Rate</w:t>
      </w:r>
      <w:r>
        <w:rPr>
          <w:rFonts w:ascii="Times New Roman;Times;Serif" w:hAnsi="Times New Roman;Times;Serif"/>
          <w:b w:val="false"/>
          <w:i w:val="false"/>
          <w:caps w:val="false"/>
          <w:smallCaps w:val="false"/>
          <w:sz w:val="20"/>
        </w:rPr>
        <w:t>” means the Term SOFR Reference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Territory</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member state of the European Communities (other than Ireland);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not a member state of the European Communities, a jurisdiction with which Ireland has entered into a double taxation treaty that either has the force of law by virtue of Section 826(1) of the Irish TCA or which will have the force of law on completion of the procedures set out in Section 826(1) of the Irish 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Replacement Lender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Lenders having Credit Exposures and Unfunded Term Loan Commitments representing more than 50% of the sum of the total Credit Exposures and Unfunded Term Loan Commitments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purpose of determining the Required Lenders needed for any waiver, amendment, modification or consent of or under this Agreement or any other Loan Document, any Lender that is the Parent or an Affiliate of the Parent shall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(i) with respect to the Borrower, a Manager of the Borrower; (ii) with respect to the Parent, the Chief Executive Officer, the Chief Financial Officer, the Chief Accounting Officer or the Treasurer of the Parent; and (iii) with respect to any other Loan Party, a manager, a director, the chief executive officer, the chief operating officer, the president, any vice president (if appointed by the board of directors or similar governing body of such Loan Party), the chief financial officer, the treasurer or any assistant treasurer of such Loan Party, or any other officer having substantially the same authority and responsibility.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Retired Commitments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Reuters</w:t>
      </w:r>
      <w:r>
        <w:rPr>
          <w:rFonts w:ascii="Times New Roman;Times;Serif" w:hAnsi="Times New Roman;Times;Serif"/>
          <w:b w:val="false"/>
          <w:i w:val="false"/>
          <w:caps w:val="false"/>
          <w:smallCaps w:val="false"/>
          <w:sz w:val="20"/>
        </w:rPr>
        <w:t>” means Thomson Reuters Corp., Refinitiv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S&amp;P Global Ratings, a Standard &amp; Poor’s Financial Services LLC business,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 country, region or territory which is at any relevant time subject to any comprehensive Sanctions (at the time of this Agreement, the so-called Donetsk People’s Republic, the so-called Luhansk People’s Republic, the Crimea, Zaporizhzhia and Kherson Regions of Ukraine, Cuba, Iran and North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economic or financial sanctions, trade embargoes or similar restrictions imposed, administered or enforced from time to time by the US government and administered by OFAC;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economic or financial sanctions imposed, trade embargoes or similar restrictions imposed, administered or enforced from time to time by the US State Department, the US Department of Commerce, the US Department of the Treasury or (ii) the United Nations Security Council, the European Union, any European Union member state, His Majesty’s Treasury of the United Kingdom or other relevant sanctions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 List</w:t>
      </w:r>
      <w:r>
        <w:rPr>
          <w:rFonts w:ascii="Times New Roman;Times;Serif" w:hAnsi="Times New Roman;Times;Serif"/>
          <w:b w:val="false"/>
          <w:i w:val="false"/>
          <w:caps w:val="false"/>
          <w:smallCaps w:val="false"/>
          <w:sz w:val="20"/>
        </w:rPr>
        <w:t>” means any of the lists of specifically designated nationals or designated persons or entities (or equivalent) maintained by the US government, including by OFAC, the US State Department, the US Department of Commerce or the US Department of the Treasury or by the United Nations Security Council or any similar list maintained by any other U.S. government entity or by the United Nations Security Council, the European Union, any European Union member state, His Majesty’s Treasury of the United Kingdom or other relevant sanctions authority or other relevant sanctions authority, in each case as the same may be amended, supplemented or substituted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 of the United States, or any Governmental Authority succeeding to any of its principal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Transaction</w:t>
      </w:r>
      <w:r>
        <w:rPr>
          <w:rFonts w:ascii="Times New Roman;Times;Serif" w:hAnsi="Times New Roman;Times;Serif"/>
          <w:b w:val="false"/>
          <w:i w:val="false"/>
          <w:caps w:val="false"/>
          <w:smallCaps w:val="false"/>
          <w:sz w:val="20"/>
        </w:rPr>
        <w:t>” means any sale, assignment or other transfer by the Parent or any Subsidiary of accounts receivable, lease receivables, financial assets or other payment obligations owing to the Parent or such Subsidiary or any interest in any of the foregoing (other than sales of defaulted receivables, foreign receivables or similar items in the ordinary course of business), together in each case with any collections and other proceeds thereof, any collection or deposit accounts related thereto, and any collateral, guaranties or other property or claims in favor of the Parent or such Subsidiary supporting or securing payment by the obligor thereon of, or otherwise related to, any such receivables, financial assets or other payment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Financial Officer</w:t>
      </w:r>
      <w:r>
        <w:rPr>
          <w:rFonts w:ascii="Times New Roman;Times;Serif" w:hAnsi="Times New Roman;Times;Serif"/>
          <w:b w:val="false"/>
          <w:i w:val="false"/>
          <w:caps w:val="false"/>
          <w:smallCaps w:val="false"/>
          <w:sz w:val="20"/>
        </w:rPr>
        <w:t>” means the Chief Financial Officer, the Chief Accounting Officer or the Treasurer of the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 of Process Agent</w:t>
      </w:r>
      <w:r>
        <w:rPr>
          <w:rFonts w:ascii="Times New Roman;Times;Serif" w:hAnsi="Times New Roman;Times;Serif"/>
          <w:b w:val="false"/>
          <w:i w:val="false"/>
          <w:caps w:val="false"/>
          <w:smallCaps w:val="false"/>
          <w:sz w:val="20"/>
        </w:rPr>
        <w:t>” means (i) Pentair MN and (ii) if Pentair MN ceases to be a Loan Party hereunder, CT Corporation Systems, with an office on the date hereof at 111 Eighth Avenue, New York, New York 10011.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a rate equal to the secured overnight financing rate as administered by the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NYFRB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Administrator’s Website</w:t>
      </w:r>
      <w:r>
        <w:rPr>
          <w:rFonts w:ascii="Times New Roman;Times;Serif" w:hAnsi="Times New Roman;Times;Serif"/>
          <w:b w:val="false"/>
          <w:i w:val="false"/>
          <w:caps w:val="false"/>
          <w:smallCaps w:val="false"/>
          <w:sz w:val="20"/>
        </w:rPr>
        <w:t>” means the NYFRB’s Website, currently at http://www.newyorkfed.org, or any successor source for the secured overnight financing rate identified as such by the SOFR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Acquisition</w:t>
      </w:r>
      <w:r>
        <w:rPr>
          <w:rFonts w:ascii="Times New Roman;Times;Serif" w:hAnsi="Times New Roman;Times;Serif"/>
          <w:b w:val="false"/>
          <w:i w:val="false"/>
          <w:caps w:val="false"/>
          <w:smallCaps w:val="false"/>
          <w:sz w:val="20"/>
        </w:rPr>
        <w:t>” means the Acquisition of the Target by the Buyer pursuant to the Specified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Acquisition Agreement</w:t>
      </w:r>
      <w:r>
        <w:rPr>
          <w:rFonts w:ascii="Times New Roman;Times;Serif" w:hAnsi="Times New Roman;Times;Serif"/>
          <w:b w:val="false"/>
          <w:i w:val="false"/>
          <w:caps w:val="false"/>
          <w:smallCaps w:val="false"/>
          <w:sz w:val="20"/>
        </w:rPr>
        <w:t xml:space="preserve">” means that certain Unit Purchase Agreement, dated as of July 27, 2026, by and among the Buyer, Parent, the Target, the “Seller” (as defined in the Specified Acquisition Agreement) and the “Stockholders” (as defined in the Specified Acquisition Agreement) party thereto, as the same may be amended, restated, supplemented or otherwise modified in accordance with the limitations set forth in </w:t>
      </w:r>
      <w:r>
        <w:rPr>
          <w:rFonts w:ascii="Times New Roman;Times;Serif" w:hAnsi="Times New Roman;Times;Serif"/>
          <w:b w:val="false"/>
          <w:i w:val="false"/>
          <w:caps w:val="false"/>
          <w:smallCaps w:val="false"/>
          <w:sz w:val="20"/>
          <w:u w:val="single"/>
        </w:rPr>
        <w:t>Section 4.02(d)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Acquisition Agreement Representations</w:t>
      </w:r>
      <w:r>
        <w:rPr>
          <w:rFonts w:ascii="Times New Roman;Times;Serif" w:hAnsi="Times New Roman;Times;Serif"/>
          <w:b w:val="false"/>
          <w:i w:val="false"/>
          <w:caps w:val="false"/>
          <w:smallCaps w:val="false"/>
          <w:sz w:val="20"/>
        </w:rPr>
        <w:t>” means the representations made by or with respect to the Target and its Subsidiaries in the Specified Acquisition Agreement as are material to the interests of the Lenders (provided that, for this purpose, materiality shall be determined by reference to the Specified Acquisition as a whole and not by reference to the interests of any individual Lender), but only to the extent that the Borrower or the Parent (or a Subsidiary of the Borrower or Parent) has the right to terminate its obligations under the Specified Acquisition Agreement, or to decline to consummate the Specified Acquisition pursuant to the Specified Acquisition Agreement, as a result of a breach of such representations in the Specified Acquisition Agreement and, for the avoidance of doubt, the accuracy of the Specified Acquisition Agreement Representations shall be determined solely by reference to the standards set forth in the Specified Acquisition Agreement (including any materiality, material adverse effect or similar qualifiers contained therein) and not be a reference to any other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Acquisition Consummation Date</w:t>
      </w:r>
      <w:r>
        <w:rPr>
          <w:rFonts w:ascii="Times New Roman;Times;Serif" w:hAnsi="Times New Roman;Times;Serif"/>
          <w:b w:val="false"/>
          <w:i w:val="false"/>
          <w:caps w:val="false"/>
          <w:smallCaps w:val="false"/>
          <w:sz w:val="20"/>
        </w:rPr>
        <w:t>” means the date on which the Specified Acquisition is consummated pursuant to the terms of the Specified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Ancillary Obligations</w:t>
      </w:r>
      <w:r>
        <w:rPr>
          <w:rFonts w:ascii="Times New Roman;Times;Serif" w:hAnsi="Times New Roman;Times;Serif"/>
          <w:b w:val="false"/>
          <w:i w:val="false"/>
          <w:caps w:val="false"/>
          <w:smallCaps w:val="false"/>
          <w:sz w:val="20"/>
        </w:rPr>
        <w:t xml:space="preserve">” means all obligations and liabilities (including interest and fees accruing during the pendency of any bankruptcy, insolvency, examinership, receivership or other similar proceeding, regardless of whether allowed or allowable in such proceeding) of any of the Subsidiaries, existing on the Effective Date or arising thereafter, direct or indirect, joint or several, absolute or contingent, matured or unmatured, liquidated or unliquidated, secured or unsecured, arising by contract, operation of law or otherwise, to the Lenders or any of their Affiliates under any Hedging Agreement or any Banking Services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definition of “Specified Ancillary Obligations” shall not create or include any guarantee by any Loan Party of (or grant of security interest by any Loan Party to support, as applicable) any Excluded Swap Obligations of such Loan Party for purposes of determining any obligations of any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Representations</w:t>
      </w:r>
      <w:r>
        <w:rPr>
          <w:rFonts w:ascii="Times New Roman;Times;Serif" w:hAnsi="Times New Roman;Times;Serif"/>
          <w:b w:val="false"/>
          <w:i w:val="false"/>
          <w:caps w:val="false"/>
          <w:smallCaps w:val="false"/>
          <w:sz w:val="20"/>
        </w:rPr>
        <w:t xml:space="preserve">” means (x) those representations and warranties made by each Loan Party in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(solely with respect to each Loan Party’s corporate, limited liability company, or equivalent, as applicable, status),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(solely with respect to (i) such Loan Party’s corporate or similar power and authority to enter into the Loan Documents as of the Effective Date and as of the Specified Acquisition Consummation Date, (ii) the due authorization, execution and delivery by each Loan Party of the Loan Documents and (iii) no conflicts between (1) each Loan Party’s execution, delivery and performance of the Loan Documents in effect as of the Effective Date and as of the Specified Acquisition Consummation Date, and the Borrower’s incurrence of the Term Loans as of the Specified Acquisition Consummation Date and (2) (x) each Loan Party’s Organizational Documents and (y) any agreements, documents and instruments governing Debt for borrowed money of any Loan Party in an aggregate principal amount under any such agreement, document or instrument equaling or exceeding $75,000,000),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(solely with respect to the enforceability against each Loan Party of the Loan Documents), </w:t>
      </w:r>
      <w:r>
        <w:rPr>
          <w:rFonts w:ascii="Times New Roman;Times;Serif" w:hAnsi="Times New Roman;Times;Serif"/>
          <w:b w:val="false"/>
          <w:i w:val="false"/>
          <w:caps w:val="false"/>
          <w:smallCaps w:val="false"/>
          <w:sz w:val="20"/>
          <w:u w:val="single"/>
        </w:rPr>
        <w:t>Section 3.08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xml:space="preserve"> (solely with respect to Regulation U),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 xml:space="preserve"> (solely with respect to the Borrower’s use of proceeds of the Term Loans not violating Anti-Corruption Laws or applicable Sanctions), </w:t>
      </w:r>
      <w:r>
        <w:rPr>
          <w:rFonts w:ascii="Times New Roman;Times;Serif" w:hAnsi="Times New Roman;Times;Serif"/>
          <w:b w:val="false"/>
          <w:i w:val="false"/>
          <w:caps w:val="false"/>
          <w:smallCaps w:val="false"/>
          <w:sz w:val="20"/>
          <w:u w:val="single"/>
        </w:rPr>
        <w:t>Section 3.14</w:t>
      </w:r>
      <w:r>
        <w:rPr>
          <w:rFonts w:ascii="Times New Roman;Times;Serif" w:hAnsi="Times New Roman;Times;Serif"/>
          <w:b w:val="false"/>
          <w:i w:val="false"/>
          <w:caps w:val="false"/>
          <w:smallCaps w:val="false"/>
          <w:sz w:val="20"/>
        </w:rPr>
        <w:t xml:space="preserve"> (solely as of the Effective Date and as of the Specified Acquisition Consummation Date), and (y) the Borrower’s and the Parent’s representation, made by each of the Borrower and the Parent as of the Effective Date and as of the Specified Acquisition Consummation Date, that no Event of Default is outstanding under </w:t>
      </w:r>
      <w:r>
        <w:rPr>
          <w:rFonts w:ascii="Times New Roman;Times;Serif" w:hAnsi="Times New Roman;Times;Serif"/>
          <w:b w:val="false"/>
          <w:i w:val="false"/>
          <w:caps w:val="false"/>
          <w:smallCaps w:val="false"/>
          <w:sz w:val="20"/>
          <w:u w:val="single"/>
        </w:rPr>
        <w:t>clauses (f)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Swap Obligation</w:t>
      </w:r>
      <w:r>
        <w:rPr>
          <w:rFonts w:ascii="Times New Roman;Times;Serif" w:hAnsi="Times New Roman;Times;Serif"/>
          <w:b w:val="false"/>
          <w:i w:val="false"/>
          <w:caps w:val="false"/>
          <w:smallCaps w:val="false"/>
          <w:sz w:val="20"/>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 Person means a company,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Surviving Commitment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Surviving Lender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Syndication Agent</w:t>
      </w:r>
      <w:r>
        <w:rPr>
          <w:rFonts w:ascii="Times New Roman;Times;Serif" w:hAnsi="Times New Roman;Times;Serif"/>
          <w:b w:val="false"/>
          <w:i w:val="false"/>
          <w:caps w:val="false"/>
          <w:smallCaps w:val="false"/>
          <w:sz w:val="20"/>
        </w:rPr>
        <w:t>” means Bank of America, N.A. in its capacity as syndication agent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Synthetic Lease Obligations</w:t>
      </w:r>
      <w:r>
        <w:rPr>
          <w:rFonts w:ascii="Times New Roman;Times;Serif" w:hAnsi="Times New Roman;Times;Serif"/>
          <w:b w:val="false"/>
          <w:i w:val="false"/>
          <w:caps w:val="false"/>
          <w:smallCaps w:val="false"/>
          <w:sz w:val="20"/>
        </w:rPr>
        <w:t>” means obligations under operating leases (as determined pursuant to Statement of Financial Accounting Standards No. 13) of properties which are reported for United States income tax purposes as owned by the Parent or a Consolidated Subsidiary. The amount of Synthetic Lease Obligations under any such lease shall be determined in accordance with GAAP as if such operating lease were a capital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w:t>
      </w:r>
      <w:r>
        <w:rPr>
          <w:rFonts w:ascii="Times New Roman;Times;Serif" w:hAnsi="Times New Roman;Times;Serif"/>
          <w:b w:val="false"/>
          <w:i w:val="false"/>
          <w:caps w:val="false"/>
          <w:smallCaps w:val="false"/>
          <w:sz w:val="20"/>
        </w:rPr>
        <w:t>” means Taco Group Holdings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any and all present or future taxes, levies, imposts, duties, deductions, fees, value added taxes, or any other goods and services, use or sales taxes, assessments, charges or withholdings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Benchmark</w:t>
      </w:r>
      <w:r>
        <w:rPr>
          <w:rFonts w:ascii="Times New Roman;Times;Serif" w:hAnsi="Times New Roman;Times;Serif"/>
          <w:b w:val="false"/>
          <w:i w:val="false"/>
          <w:caps w:val="false"/>
          <w:smallCaps w:val="false"/>
          <w:sz w:val="20"/>
        </w:rPr>
        <w:t>”, when used in reference to any Loan or Borrowing, means that such Loan, or the Loans comprising such Borrowing, bears interest at a rate determined by reference to the Adjusted Term SOFR Rate (except pursuant to clause (c) of the definition of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Lender</w:t>
      </w:r>
      <w:r>
        <w:rPr>
          <w:rFonts w:ascii="Times New Roman;Times;Serif" w:hAnsi="Times New Roman;Times;Serif"/>
          <w:b w:val="false"/>
          <w:i w:val="false"/>
          <w:caps w:val="false"/>
          <w:smallCaps w:val="false"/>
          <w:sz w:val="20"/>
        </w:rPr>
        <w:t>” means any Tranche 1 Term Lender or Tranche 2 Term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Commitment</w:t>
      </w:r>
      <w:r>
        <w:rPr>
          <w:rFonts w:ascii="Times New Roman;Times;Serif" w:hAnsi="Times New Roman;Times;Serif"/>
          <w:b w:val="false"/>
          <w:i w:val="false"/>
          <w:caps w:val="false"/>
          <w:smallCaps w:val="false"/>
          <w:sz w:val="20"/>
        </w:rPr>
        <w:t>” means (a) as to any Term Lender, the aggregate amount of such Term Lender’s Tranche 1 Term Loan Commitments and Tranche 2 Term Loan Commitments and (b) as to all Term Lenders, the aggregate amount of all Term Lenders’ Tranche 1 Term Loan Commitments and Tranche 2 Term Loan Commitments, which aggregate commitment shall be $1,400,000,000 on the Effective Date. After advancing the Term Loans, each reference to a Term Lender’s Term Loan Commitment shall refer to that Term Lender’s Applicable Percentage of the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Commitment Expiration Date</w:t>
      </w:r>
      <w:r>
        <w:rPr>
          <w:rFonts w:ascii="Times New Roman;Times;Serif" w:hAnsi="Times New Roman;Times;Serif"/>
          <w:b w:val="false"/>
          <w:i w:val="false"/>
          <w:caps w:val="false"/>
          <w:smallCaps w:val="false"/>
          <w:sz w:val="20"/>
        </w:rPr>
        <w:t>” means the earliest of (a) the fifth Business Day after the “Outside Date” (as defined in the Specified Acquisition Agreement as in effect on July 27, 2026 and after giving effect to a single automatic 30-day extension thereof pursuant to Section 9(a)(iii) of the Specified Acquisition Agreement as in effect on July 27, 2026), (b) the date of the closing of the Specified Acquisition after giving effect to the full funding of the Term Loans on such date, (c) the date that the Specified Acquisition Agreement expires in accordance with its terms or the Parent, the Borrower, or the Parent’s or the Borrower’s respective applicable Subsidiary’s obligations to consummate the Specified Acquisition under the Specified Acquisition Agreement terminate in accordance with its terms and, in each case, the Borrower notifies the Administrative Agent in writing of the same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public announcement of the same shall constitute such notice,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failure to deliver such notice shall not affect the termination of the Term Loan Commitments), (d) December 31, 2026 and (e) the date set forth in a written notice from the Borrower to the Administrative Agent and the Lenders of the Borrower’s election to terminate all of the Term Loan Commitments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Facilities</w:t>
      </w:r>
      <w:r>
        <w:rPr>
          <w:rFonts w:ascii="Times New Roman;Times;Serif" w:hAnsi="Times New Roman;Times;Serif"/>
          <w:b w:val="false"/>
          <w:i w:val="false"/>
          <w:caps w:val="false"/>
          <w:smallCaps w:val="false"/>
          <w:sz w:val="20"/>
        </w:rPr>
        <w:t>” means the term loan facilities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Loans</w:t>
      </w:r>
      <w:r>
        <w:rPr>
          <w:rFonts w:ascii="Times New Roman;Times;Serif" w:hAnsi="Times New Roman;Times;Serif"/>
          <w:b w:val="false"/>
          <w:i w:val="false"/>
          <w:caps w:val="false"/>
          <w:smallCaps w:val="false"/>
          <w:sz w:val="20"/>
        </w:rPr>
        <w:t xml:space="preserve">” means, collectively, the Tranche 1 Term Loans and Tranche 2 Term Loans made by the Term Lenders to the Borrower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Determination Day</w:t>
      </w:r>
      <w:r>
        <w:rPr>
          <w:rFonts w:ascii="Times New Roman;Times;Serif" w:hAnsi="Times New Roman;Times;Serif"/>
          <w:b w:val="false"/>
          <w:i w:val="false"/>
          <w:caps w:val="false"/>
          <w:smallCaps w:val="false"/>
          <w:sz w:val="20"/>
        </w:rPr>
        <w:t>” has the meaning assigned to it under the definition of Term SOFR Reference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Rate</w:t>
      </w:r>
      <w:r>
        <w:rPr>
          <w:rFonts w:ascii="Times New Roman;Times;Serif" w:hAnsi="Times New Roman;Times;Serif"/>
          <w:b w:val="false"/>
          <w:i w:val="false"/>
          <w:caps w:val="false"/>
          <w:smallCaps w:val="false"/>
          <w:sz w:val="20"/>
        </w:rPr>
        <w:t>”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Reference Rate</w:t>
      </w:r>
      <w:r>
        <w:rPr>
          <w:rFonts w:ascii="Times New Roman;Times;Serif" w:hAnsi="Times New Roman;Times;Serif"/>
          <w:b w:val="false"/>
          <w:i w:val="false"/>
          <w:caps w:val="false"/>
          <w:smallCaps w:val="false"/>
          <w:sz w:val="20"/>
        </w:rPr>
        <w:t>” means, for any day and time (such day, the “</w:t>
      </w:r>
      <w:r>
        <w:rPr>
          <w:rFonts w:ascii="Times New Roman;Times;Serif" w:hAnsi="Times New Roman;Times;Serif"/>
          <w:b w:val="false"/>
          <w:i w:val="false"/>
          <w:caps w:val="false"/>
          <w:smallCaps w:val="false"/>
          <w:sz w:val="20"/>
          <w:u w:val="single"/>
        </w:rPr>
        <w:t>Term SOFR Determination Day</w:t>
      </w:r>
      <w:r>
        <w:rPr>
          <w:rFonts w:ascii="Times New Roman;Times;Serif" w:hAnsi="Times New Roman;Times;Serif"/>
          <w:b w:val="false"/>
          <w:i w:val="false"/>
          <w:caps w:val="false"/>
          <w:smallCaps w:val="false"/>
          <w:sz w:val="20"/>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Date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9.04(e)(i)</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 1 Term Lender</w:t>
      </w:r>
      <w:r>
        <w:rPr>
          <w:rFonts w:ascii="Times New Roman;Times;Serif" w:hAnsi="Times New Roman;Times;Serif"/>
          <w:b w:val="false"/>
          <w:i w:val="false"/>
          <w:caps w:val="false"/>
          <w:smallCaps w:val="false"/>
          <w:sz w:val="20"/>
        </w:rPr>
        <w:t>” means, as of any date of determination, each Lender having a Tranche 1 Term Loan Commitment or that holds Tranche 1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 1 Term Loan Commitment</w:t>
      </w:r>
      <w:r>
        <w:rPr>
          <w:rFonts w:ascii="Times New Roman;Times;Serif" w:hAnsi="Times New Roman;Times;Serif"/>
          <w:b w:val="false"/>
          <w:i w:val="false"/>
          <w:caps w:val="false"/>
          <w:smallCaps w:val="false"/>
          <w:sz w:val="20"/>
        </w:rPr>
        <w:t xml:space="preserve">” means (a) as to any Term Lender, the aggregate commitment of such Term Lender to make Tranche 1 Term Loans as set forth on </w:t>
      </w:r>
      <w:r>
        <w:rPr>
          <w:rFonts w:ascii="Times New Roman;Times;Serif" w:hAnsi="Times New Roman;Times;Serif"/>
          <w:b w:val="false"/>
          <w:i w:val="false"/>
          <w:caps w:val="false"/>
          <w:smallCaps w:val="false"/>
          <w:sz w:val="20"/>
          <w:u w:val="single"/>
        </w:rPr>
        <w:t>Schedule 2.01</w:t>
      </w:r>
      <w:r>
        <w:rPr>
          <w:rFonts w:ascii="Times New Roman;Times;Serif" w:hAnsi="Times New Roman;Times;Serif"/>
          <w:b w:val="false"/>
          <w:i w:val="false"/>
          <w:caps w:val="false"/>
          <w:smallCaps w:val="false"/>
          <w:sz w:val="20"/>
        </w:rPr>
        <w:t xml:space="preserve"> or in the Assignment and Assumption or other documentation or record (as such term is defined in Section 9-102(a)(70) of the New York Uniform Commercial Code) as provided in Section 9.04(b)(ii)(C) or other documentation contemplated hereby pursuant to which such Term Lender shall have assumed its Tranche 1 Term Loan Commitment, as applicable and (b) as to all Term Lenders, the aggregate commitment of all Term Lenders to make Tranche 1 Term Loans, which aggregate commitment shall be $400,000,000 on the Effective Date. After advancing the Tranche 1 Term Loans, each reference to a Term Lender’s Tranche 1 Term Loan Commitment shall refer to that Term Lender’s Applicable Percentage of the Tranche 1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 1 Term Loan Maturity Date</w:t>
      </w:r>
      <w:r>
        <w:rPr>
          <w:rFonts w:ascii="Times New Roman;Times;Serif" w:hAnsi="Times New Roman;Times;Serif"/>
          <w:b w:val="false"/>
          <w:i w:val="false"/>
          <w:caps w:val="false"/>
          <w:smallCaps w:val="false"/>
          <w:sz w:val="20"/>
        </w:rPr>
        <w:t xml:space="preserve">” means the date that occurs eighteen (18) months after the Specified Acquisition Consummation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such date is not a Business Day, the Tranche 1 Term Loan Maturity Date shall be the first Business Day immediately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 1 Term Loans</w:t>
      </w:r>
      <w:r>
        <w:rPr>
          <w:rFonts w:ascii="Times New Roman;Times;Serif" w:hAnsi="Times New Roman;Times;Serif"/>
          <w:b w:val="false"/>
          <w:i w:val="false"/>
          <w:caps w:val="false"/>
          <w:smallCaps w:val="false"/>
          <w:sz w:val="20"/>
        </w:rPr>
        <w:t xml:space="preserve">” means the term loans made by the Term Lenders to the Borrower pursuant to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 2 Term Lender</w:t>
      </w:r>
      <w:r>
        <w:rPr>
          <w:rFonts w:ascii="Times New Roman;Times;Serif" w:hAnsi="Times New Roman;Times;Serif"/>
          <w:b w:val="false"/>
          <w:i w:val="false"/>
          <w:caps w:val="false"/>
          <w:smallCaps w:val="false"/>
          <w:sz w:val="20"/>
        </w:rPr>
        <w:t>” means, as of any date of determination, each Lender having a Tranche 2 Term Loan Commitment or that holds Tranche 2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 2 Term Loan Commitment</w:t>
      </w:r>
      <w:r>
        <w:rPr>
          <w:rFonts w:ascii="Times New Roman;Times;Serif" w:hAnsi="Times New Roman;Times;Serif"/>
          <w:b w:val="false"/>
          <w:i w:val="false"/>
          <w:caps w:val="false"/>
          <w:smallCaps w:val="false"/>
          <w:sz w:val="20"/>
        </w:rPr>
        <w:t xml:space="preserve">” means (a) as to any Term Lender, the aggregate commitment of such Term Lender to make Tranche 2 Term Loans as set forth on </w:t>
      </w:r>
      <w:r>
        <w:rPr>
          <w:rFonts w:ascii="Times New Roman;Times;Serif" w:hAnsi="Times New Roman;Times;Serif"/>
          <w:b w:val="false"/>
          <w:i w:val="false"/>
          <w:caps w:val="false"/>
          <w:smallCaps w:val="false"/>
          <w:sz w:val="20"/>
          <w:u w:val="single"/>
        </w:rPr>
        <w:t>Schedule 2.01</w:t>
      </w:r>
      <w:r>
        <w:rPr>
          <w:rFonts w:ascii="Times New Roman;Times;Serif" w:hAnsi="Times New Roman;Times;Serif"/>
          <w:b w:val="false"/>
          <w:i w:val="false"/>
          <w:caps w:val="false"/>
          <w:smallCaps w:val="false"/>
          <w:sz w:val="20"/>
        </w:rPr>
        <w:t xml:space="preserve"> or in the Assignment and Assumption or other documentation or record (as such term is defined in Section 9-102(a)(70) of the New York Uniform Commercial Code) as provided in Section 9.04(b)(ii)(C) or other documentation contemplated hereby pursuant to which such Lender shall have assumed its Tranche 2 Term Loan Commitment, as applicable and (b) as to all Term Lenders, the aggregate commitment of all Term Lenders to make Tranche 2 Term Loans, which aggregate commitment shall be $1,000,000,000 on the Effective Date. After advancing the Tranche 2 Term Loans, each reference to a Term Lender’s Tranche 2 Term Loan Commitment shall refer to that Term Lender’s Applicable Percentage of the Tranche 2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 2 Term Loan Maturity Date</w:t>
      </w:r>
      <w:r>
        <w:rPr>
          <w:rFonts w:ascii="Times New Roman;Times;Serif" w:hAnsi="Times New Roman;Times;Serif"/>
          <w:b w:val="false"/>
          <w:i w:val="false"/>
          <w:caps w:val="false"/>
          <w:smallCaps w:val="false"/>
          <w:sz w:val="20"/>
        </w:rPr>
        <w:t xml:space="preserve">” means May 5, 2030;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such date is not a Business Day, the Tranche 2 Term Loan Maturity Date shall be the first Business Day immediately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 2 Term Loans</w:t>
      </w:r>
      <w:r>
        <w:rPr>
          <w:rFonts w:ascii="Times New Roman;Times;Serif" w:hAnsi="Times New Roman;Times;Serif"/>
          <w:b w:val="false"/>
          <w:i w:val="false"/>
          <w:caps w:val="false"/>
          <w:smallCaps w:val="false"/>
          <w:sz w:val="20"/>
        </w:rPr>
        <w:t xml:space="preserve">” means the term loans made by the Term Lenders to the Borrower pursuant to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(i) the execution, delivery and performance by the Loan Parties of this Agreement and the other Loan Documents, (ii) the borrowing of Loans, (iii) the use of the proceeds thereof and (iv) the Specified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Type</w:t>
      </w:r>
      <w:r>
        <w:rPr>
          <w:rFonts w:ascii="Times New Roman;Times;Serif" w:hAnsi="Times New Roman;Times;Serif"/>
          <w:b w:val="false"/>
          <w:i w:val="false"/>
          <w:caps w:val="false"/>
          <w:smallCaps w:val="false"/>
          <w:sz w:val="20"/>
        </w:rPr>
        <w:t>”, when used in reference to any Loan or Borrowing, refers to whether the rate of interest on such Loan, or on the Loans comprising such Borrowing, is determined by reference to the Adjusted Term SOFR Rate, Alternate Base Rate or, if then applicable, any other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UKPTIL</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Unfunded Term Loan Commitment</w:t>
      </w:r>
      <w:r>
        <w:rPr>
          <w:rFonts w:ascii="Times New Roman;Times;Serif" w:hAnsi="Times New Roman;Times;Serif"/>
          <w:b w:val="false"/>
          <w:i w:val="false"/>
          <w:caps w:val="false"/>
          <w:smallCaps w:val="false"/>
          <w:sz w:val="20"/>
        </w:rPr>
        <w:t>” means, with respect to each Term Lender, prior to the funding of the Term Loans on the Specified Acquisition Consummation Date, the Term Loan Commitment of such Lender (it being understood and agreed that after the funding of the Term Loans on the Specified Acquisition Consummation Date, the Unfunded Term Loan Commitment of each Term Lender shall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Unfunded Vested Liabilities</w:t>
      </w:r>
      <w:r>
        <w:rPr>
          <w:rFonts w:ascii="Times New Roman;Times;Serif" w:hAnsi="Times New Roman;Times;Serif"/>
          <w:b w:val="false"/>
          <w:i w:val="false"/>
          <w:caps w:val="false"/>
          <w:smallCaps w:val="false"/>
          <w:sz w:val="20"/>
        </w:rPr>
        <w:t>” means, with respect to any Plan at any time, the amount (if any) by which (i) the current liability as defined in Section 412(l)(7) of the Code under such Plan exceeds (ii) the fair market value of all Plan assets allocable to such benefits, all as determined as of the then most recent valuation date for such Plan, but only to the extent that such excess represents a potential liability of the Parent or any ERISA Affiliate to the PBGC or such Plan under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United Kingdom</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UK</w:t>
      </w:r>
      <w:r>
        <w:rPr>
          <w:rFonts w:ascii="Times New Roman;Times;Serif" w:hAnsi="Times New Roman;Times;Serif"/>
          <w:b w:val="false"/>
          <w:i w:val="false"/>
          <w:caps w:val="false"/>
          <w:smallCaps w:val="false"/>
          <w:sz w:val="20"/>
        </w:rPr>
        <w:t>” each mean the United Kingdom of Great Britain and Northern Ireland.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each mean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Bank</w:t>
      </w:r>
      <w:r>
        <w:rPr>
          <w:rFonts w:ascii="Times New Roman;Times;Serif" w:hAnsi="Times New Roman;Times;Serif"/>
          <w:b w:val="false"/>
          <w:i w:val="false"/>
          <w:caps w:val="false"/>
          <w:smallCaps w:val="false"/>
          <w:sz w:val="20"/>
        </w:rPr>
        <w:t>” means U.S. Bank National Association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Lender</w:t>
      </w:r>
      <w:r>
        <w:rPr>
          <w:rFonts w:ascii="Times New Roman;Times;Serif" w:hAnsi="Times New Roman;Times;Serif"/>
          <w:b w:val="false"/>
          <w:i w:val="false"/>
          <w:caps w:val="false"/>
          <w:smallCaps w:val="false"/>
          <w:sz w:val="20"/>
        </w:rPr>
        <w:t>” means a Lender that is not a Foreign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xml:space="preserve">” means (i) for purposes of </w:t>
      </w:r>
      <w:r>
        <w:rPr>
          <w:rFonts w:ascii="Times New Roman;Times;Serif" w:hAnsi="Times New Roman;Times;Serif"/>
          <w:b w:val="false"/>
          <w:i w:val="false"/>
          <w:caps w:val="false"/>
          <w:smallCaps w:val="false"/>
          <w:sz w:val="20"/>
          <w:u w:val="single"/>
        </w:rPr>
        <w:t>Sections 3.18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6.07</w:t>
      </w:r>
      <w:r>
        <w:rPr>
          <w:rFonts w:ascii="Times New Roman;Times;Serif" w:hAnsi="Times New Roman;Times;Serif"/>
          <w:b w:val="false"/>
          <w:i w:val="false"/>
          <w:caps w:val="false"/>
          <w:smallCaps w:val="false"/>
          <w:sz w:val="20"/>
        </w:rPr>
        <w:t xml:space="preserve"> hereof, any United States citizen, lawful permanent resident, entity organized under the laws of the United States or any jurisdiction within the United States, including any foreign branch of any such entity, or any person in the United States and (ii) for all other purposes, a “United States person” within the meaning of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Special Resolution Regime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9.17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1.02</w:t>
        <w:tab/>
        <w:t>     </w:t>
      </w:r>
      <w:r>
        <w:rPr>
          <w:rFonts w:ascii="Times New Roman;Times;Serif" w:hAnsi="Times New Roman;Times;Serif"/>
          <w:b w:val="false"/>
          <w:i w:val="false"/>
          <w:caps w:val="false"/>
          <w:smallCaps w:val="false"/>
          <w:sz w:val="20"/>
          <w:u w:val="single"/>
        </w:rPr>
        <w:t>Classification of Loans and Borrowings</w:t>
      </w:r>
      <w:r>
        <w:rPr>
          <w:rFonts w:ascii="Times New Roman;Times;Serif" w:hAnsi="Times New Roman;Times;Serif"/>
          <w:b w:val="false"/>
          <w:i w:val="false"/>
          <w:caps w:val="false"/>
          <w:smallCaps w:val="false"/>
          <w:sz w:val="20"/>
        </w:rPr>
        <w:t>. For purposes of this Agreement, Loans may be classified and referred to by Class (</w:t>
      </w:r>
      <w:r>
        <w:rPr>
          <w:rFonts w:ascii="Times New Roman;Times;Serif" w:hAnsi="Times New Roman;Times;Serif"/>
          <w:b w:val="false"/>
          <w:i w:val="false"/>
          <w:caps w:val="false"/>
          <w:smallCaps w:val="false"/>
          <w:sz w:val="20"/>
          <w:u w:val="single"/>
        </w:rPr>
        <w:t>e.g.</w:t>
      </w:r>
      <w:r>
        <w:rPr>
          <w:rFonts w:ascii="Times New Roman;Times;Serif" w:hAnsi="Times New Roman;Times;Serif"/>
          <w:b w:val="false"/>
          <w:i w:val="false"/>
          <w:caps w:val="false"/>
          <w:smallCaps w:val="false"/>
          <w:sz w:val="20"/>
        </w:rPr>
        <w:t>, a “Tranche 1 Term Loan”) or by Type (</w:t>
      </w:r>
      <w:r>
        <w:rPr>
          <w:rFonts w:ascii="Times New Roman;Times;Serif" w:hAnsi="Times New Roman;Times;Serif"/>
          <w:b w:val="false"/>
          <w:i w:val="false"/>
          <w:caps w:val="false"/>
          <w:smallCaps w:val="false"/>
          <w:sz w:val="20"/>
          <w:u w:val="single"/>
        </w:rPr>
        <w:t>e.g.</w:t>
      </w:r>
      <w:r>
        <w:rPr>
          <w:rFonts w:ascii="Times New Roman;Times;Serif" w:hAnsi="Times New Roman;Times;Serif"/>
          <w:b w:val="false"/>
          <w:i w:val="false"/>
          <w:caps w:val="false"/>
          <w:smallCaps w:val="false"/>
          <w:sz w:val="20"/>
        </w:rPr>
        <w:t>, a “Term Benchmark Loan”). Borrowings also may be classified and referred to by Class (</w:t>
      </w:r>
      <w:r>
        <w:rPr>
          <w:rFonts w:ascii="Times New Roman;Times;Serif" w:hAnsi="Times New Roman;Times;Serif"/>
          <w:b w:val="false"/>
          <w:i w:val="false"/>
          <w:caps w:val="false"/>
          <w:smallCaps w:val="false"/>
          <w:sz w:val="20"/>
          <w:u w:val="single"/>
        </w:rPr>
        <w:t>e.g.</w:t>
      </w:r>
      <w:r>
        <w:rPr>
          <w:rFonts w:ascii="Times New Roman;Times;Serif" w:hAnsi="Times New Roman;Times;Serif"/>
          <w:b w:val="false"/>
          <w:i w:val="false"/>
          <w:caps w:val="false"/>
          <w:smallCaps w:val="false"/>
          <w:sz w:val="20"/>
        </w:rPr>
        <w:t>, a “Tranche 1 Term Loan Borrowing”) or by Type (</w:t>
      </w:r>
      <w:r>
        <w:rPr>
          <w:rFonts w:ascii="Times New Roman;Times;Serif" w:hAnsi="Times New Roman;Times;Serif"/>
          <w:b w:val="false"/>
          <w:i w:val="false"/>
          <w:caps w:val="false"/>
          <w:smallCaps w:val="false"/>
          <w:sz w:val="20"/>
          <w:u w:val="single"/>
        </w:rPr>
        <w:t>e.g.</w:t>
      </w:r>
      <w:r>
        <w:rPr>
          <w:rFonts w:ascii="Times New Roman;Times;Serif" w:hAnsi="Times New Roman;Times;Serif"/>
          <w:b w:val="false"/>
          <w:i w:val="false"/>
          <w:caps w:val="false"/>
          <w:smallCaps w:val="false"/>
          <w:sz w:val="20"/>
        </w:rPr>
        <w:t>, a “Term Benchmark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1.03</w:t>
        <w:tab/>
        <w:t>     </w:t>
      </w:r>
      <w:r>
        <w:rPr>
          <w:rFonts w:ascii="Times New Roman;Times;Serif" w:hAnsi="Times New Roman;Times;Serif"/>
          <w:b w:val="false"/>
          <w:i w:val="false"/>
          <w:caps w:val="false"/>
          <w:smallCaps w:val="false"/>
          <w:sz w:val="20"/>
          <w:u w:val="single"/>
        </w:rPr>
        <w:t>Terms Generally</w:t>
      </w:r>
      <w:r>
        <w:rPr>
          <w:rFonts w:ascii="Times New Roman;Times;Serif" w:hAnsi="Times New Roman;Times;Serif"/>
          <w:b w:val="false"/>
          <w:i w:val="false"/>
          <w:caps w:val="false"/>
          <w:smallCaps w:val="false"/>
          <w:sz w:val="20"/>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1.04</w:t>
        <w:tab/>
        <w:t>     </w:t>
      </w:r>
      <w:r>
        <w:rPr>
          <w:rFonts w:ascii="Times New Roman;Times;Serif" w:hAnsi="Times New Roman;Times;Serif"/>
          <w:b w:val="false"/>
          <w:i w:val="false"/>
          <w:caps w:val="false"/>
          <w:smallCaps w:val="false"/>
          <w:sz w:val="20"/>
          <w:u w:val="single"/>
        </w:rPr>
        <w:t>Accounting Terms; GAAP</w:t>
      </w:r>
      <w:r>
        <w:rPr>
          <w:rFonts w:ascii="Times New Roman;Times;Serif" w:hAnsi="Times New Roman;Times;Serif"/>
          <w:b w:val="false"/>
          <w:i w:val="false"/>
          <w:caps w:val="false"/>
          <w:smallCaps w:val="false"/>
          <w:sz w:val="20"/>
        </w:rPr>
        <w:t xml:space="preserve">. Except as otherwise expressly provided herein, all terms of an accounting or financial nature shall be construed in accordance with GAAP, as in effect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without giving effect to such change until such notice shall have been withdrawn or such provision is amended in accordance herewith. Notwithstanding any other provision contained herein, (i) all terms of an accounting or financial nature used herein shall be construed, and all computations of amounts and ratios referred to herein (including computations in respect of compliance with </w:t>
      </w:r>
      <w:r>
        <w:rPr>
          <w:rFonts w:ascii="Times New Roman;Times;Serif" w:hAnsi="Times New Roman;Times;Serif"/>
          <w:b w:val="false"/>
          <w:i w:val="false"/>
          <w:caps w:val="false"/>
          <w:smallCaps w:val="false"/>
          <w:sz w:val="20"/>
          <w:u w:val="single"/>
        </w:rPr>
        <w:t>Sections 6.01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6.02</w:t>
      </w:r>
      <w:r>
        <w:rPr>
          <w:rFonts w:ascii="Times New Roman;Times;Serif" w:hAnsi="Times New Roman;Times;Serif"/>
          <w:b w:val="false"/>
          <w:i w:val="false"/>
          <w:caps w:val="false"/>
          <w:smallCaps w:val="false"/>
          <w:sz w:val="20"/>
        </w:rPr>
        <w:t xml:space="preserve">) shall be made (a) without giving effect to any election under Financial Accounting Standards Board Accounting Standards Codification 825 (or any other Accounting Standards Codification or Financial Accounting Standard having a similar result or effect) to value any Debt or other liabilities of the Parent, the Borrower or any Subsidiary at “fair value”, as defined therein and (b) without giving effect to any treatment of Debt under Accounting Standards Codification 470-20 or 2015-03 (or any other Accounting Standards Codification or Financial Accounting Standard having a similar result or effect) to value any such Debt in a reduced or bifurcated manner as described therein, and such Debt shall at all times be valued at the full stated principal amount thereof and (ii) except to the extent contemplated by clause (b) of the second sentence of the definition of “Synthetic Lease Obligations”, without giving effect to any change to, or modification of, GAAP (including any future phase-in of changes to GAAP that have been approved as of December 1, 2018) which would require the capitalization of leases characterized as “operating leases” as of December 1, 2018 (it being understood and agreed, for the avoidance of doubt, financial statements delivered pursuant to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5.01(b)</w:t>
      </w:r>
      <w:r>
        <w:rPr>
          <w:rFonts w:ascii="Times New Roman;Times;Serif" w:hAnsi="Times New Roman;Times;Serif"/>
          <w:b w:val="false"/>
          <w:i w:val="false"/>
          <w:caps w:val="false"/>
          <w:smallCaps w:val="false"/>
          <w:sz w:val="20"/>
        </w:rPr>
        <w:t> shall be prepared without giving effect to this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1.05</w:t>
        <w:tab/>
        <w:t>     </w:t>
      </w:r>
      <w:r>
        <w:rPr>
          <w:rFonts w:ascii="Times New Roman;Times;Serif" w:hAnsi="Times New Roman;Times;Serif"/>
          <w:b w:val="false"/>
          <w:i w:val="false"/>
          <w:caps w:val="false"/>
          <w:smallCaps w:val="false"/>
          <w:sz w:val="20"/>
          <w:u w:val="single"/>
        </w:rPr>
        <w:t>Interest Rates; Benchmark Notification</w:t>
      </w:r>
      <w:r>
        <w:rPr>
          <w:rFonts w:ascii="Times New Roman;Times;Serif" w:hAnsi="Times New Roman;Times;Serif"/>
          <w:b w:val="false"/>
          <w:i w:val="false"/>
          <w:caps w:val="false"/>
          <w:smallCaps w:val="false"/>
          <w:sz w:val="20"/>
        </w:rPr>
        <w:t xml:space="preserve">. The interest rate on a Loan denominated in Dollars may be derived from an interest rate benchmark that may be discontinued or is, or may in the future become, the subject of regulatory reform. Upon the occurrence of a Benchmark Transition Event,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good faith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1.06</w:t>
        <w:tab/>
        <w:t>     </w:t>
      </w:r>
      <w:r>
        <w:rPr>
          <w:rFonts w:ascii="Times New Roman;Times;Serif" w:hAnsi="Times New Roman;Times;Serif"/>
          <w:b w:val="false"/>
          <w:i w:val="false"/>
          <w:caps w:val="false"/>
          <w:smallCaps w:val="false"/>
          <w:sz w:val="20"/>
          <w:u w:val="single"/>
        </w:rPr>
        <w:t>Luxembourg Terms</w:t>
      </w:r>
      <w:r>
        <w:rPr>
          <w:rFonts w:ascii="Times New Roman;Times;Serif" w:hAnsi="Times New Roman;Times;Serif"/>
          <w:b w:val="false"/>
          <w:i w:val="false"/>
          <w:caps w:val="false"/>
          <w:smallCaps w:val="false"/>
          <w:sz w:val="20"/>
        </w:rPr>
        <w:t xml:space="preserve">. Notwithstanding any other provision of this Agreement to the contrary, in this Agreement where it relates to any Loan Party which is organized under the laws of Luxembourg, a reference to: (a) a receiver, conservator, trustee, administrator, custodian, assignee for the benefit of creditors, compulsory manager or other similar officer includes a </w:t>
      </w:r>
      <w:r>
        <w:rPr>
          <w:rFonts w:ascii="Times New Roman;Times;Serif" w:hAnsi="Times New Roman;Times;Serif"/>
          <w:b w:val="false"/>
          <w:i/>
          <w:caps w:val="false"/>
          <w:smallCaps w:val="false"/>
          <w:sz w:val="20"/>
        </w:rPr>
        <w:t>juge délégué, juge-commissaire, mandataire de justice, administrateur provisoire, conciliateur d’entreprise, liquidateur</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caps w:val="false"/>
          <w:smallCaps w:val="false"/>
          <w:sz w:val="20"/>
        </w:rPr>
        <w:t>curateur</w:t>
      </w:r>
      <w:r>
        <w:rPr>
          <w:rFonts w:ascii="Times New Roman;Times;Serif" w:hAnsi="Times New Roman;Times;Serif"/>
          <w:b w:val="false"/>
          <w:i w:val="false"/>
          <w:caps w:val="false"/>
          <w:smallCaps w:val="false"/>
          <w:sz w:val="20"/>
        </w:rPr>
        <w:t xml:space="preserve">; (b) liquidation, bankruptcy, insolvency, reorganization, moratorium or any similar proceeding shall include (i) insolvency/bankruptcy </w:t>
      </w:r>
      <w:r>
        <w:rPr>
          <w:rFonts w:ascii="Times New Roman;Times;Serif" w:hAnsi="Times New Roman;Times;Serif"/>
          <w:b w:val="false"/>
          <w:i/>
          <w:caps w:val="false"/>
          <w:smallCaps w:val="false"/>
          <w:sz w:val="20"/>
        </w:rPr>
        <w:t xml:space="preserve">(faillite) </w:t>
      </w:r>
      <w:r>
        <w:rPr>
          <w:rFonts w:ascii="Times New Roman;Times;Serif" w:hAnsi="Times New Roman;Times;Serif"/>
          <w:b w:val="false"/>
          <w:i w:val="false"/>
          <w:caps w:val="false"/>
          <w:smallCaps w:val="false"/>
          <w:sz w:val="20"/>
        </w:rPr>
        <w:t xml:space="preserve">within the meaning of Articles 437 ff. of the Luxembourg Commercial Code, (ii) suspension of payments </w:t>
      </w:r>
      <w:r>
        <w:rPr>
          <w:rFonts w:ascii="Times New Roman;Times;Serif" w:hAnsi="Times New Roman;Times;Serif"/>
          <w:b w:val="false"/>
          <w:i/>
          <w:caps w:val="false"/>
          <w:smallCaps w:val="false"/>
          <w:sz w:val="20"/>
        </w:rPr>
        <w:t xml:space="preserve">(sursis de paiement) </w:t>
      </w:r>
      <w:r>
        <w:rPr>
          <w:rFonts w:ascii="Times New Roman;Times;Serif" w:hAnsi="Times New Roman;Times;Serif"/>
          <w:b w:val="false"/>
          <w:i w:val="false"/>
          <w:caps w:val="false"/>
          <w:smallCaps w:val="false"/>
          <w:sz w:val="20"/>
        </w:rPr>
        <w:t>within the meaning of Articles 593 ff. of the Luxembourg Commercial Code , (iii) administrative dissolution without liquidation (</w:t>
      </w:r>
      <w:r>
        <w:rPr>
          <w:rFonts w:ascii="Times New Roman;Times;Serif" w:hAnsi="Times New Roman;Times;Serif"/>
          <w:b w:val="false"/>
          <w:i/>
          <w:caps w:val="false"/>
          <w:smallCaps w:val="false"/>
          <w:sz w:val="20"/>
        </w:rPr>
        <w:t>dissolution administrative sans liquidation</w:t>
      </w:r>
      <w:r>
        <w:rPr>
          <w:rFonts w:ascii="Times New Roman;Times;Serif" w:hAnsi="Times New Roman;Times;Serif"/>
          <w:b w:val="false"/>
          <w:i w:val="false"/>
          <w:caps w:val="false"/>
          <w:smallCaps w:val="false"/>
          <w:sz w:val="20"/>
        </w:rPr>
        <w:t>) within the meaning of the Luxembourg law of October 28, 2022 creating the procedure for administrative dissolution without liquidation, (iv) voluntary or compulsory winding-up pursuant to the law of 10 August 1915 on commercial companies, as amended or (v) judicial reorganisation proceedings in the form of a mutual agreement (</w:t>
      </w:r>
      <w:r>
        <w:rPr>
          <w:rFonts w:ascii="Times New Roman;Times;Serif" w:hAnsi="Times New Roman;Times;Serif"/>
          <w:b w:val="false"/>
          <w:i/>
          <w:caps w:val="false"/>
          <w:smallCaps w:val="false"/>
          <w:sz w:val="20"/>
        </w:rPr>
        <w:t>réorganisation judiciaire par accord amiable</w:t>
      </w:r>
      <w:r>
        <w:rPr>
          <w:rFonts w:ascii="Times New Roman;Times;Serif" w:hAnsi="Times New Roman;Times;Serif"/>
          <w:b w:val="false"/>
          <w:i w:val="false"/>
          <w:caps w:val="false"/>
          <w:smallCaps w:val="false"/>
          <w:sz w:val="20"/>
        </w:rPr>
        <w:t>), a collective agreement (</w:t>
      </w:r>
      <w:r>
        <w:rPr>
          <w:rFonts w:ascii="Times New Roman;Times;Serif" w:hAnsi="Times New Roman;Times;Serif"/>
          <w:b w:val="false"/>
          <w:i/>
          <w:caps w:val="false"/>
          <w:smallCaps w:val="false"/>
          <w:sz w:val="20"/>
        </w:rPr>
        <w:t>réorganisation judiciaire par accord collectif</w:t>
      </w:r>
      <w:r>
        <w:rPr>
          <w:rFonts w:ascii="Times New Roman;Times;Serif" w:hAnsi="Times New Roman;Times;Serif"/>
          <w:b w:val="false"/>
          <w:i w:val="false"/>
          <w:caps w:val="false"/>
          <w:smallCaps w:val="false"/>
          <w:sz w:val="20"/>
        </w:rPr>
        <w:t>) or a judicial reorganisation by transfer by court order (</w:t>
      </w:r>
      <w:r>
        <w:rPr>
          <w:rFonts w:ascii="Times New Roman;Times;Serif" w:hAnsi="Times New Roman;Times;Serif"/>
          <w:b w:val="false"/>
          <w:i/>
          <w:caps w:val="false"/>
          <w:smallCaps w:val="false"/>
          <w:sz w:val="20"/>
        </w:rPr>
        <w:t>réorganisation judiciaire par transfert par décision de justice</w:t>
      </w:r>
      <w:r>
        <w:rPr>
          <w:rFonts w:ascii="Times New Roman;Times;Serif" w:hAnsi="Times New Roman;Times;Serif"/>
          <w:b w:val="false"/>
          <w:i w:val="false"/>
          <w:caps w:val="false"/>
          <w:smallCaps w:val="false"/>
          <w:sz w:val="20"/>
        </w:rPr>
        <w:t xml:space="preserve">) within the meaning of the Luxembourg Bankruptcy Modernisation Law, (c) a lien or security interest includes any </w:t>
      </w:r>
      <w:r>
        <w:rPr>
          <w:rFonts w:ascii="Times New Roman;Times;Serif" w:hAnsi="Times New Roman;Times;Serif"/>
          <w:b w:val="false"/>
          <w:i/>
          <w:caps w:val="false"/>
          <w:smallCaps w:val="false"/>
          <w:sz w:val="20"/>
        </w:rPr>
        <w:t>hypothèque, nantissement, gage, privilège, sûreté réelle, droit de rétention</w:t>
      </w:r>
      <w:r>
        <w:rPr>
          <w:rFonts w:ascii="Times New Roman;Times;Serif" w:hAnsi="Times New Roman;Times;Serif"/>
          <w:b w:val="false"/>
          <w:i w:val="false"/>
          <w:caps w:val="false"/>
          <w:smallCaps w:val="false"/>
          <w:sz w:val="20"/>
        </w:rPr>
        <w:t>, and any type of security in rem (</w:t>
      </w:r>
      <w:r>
        <w:rPr>
          <w:rFonts w:ascii="Times New Roman;Times;Serif" w:hAnsi="Times New Roman;Times;Serif"/>
          <w:b w:val="false"/>
          <w:i/>
          <w:caps w:val="false"/>
          <w:smallCaps w:val="false"/>
          <w:sz w:val="20"/>
        </w:rPr>
        <w:t>sûreté réelle</w:t>
      </w:r>
      <w:r>
        <w:rPr>
          <w:rFonts w:ascii="Times New Roman;Times;Serif" w:hAnsi="Times New Roman;Times;Serif"/>
          <w:b w:val="false"/>
          <w:i w:val="false"/>
          <w:caps w:val="false"/>
          <w:smallCaps w:val="false"/>
          <w:sz w:val="20"/>
        </w:rPr>
        <w:t>) or agreement or arrangement having a similar effect and any transfer of title by way of security; (d) a person being unable to pay its debts includes that person being in a state of cessation of payments (</w:t>
      </w:r>
      <w:r>
        <w:rPr>
          <w:rFonts w:ascii="Times New Roman;Times;Serif" w:hAnsi="Times New Roman;Times;Serif"/>
          <w:b w:val="false"/>
          <w:i/>
          <w:caps w:val="false"/>
          <w:smallCaps w:val="false"/>
          <w:sz w:val="20"/>
        </w:rPr>
        <w:t>cessation de paiements</w:t>
      </w:r>
      <w:r>
        <w:rPr>
          <w:rFonts w:ascii="Times New Roman;Times;Serif" w:hAnsi="Times New Roman;Times;Serif"/>
          <w:b w:val="false"/>
          <w:i w:val="false"/>
          <w:caps w:val="false"/>
          <w:smallCaps w:val="false"/>
          <w:sz w:val="20"/>
        </w:rPr>
        <w:t xml:space="preserve">) or having lost or meeting the criteria to lose its commercial creditworthiness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ébranlement de crédit</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(e) attachments or similar creditors process means an executory attachment (</w:t>
      </w:r>
      <w:r>
        <w:rPr>
          <w:rFonts w:ascii="Times New Roman;Times;Serif" w:hAnsi="Times New Roman;Times;Serif"/>
          <w:b w:val="false"/>
          <w:i/>
          <w:caps w:val="false"/>
          <w:smallCaps w:val="false"/>
          <w:sz w:val="20"/>
        </w:rPr>
        <w:t>saisie exécutoire</w:t>
      </w:r>
      <w:r>
        <w:rPr>
          <w:rFonts w:ascii="Times New Roman;Times;Serif" w:hAnsi="Times New Roman;Times;Serif"/>
          <w:b w:val="false"/>
          <w:i w:val="false"/>
          <w:caps w:val="false"/>
          <w:smallCaps w:val="false"/>
          <w:sz w:val="20"/>
        </w:rPr>
        <w:t>) or conservatory attachment (</w:t>
      </w:r>
      <w:r>
        <w:rPr>
          <w:rFonts w:ascii="Times New Roman;Times;Serif" w:hAnsi="Times New Roman;Times;Serif"/>
          <w:b w:val="false"/>
          <w:i/>
          <w:caps w:val="false"/>
          <w:smallCaps w:val="false"/>
          <w:sz w:val="20"/>
        </w:rPr>
        <w:t>saisie arrêt</w:t>
      </w:r>
      <w:r>
        <w:rPr>
          <w:rFonts w:ascii="Times New Roman;Times;Serif" w:hAnsi="Times New Roman;Times;Serif"/>
          <w:b w:val="false"/>
          <w:i w:val="false"/>
          <w:caps w:val="false"/>
          <w:smallCaps w:val="false"/>
          <w:sz w:val="20"/>
        </w:rPr>
        <w:t>); and (f) a “set-off” includes, for purposes of Luxembourg law, legal set-off.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1.07</w:t>
        <w:tab/>
        <w:t>     </w:t>
      </w:r>
      <w:r>
        <w:rPr>
          <w:rFonts w:ascii="Times New Roman;Times;Serif" w:hAnsi="Times New Roman;Times;Serif"/>
          <w:b w:val="false"/>
          <w:i w:val="false"/>
          <w:caps w:val="false"/>
          <w:smallCaps w:val="false"/>
          <w:sz w:val="20"/>
          <w:u w:val="single"/>
        </w:rPr>
        <w:t>Certain Calculations</w:t>
      </w:r>
      <w:r>
        <w:rPr>
          <w:rFonts w:ascii="Times New Roman;Times;Serif" w:hAnsi="Times New Roman;Times;Serif"/>
          <w:b w:val="false"/>
          <w:i w:val="false"/>
          <w:caps w:val="false"/>
          <w:smallCaps w:val="false"/>
          <w:sz w:val="20"/>
        </w:rPr>
        <w:t>. No Default or Event of Default shall arise as a result of any limitation or threshold set forth in Dollars in ‎</w:t>
      </w:r>
      <w:r>
        <w:rPr>
          <w:rFonts w:ascii="Times New Roman;Times;Serif" w:hAnsi="Times New Roman;Times;Serif"/>
          <w:b w:val="false"/>
          <w:i w:val="false"/>
          <w:caps w:val="false"/>
          <w:smallCaps w:val="false"/>
          <w:sz w:val="20"/>
          <w:u w:val="single"/>
        </w:rPr>
        <w:t>Articles VI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xml:space="preserve"> under this Agreement being exceeded solely as a result of changes in currency exchange rates from those rates applicable on the last day of the fiscal quarter of the Parent immediately preceding the fiscal quarter of the Parent in which the applicable transaction or occurrence requiring a determination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1.08</w:t>
        <w:tab/>
        <w:t>     </w:t>
      </w:r>
      <w:r>
        <w:rPr>
          <w:rFonts w:ascii="Times New Roman;Times;Serif" w:hAnsi="Times New Roman;Times;Serif"/>
          <w:b w:val="false"/>
          <w:i w:val="false"/>
          <w:caps w:val="false"/>
          <w:smallCaps w:val="false"/>
          <w:sz w:val="20"/>
          <w:u w:val="single"/>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1.09</w:t>
        <w:tab/>
        <w:t>     </w:t>
      </w:r>
      <w:r>
        <w:rPr>
          <w:rFonts w:ascii="Times New Roman;Times;Serif" w:hAnsi="Times New Roman;Times;Serif"/>
          <w:b w:val="false"/>
          <w:i w:val="false"/>
          <w:caps w:val="false"/>
          <w:smallCaps w:val="false"/>
          <w:sz w:val="20"/>
          <w:u w:val="single"/>
        </w:rPr>
        <w:t>Leverage Ratios</w:t>
      </w:r>
      <w:r>
        <w:rPr>
          <w:rFonts w:ascii="Times New Roman;Times;Serif" w:hAnsi="Times New Roman;Times;Serif"/>
          <w:b w:val="false"/>
          <w:i w:val="false"/>
          <w:caps w:val="false"/>
          <w:smallCaps w:val="false"/>
          <w:sz w:val="20"/>
        </w:rPr>
        <w:t>. Notwithstanding anything to the contrary contained herein, for purposes of calculating any pro forma leverage ratio herein in connection with the incurrence of any Debt, (a) there shall be no netting of the cash proceeds of such Debt proposed to be received in respect of the incurrence thereof and (b) to the extent the Debt to be incurred is revolving Debt, such incurred revolving Debt (or if applicable, the portion (and only such portion) of the increased commitments thereunder) shall be treated as fully 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1.10</w:t>
        <w:tab/>
        <w:t>     </w:t>
      </w:r>
      <w:r>
        <w:rPr>
          <w:rFonts w:ascii="Times New Roman;Times;Serif" w:hAnsi="Times New Roman;Times;Serif"/>
          <w:b w:val="false"/>
          <w:i w:val="false"/>
          <w:caps w:val="false"/>
          <w:smallCaps w:val="false"/>
          <w:sz w:val="20"/>
          <w:u w:val="single"/>
        </w:rPr>
        <w:t>CRD VI</w:t>
      </w:r>
      <w:r>
        <w:rPr>
          <w:rFonts w:ascii="Times New Roman;Times;Serif" w:hAnsi="Times New Roman;Times;Serif"/>
          <w:b w:val="false"/>
          <w:i w:val="false"/>
          <w:caps w:val="false"/>
          <w:smallCaps w:val="false"/>
          <w:sz w:val="20"/>
        </w:rPr>
        <w:t>. Each Loan Party acknowledges and confirms that (a) such Loan Party’s engagement of the Administrative Agent, the Arrangers and the Lenders in connection with the Term Loan Facilities hereunder has been made at such Loan Party’s sole and exclusive initiative and (b) none of the Administrative Agent, any Arranger or any Lender, including any of their respective Affiliates, agents, or representatives, have solicited, marketed, or promoted such credit facilities or any related services to such Loan Party or any of their respective subsidiaries, whether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The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2.01</w:t>
        <w:tab/>
        <w:t>     </w:t>
      </w:r>
      <w:r>
        <w:rPr>
          <w:rFonts w:ascii="Times New Roman;Times;Serif" w:hAnsi="Times New Roman;Times;Serif"/>
          <w:b w:val="false"/>
          <w:i w:val="false"/>
          <w:caps w:val="false"/>
          <w:smallCaps w:val="false"/>
          <w:sz w:val="20"/>
          <w:u w:val="single"/>
        </w:rPr>
        <w:t>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set forth herein (including, without limitation, the satisfaction of the applicable conditions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each Tranche 1 Term Lender with a Tranche 1 Term Loan Commitment (severally and not jointly) agrees to make Tranche 1 Term Loans to the Borrower in Dollars on the Specified Acquisition Consummation Date in an amount not to exceed such Tranche 1 Term Lender’s Tranche 1 Term Loan Commitment by making immediately available funds available to the Administrative Agent’s designated account, not later than the time specified by the Administrative Agent. No more than one extension of Tranche 1 Term Loans shall be made during the term of this Agreement. Amounts repaid or prepaid in respect of Tranche 1 Term Loans may not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the terms and conditions set forth herein (including, without limitation, the satisfaction of the applicable conditions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each Tranche 2 Term Lender with a Tranche 2 Term Loan Commitment (severally and not jointly) agrees to make Tranche 2 Term Loans to the Borrower in Dollars on the Specified Acquisition Consummation Date in an amount not to exceed such Tranche 2 Term Lender’s Tranche 2 Term Loan Commitment by making immediately available funds available to the Administrative Agent’s designated account, not later than the time specified by the Administrative Agent. No more than one extension of Tranche 2 Term Loans shall be made during the term of this Agreement. Amounts repaid or prepaid in respect of Tranche 2 Term Loans may not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2.02</w:t>
        <w:tab/>
        <w:t>     </w:t>
      </w:r>
      <w:r>
        <w:rPr>
          <w:rFonts w:ascii="Times New Roman;Times;Serif" w:hAnsi="Times New Roman;Times;Serif"/>
          <w:b w:val="false"/>
          <w:i w:val="false"/>
          <w:caps w:val="false"/>
          <w:smallCaps w:val="false"/>
          <w:sz w:val="20"/>
          <w:u w:val="single"/>
        </w:rPr>
        <w:t>Loans and Borrowings</w:t>
      </w:r>
      <w:r>
        <w:rPr>
          <w:rFonts w:ascii="Times New Roman;Times;Serif" w:hAnsi="Times New Roman;Times;Serif"/>
          <w:b w:val="false"/>
          <w:i w:val="false"/>
          <w:caps w:val="false"/>
          <w:smallCaps w:val="false"/>
          <w:sz w:val="20"/>
        </w:rPr>
        <w:t xml:space="preserve">. (a) Each Loan shall be made as part of a Borrowing consisting of Loans of the same Class and Type made by the Lenders ratably in accordance with their respective Term Loan Commitments of the applicable Class. The failure of any Lender to make any Loan required to be made by it shall not relieve any other Lender of its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Commitments of the Lenders are several and no Lender shall be responsible for any other Lender’s failure to make Loans as required. The Term Loans shall amortize as set forth in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each Term Loan Borrowing shall be comprised entirely of ABR Loans or Term Benchmark Loans as the Borrower may request in accordance herewith. Subject to the EU Lender Provisions, each Lender at its option may make any Loan by causing any domestic or foreign branch or Affiliate of such Lender to make such Loan (and in the case of an Affiliate, the provisions of </w:t>
      </w:r>
      <w:r>
        <w:rPr>
          <w:rFonts w:ascii="Times New Roman;Times;Serif" w:hAnsi="Times New Roman;Times;Serif"/>
          <w:b w:val="false"/>
          <w:i w:val="false"/>
          <w:caps w:val="false"/>
          <w:smallCaps w:val="false"/>
          <w:sz w:val="20"/>
          <w:u w:val="single"/>
        </w:rPr>
        <w:t>Sections 2.11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2.14</w:t>
      </w:r>
      <w:r>
        <w:rPr>
          <w:rFonts w:ascii="Times New Roman;Times;Serif" w:hAnsi="Times New Roman;Times;Serif"/>
          <w:b w:val="false"/>
          <w:i w:val="false"/>
          <w:caps w:val="false"/>
          <w:smallCaps w:val="false"/>
          <w:sz w:val="20"/>
        </w:rPr>
        <w:t xml:space="preserve"> shall apply to such Affiliate to the same extent as to such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exercise of such option shall not affect the obligation of the Borrower to repay such Loan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commencement of each Interest Period for any Term Benchmark Borrowing, such Borrowing shall be in an aggregate amount that is an integral multiple of $1,000,000 and not less than $5,000,000. At the time that each ABR Borrowing is made, such Borrowing shall be in an aggregate amount that is an integral multiple of $100,000 and not less than $1,000,000. Borrowings of more than one Type and Class may be outstanding at the same time; provided that there shall not at any time be more than a total of fifteen (15) Term Benchmark Borrowings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other provision of this Agreement, the Borrower shall not be entitled to request, or to elect to convert or continue, any Borrowing if the Interest Period requested with respect thereto would end after the applicable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any Commitment or Loan is contemplated to the Borrower in an EEA Member Country within the meaning of Article 21c of Directive (EU) 2024/1619 amending Directive (EU) 2013/36 (as amended, supplemented or replaced from time to time “</w:t>
      </w:r>
      <w:r>
        <w:rPr>
          <w:rFonts w:ascii="Times New Roman;Times;Serif" w:hAnsi="Times New Roman;Times;Serif"/>
          <w:b w:val="false"/>
          <w:i/>
          <w:caps w:val="false"/>
          <w:smallCaps w:val="false"/>
          <w:sz w:val="20"/>
          <w:u w:val="single"/>
        </w:rPr>
        <w:t>Article 21c</w:t>
      </w:r>
      <w:r>
        <w:rPr>
          <w:rFonts w:ascii="Times New Roman;Times;Serif" w:hAnsi="Times New Roman;Times;Serif"/>
          <w:b w:val="false"/>
          <w:i w:val="false"/>
          <w:caps w:val="false"/>
          <w:smallCaps w:val="false"/>
          <w:sz w:val="20"/>
          <w:u w:val="single"/>
        </w:rPr>
        <w:t xml:space="preserve"> CRD VI</w:t>
      </w:r>
      <w:r>
        <w:rPr>
          <w:rFonts w:ascii="Times New Roman;Times;Serif" w:hAnsi="Times New Roman;Times;Serif"/>
          <w:b w:val="false"/>
          <w:i w:val="false"/>
          <w:caps w:val="false"/>
          <w:smallCaps w:val="false"/>
          <w:sz w:val="20"/>
        </w:rPr>
        <w:t>”) (the Borrower in such case, the “</w:t>
      </w:r>
      <w:r>
        <w:rPr>
          <w:rFonts w:ascii="Times New Roman;Times;Serif" w:hAnsi="Times New Roman;Times;Serif"/>
          <w:b w:val="false"/>
          <w:i w:val="false"/>
          <w:caps w:val="false"/>
          <w:smallCaps w:val="false"/>
          <w:sz w:val="20"/>
          <w:u w:val="single"/>
        </w:rPr>
        <w:t>EU Borrower</w:t>
      </w:r>
      <w:r>
        <w:rPr>
          <w:rFonts w:ascii="Times New Roman;Times;Serif" w:hAnsi="Times New Roman;Times;Serif"/>
          <w:b w:val="false"/>
          <w:i w:val="false"/>
          <w:caps w:val="false"/>
          <w:smallCaps w:val="false"/>
          <w:sz w:val="20"/>
        </w:rPr>
        <w:t>”), each Lender, in its capacity as a Lender (each, a “</w:t>
      </w:r>
      <w:r>
        <w:rPr>
          <w:rFonts w:ascii="Times New Roman;Times;Serif" w:hAnsi="Times New Roman;Times;Serif"/>
          <w:b w:val="false"/>
          <w:i w:val="false"/>
          <w:caps w:val="false"/>
          <w:smallCaps w:val="false"/>
          <w:sz w:val="20"/>
          <w:u w:val="single"/>
        </w:rPr>
        <w:t>Notifying Lender</w:t>
      </w:r>
      <w:r>
        <w:rPr>
          <w:rFonts w:ascii="Times New Roman;Times;Serif" w:hAnsi="Times New Roman;Times;Serif"/>
          <w:b w:val="false"/>
          <w:i w:val="false"/>
          <w:caps w:val="false"/>
          <w:smallCaps w:val="false"/>
          <w:sz w:val="20"/>
        </w:rPr>
        <w:t>”), may identify one or more of its lending offices, branches or subsidiaries established in an EEA Member Country (each, an “</w:t>
      </w:r>
      <w:r>
        <w:rPr>
          <w:rFonts w:ascii="Times New Roman;Times;Serif" w:hAnsi="Times New Roman;Times;Serif"/>
          <w:b w:val="false"/>
          <w:i w:val="false"/>
          <w:caps w:val="false"/>
          <w:smallCaps w:val="false"/>
          <w:sz w:val="20"/>
          <w:u w:val="single"/>
        </w:rPr>
        <w:t>EU Lender</w:t>
      </w:r>
      <w:r>
        <w:rPr>
          <w:rFonts w:ascii="Times New Roman;Times;Serif" w:hAnsi="Times New Roman;Times;Serif"/>
          <w:b w:val="false"/>
          <w:i w:val="false"/>
          <w:caps w:val="false"/>
          <w:smallCaps w:val="false"/>
          <w:sz w:val="20"/>
        </w:rPr>
        <w:t>”) to make Commitments and Loans to the EU Borrower by delivering a notice in the form of Exhibit C (or any other form approved by the Administrative Agent) (an “</w:t>
      </w:r>
      <w:r>
        <w:rPr>
          <w:rFonts w:ascii="Times New Roman;Times;Serif" w:hAnsi="Times New Roman;Times;Serif"/>
          <w:b w:val="false"/>
          <w:i w:val="false"/>
          <w:caps w:val="false"/>
          <w:smallCaps w:val="false"/>
          <w:sz w:val="20"/>
          <w:u w:val="single"/>
        </w:rPr>
        <w:t>EU Notice</w:t>
      </w:r>
      <w:r>
        <w:rPr>
          <w:rFonts w:ascii="Times New Roman;Times;Serif" w:hAnsi="Times New Roman;Times;Serif"/>
          <w:b w:val="false"/>
          <w:i w:val="false"/>
          <w:caps w:val="false"/>
          <w:smallCaps w:val="false"/>
          <w:sz w:val="20"/>
        </w:rPr>
        <w:t xml:space="preserve">”) to the Administrative Agent and the Borrower, prior to or simultaneously with the establishment of such Commitment or the making of such Loan, duly executed by the Notifying Lender and its corresponding EU Lender identifying the EU Borrower for which such EU Notice shall apply. An EU Notice may bifurcate the applicable Commitments among different EU Lenders and the EU Borrower in a single EU Notice, provided such notice clearly identifies each applicable EU Lender and the EU Borrower. An EU Notice delivered on the date hereof shall be deemed simultaneous with the Notifying Lender’s execution of this Agreement, and a Notifying Lender executing this Agreement on the date hereof may either (i) deliver an EU Notice simultaneously with such execution or (ii) note on its signature page that it is executing as both a Lender and a Notifying Lender and appointing the corresponding EU Lender, which EU Lender shall countersign as an EU Lender for all purposes of the EU Lender Provisions. Each EU Notice shall designate the applicable EU Lender as the party responsible for making the Commitments and/or Loans to the EU Borrower identified under this clause (f) and shall be accompanied by an Administrative Questionnaire and any tax compliance certificates required under </w:t>
      </w:r>
      <w:r>
        <w:rPr>
          <w:rFonts w:ascii="Times New Roman;Times;Serif" w:hAnsi="Times New Roman;Times;Serif"/>
          <w:b w:val="false"/>
          <w:i w:val="false"/>
          <w:caps w:val="false"/>
          <w:smallCaps w:val="false"/>
          <w:sz w:val="20"/>
          <w:u w:val="single"/>
        </w:rPr>
        <w:t>Section 2.14(e)</w:t>
      </w:r>
      <w:r>
        <w:rPr>
          <w:rFonts w:ascii="Times New Roman;Times;Serif" w:hAnsi="Times New Roman;Times;Serif"/>
          <w:b w:val="false"/>
          <w:i w:val="false"/>
          <w:caps w:val="false"/>
          <w:smallCaps w:val="false"/>
          <w:sz w:val="20"/>
        </w:rPr>
        <w:t>, in each case, with respect to such EU Lender. No consent of the Borrower or the Administrative Agent shall be required to deliver or revoke any EU Notice. Upon delivery of an EU Notice or revocation notice pursuant to the terms of this clause (f), the Administrative Agent shall annotate the Register to identify, as applicable, the Notifying Lender’s EU Lenders and/or any revocations in respect of such Notifying Lender, and any Commitment schedule shall be deemed annotated to reflect each applicable EU Lender’s Commitment to the EU Borrower. For the avoidance of doubt, no Lender is required to deliver an EU Notice or otherwise utilize the EU Lender Provisions, nor deliver an EU Notice for the EU Borrower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Upon execution and delivery of an EU Notice: (i) each EU Lender shall be deemed a Lender hereunder and under the other Loan Documents with respect to the Commitments and Loans to the EU Borrower (and for avoidance of doubt the Notifying Lender in respect of such EU Lender shall not be deemed to hold any Commitments or Loans to the EU Borrower), and (ii) each EU Lender shall be subject to, afforded and extended any and all rights, obligations and duties arising as a Lender in respect of the Commitments or Loans to the EU Borrower hereunder and under the other Loan Documents. The rights, obligations and duties described in clause (ii) shall severally include, without limitation, (x) the obligations to make any and all Commitments or Loans to the EU Borrower, on a ratable basis as among the EU Lenders holding Commitments to the EU Borrower, and provide any other related funding services the EU Borrower requests pursuant to the terms and conditions of this Agreement required by a Lender in connection with such Commitment or Loans (the “</w:t>
      </w:r>
      <w:r>
        <w:rPr>
          <w:rFonts w:ascii="Times New Roman;Times;Serif" w:hAnsi="Times New Roman;Times;Serif"/>
          <w:b w:val="false"/>
          <w:i w:val="false"/>
          <w:caps w:val="false"/>
          <w:smallCaps w:val="false"/>
          <w:sz w:val="20"/>
          <w:u w:val="single"/>
        </w:rPr>
        <w:t>EU Funding Obligations</w:t>
      </w:r>
      <w:r>
        <w:rPr>
          <w:rFonts w:ascii="Times New Roman;Times;Serif" w:hAnsi="Times New Roman;Times;Serif"/>
          <w:b w:val="false"/>
          <w:i w:val="false"/>
          <w:caps w:val="false"/>
          <w:smallCaps w:val="false"/>
          <w:sz w:val="20"/>
        </w:rPr>
        <w:t xml:space="preserve">”) and (y) the obligation to comply with the terms hereof and to receive the contractual rights and ability to exercise the rights and remedies conferred hereunder (including under </w:t>
      </w:r>
      <w:r>
        <w:rPr>
          <w:rFonts w:ascii="Times New Roman;Times;Serif" w:hAnsi="Times New Roman;Times;Serif"/>
          <w:b w:val="false"/>
          <w:i w:val="false"/>
          <w:caps w:val="false"/>
          <w:smallCaps w:val="false"/>
          <w:sz w:val="20"/>
          <w:u w:val="single"/>
        </w:rPr>
        <w:t>Sections 2.12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By delivery of an EU Notice (i) each EU Lender shall, to the fullest extent permitted by applicable law, act through its Notifying Lender in connection with the EU Lender Provisions (other than with respect to its EU Funding Obligations), and hereby irrevocably appoints such Notifying Lender as its agent under this Agreement to administer such provisions on its behalf and (ii) the Borrower and Administrative Agent shall treat such Notifying Lender and any corresponding EU Lender as a single Lender for all purposes hereunder (including, but not limited to, calculation of Commitments, delivery of payments and notices, Defaulting Lender determinations, and voting), except for purposes of the EU Funding Obligations, which shall not be performed by such Notifying Lender. In no event shall an EU Lender and its Notifying Lender be treated as a single Lender for purposes of such EU Lender’s EU Funding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Upon delivery to the Borrower and the Administrative Agent of a revocation notice signed by both a Notifying Lender and its applicable EU Lender and identifying the EU Borrower for which revocation is applicable, the identified EU Lender shall cease to hold the applicable Commitments to the EU Borrower, shall no longer be deemed a Lender hereunder with respect to the EU Borrower or under the other Loan Documents, and shall be released from its obligations under this Agreement with respect to the EU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EU Lender shall retain the benefits of </w:t>
      </w:r>
      <w:r>
        <w:rPr>
          <w:rFonts w:ascii="Times New Roman;Times;Serif" w:hAnsi="Times New Roman;Times;Serif"/>
          <w:b w:val="false"/>
          <w:i w:val="false"/>
          <w:caps w:val="false"/>
          <w:smallCaps w:val="false"/>
          <w:sz w:val="20"/>
          <w:u w:val="single"/>
        </w:rPr>
        <w:t>Sections 2.12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9.03</w:t>
      </w:r>
      <w:r>
        <w:rPr>
          <w:rFonts w:ascii="Times New Roman;Times;Serif" w:hAnsi="Times New Roman;Times;Serif"/>
          <w:b w:val="false"/>
          <w:i w:val="false"/>
          <w:caps w:val="false"/>
          <w:smallCaps w:val="false"/>
          <w:sz w:val="20"/>
        </w:rPr>
        <w:t xml:space="preserve"> with respect to facts and circumstances arising prior to such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In no event shall a Notifying Lender and its applicable EU Lenders be required to fund Loans in an aggregate amount exceeding the initial Commitment of such Notifying Lender set forth on </w:t>
      </w:r>
      <w:r>
        <w:rPr>
          <w:rFonts w:ascii="Times New Roman;Times;Serif" w:hAnsi="Times New Roman;Times;Serif"/>
          <w:b w:val="false"/>
          <w:i w:val="false"/>
          <w:caps w:val="false"/>
          <w:smallCaps w:val="false"/>
          <w:sz w:val="20"/>
          <w:u w:val="single"/>
        </w:rPr>
        <w:t>Schedule 2.01</w:t>
      </w:r>
      <w:r>
        <w:rPr>
          <w:rFonts w:ascii="Times New Roman;Times;Serif" w:hAnsi="Times New Roman;Times;Serif"/>
          <w:b w:val="false"/>
          <w:i w:val="false"/>
          <w:caps w:val="false"/>
          <w:smallCaps w:val="false"/>
          <w:sz w:val="20"/>
        </w:rPr>
        <w:t xml:space="preserve"> as of the Effective Date, as adjusted from time to time pursuant to the terms of this Agreement, including (i) assignments or transfers under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or (ii) reductions or termination under </w:t>
      </w:r>
      <w:r>
        <w:rPr>
          <w:rFonts w:ascii="Times New Roman;Times;Serif" w:hAnsi="Times New Roman;Times;Serif"/>
          <w:b w:val="false"/>
          <w:i w:val="false"/>
          <w:caps w:val="false"/>
          <w:smallCaps w:val="false"/>
          <w:sz w:val="20"/>
          <w:u w:val="single"/>
        </w:rPr>
        <w:t>Sections 2.06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The Administrative Agent shall endeavor to remit all payments from the EU Borrower for which an EU Lender has been appointed (including prepayments, premiums, interest, and penalties) directly to the applicable EU Lender. If any such funds are received by the Notifying Lender, the Notifying Lender shall promptly turn such funds over to any such applicable EU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delivery of such funds to the Notifying Lender in compliance with the terms hereof shall discharge the EU Borrower’s obligations with respect to the relevant Loans as if paid directly to such EU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2.03</w:t>
        <w:tab/>
        <w:t>     </w:t>
      </w:r>
      <w:r>
        <w:rPr>
          <w:rFonts w:ascii="Times New Roman;Times;Serif" w:hAnsi="Times New Roman;Times;Serif"/>
          <w:b w:val="false"/>
          <w:i w:val="false"/>
          <w:caps w:val="false"/>
          <w:smallCaps w:val="false"/>
          <w:sz w:val="20"/>
          <w:u w:val="single"/>
        </w:rPr>
        <w:t>Requests for Borrowings</w:t>
      </w:r>
      <w:r>
        <w:rPr>
          <w:rFonts w:ascii="Times New Roman;Times;Serif" w:hAnsi="Times New Roman;Times;Serif"/>
          <w:b w:val="false"/>
          <w:i w:val="false"/>
          <w:caps w:val="false"/>
          <w:smallCaps w:val="false"/>
          <w:sz w:val="20"/>
        </w:rPr>
        <w:t xml:space="preserve">. To request a Borrowing, the Borrower shall notify the Administrative Agent of such request (a) by irrevocable written notice (via a written Borrowing Request signed by the Borrower) in the case of a Term Benchmark Borrowing, not later than 3:00 p.m., Chicago time, three (3) U.S. Government Securities Business Days before the date of the proposed Borrowing or (b) by irrevocable written notice (via a written Borrowing Request signed by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Borrowing Request is submitted through an Approved Borrower Portal, the foregoing signature requirement may be waived at the sole discretion of the Administrative Agent) in the case of an ABR Borrowing, not later than 12:00 noon, Chicago time, on the Business Day of the proposed Borrowing. Each such Borrowing Request shall specify the following information in compliance with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Class and aggregate principal amount of the requested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of such Borrowing, which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whether such Borrowing is to be an ABR Borrowing or a Term Benchmark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case of a Term Benchmark Borrowing, the initial Interest Period to be applicable thereto, which shall be a period contemplated by the definition of the term “Interest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location and number of the Borrower’s account to which funds are to be disbursed, which shall comply with the requirements of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election as to the Type of Borrowing is specified, then the requested Borrowing shall be a Term Benchmark Borrowing with an Interest Period of one month’s duration. If no Interest Period is specified with respect to any requested Term Benchmark Borrowing, then the Borrower shall be deemed to have selected an Interest Period of one month’s duration. Promptly following receipt of a Borrowing Request in accordance with this Section, the Administrative Agent shall advise each Lender of the applicable Class of the details thereof and of the amount of such Lender’s Loan to be made as part of the requested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EU Lender has been appointed for the EU Borrower in accordance with the EU Lender Provisions set forth in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any Borrowing Request from the Administrative Agent with respect to the EU Borrower for which such EU Lender has been appointed shall be deemed made to such EU Lender. The Notifying Lender shall promptly forward each such Borrowing Request (each, an “</w:t>
      </w:r>
      <w:r>
        <w:rPr>
          <w:rFonts w:ascii="Times New Roman;Times;Serif" w:hAnsi="Times New Roman;Times;Serif"/>
          <w:b w:val="false"/>
          <w:i w:val="false"/>
          <w:caps w:val="false"/>
          <w:smallCaps w:val="false"/>
          <w:sz w:val="20"/>
          <w:u w:val="single"/>
        </w:rPr>
        <w:t>EU Borrowing Request</w:t>
      </w:r>
      <w:r>
        <w:rPr>
          <w:rFonts w:ascii="Times New Roman;Times;Serif" w:hAnsi="Times New Roman;Times;Serif"/>
          <w:b w:val="false"/>
          <w:i w:val="false"/>
          <w:caps w:val="false"/>
          <w:smallCaps w:val="false"/>
          <w:sz w:val="20"/>
        </w:rPr>
        <w:t xml:space="preserve">”) to such EU Lender, specifying the aggregate amount requested for the EU Borrower’s account, and such EU Lender shall fund such amount in accordance with the terms of such EU Borrowing Request and this Agreement. For purposes of </w:t>
      </w:r>
      <w:r>
        <w:rPr>
          <w:rFonts w:ascii="Times New Roman;Times;Serif" w:hAnsi="Times New Roman;Times;Serif"/>
          <w:b w:val="false"/>
          <w:i w:val="false"/>
          <w:caps w:val="false"/>
          <w:smallCaps w:val="false"/>
          <w:sz w:val="20"/>
          <w:u w:val="single"/>
        </w:rPr>
        <w:t>Section 2.16(b)</w:t>
      </w:r>
      <w:r>
        <w:rPr>
          <w:rFonts w:ascii="Times New Roman;Times;Serif" w:hAnsi="Times New Roman;Times;Serif"/>
          <w:b w:val="false"/>
          <w:i w:val="false"/>
          <w:caps w:val="false"/>
          <w:smallCaps w:val="false"/>
          <w:sz w:val="20"/>
        </w:rPr>
        <w:t xml:space="preserve"> and the definition of Defaulting Lender, a Notifying Lender and its EU Lender shall be treated as a single Lender; any replacement under </w:t>
      </w:r>
      <w:r>
        <w:rPr>
          <w:rFonts w:ascii="Times New Roman;Times;Serif" w:hAnsi="Times New Roman;Times;Serif"/>
          <w:b w:val="false"/>
          <w:i w:val="false"/>
          <w:caps w:val="false"/>
          <w:smallCaps w:val="false"/>
          <w:sz w:val="20"/>
          <w:u w:val="single"/>
        </w:rPr>
        <w:t>Section 2.16(b)</w:t>
      </w:r>
      <w:r>
        <w:rPr>
          <w:rFonts w:ascii="Times New Roman;Times;Serif" w:hAnsi="Times New Roman;Times;Serif"/>
          <w:b w:val="false"/>
          <w:i w:val="false"/>
          <w:caps w:val="false"/>
          <w:smallCaps w:val="false"/>
          <w:sz w:val="20"/>
        </w:rPr>
        <w:t> shall replace both, and a default by either shall render both Defaulting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2.04</w:t>
        <w:tab/>
        <w:t>     </w:t>
      </w:r>
      <w:r>
        <w:rPr>
          <w:rFonts w:ascii="Times New Roman;Times;Serif" w:hAnsi="Times New Roman;Times;Serif"/>
          <w:b w:val="false"/>
          <w:i w:val="false"/>
          <w:caps w:val="false"/>
          <w:smallCaps w:val="false"/>
          <w:sz w:val="20"/>
          <w:u w:val="single"/>
        </w:rPr>
        <w:t>Funding of Borrowings</w:t>
      </w:r>
      <w:r>
        <w:rPr>
          <w:rFonts w:ascii="Times New Roman;Times;Serif" w:hAnsi="Times New Roman;Times;Serif"/>
          <w:b w:val="false"/>
          <w:i w:val="false"/>
          <w:caps w:val="false"/>
          <w:smallCaps w:val="false"/>
          <w:sz w:val="20"/>
        </w:rPr>
        <w:t>. (a) Each Lender shall make each Loan to be made by it hereunder on the proposed date specified in accordance with the terms hereof (which date, shall be the Specified Acquisition Consummation Date) solely by wire transfer of immediately available funds by 1:00 p.m., Chicago time, to the account of the Administrative Agent most recently designated by it for such purpose by notice to the Lenders. The Administrative Agent will make such Loans available to the Borrower by promptly crediting the funds so received in the aforesaid account of the Administrative Agent to an account of the Borrower maintained with the Administrative Agent in New York City or Chicago and designated by the Borrower in the applicable Borrowing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Administrative Agent shall have received notice from a Lender prior to the proposed date of any Borrowing (or in the case of an ABR Borrowing, prior to 1:00 p.m., Chicago time, on the date of such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applicable Overnight Bank Funding Rate and a rate determined by the Administrative Agent in accordance with banking industry rules on interbank compensation or (ii) in the case of the Borrower, the interest rate applicable under this Agreement to such Loans. If such Lender pays such amount to the Administrative Agent, then such amount shall constitute such Lender’s Loan included in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2.05</w:t>
        <w:tab/>
        <w:t>     </w:t>
      </w:r>
      <w:r>
        <w:rPr>
          <w:rFonts w:ascii="Times New Roman;Times;Serif" w:hAnsi="Times New Roman;Times;Serif"/>
          <w:b w:val="false"/>
          <w:i w:val="false"/>
          <w:caps w:val="false"/>
          <w:smallCaps w:val="false"/>
          <w:sz w:val="20"/>
          <w:u w:val="single"/>
        </w:rPr>
        <w:t>Interest Elections</w:t>
      </w:r>
      <w:r>
        <w:rPr>
          <w:rFonts w:ascii="Times New Roman;Times;Serif" w:hAnsi="Times New Roman;Times;Serif"/>
          <w:b w:val="false"/>
          <w:i w:val="false"/>
          <w:caps w:val="false"/>
          <w:smallCaps w:val="false"/>
          <w:sz w:val="20"/>
        </w:rPr>
        <w:t xml:space="preserve">. (a) Each Borrowing initially shall be of the Type specified in the applicable Borrowing Request (or, if not so specified, as provided in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and, in the case of a Term Benchmark Borrowing, shall have an initial Interest Period as specified in such Borrowing Request (or, if not so specified, as provided in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make an election pursuant to this Section, the Borrower shall notify the Administrative Agent of such election (by irrevocable written notice (via an Interest Election Request signed by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Interest Election Request is submitted through an Approved Borrower Portal, the foregoing signature requirement may be waived at the sole discretion of the Administrative Agent)) by the time that a Borrowing Request would be required under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if the Borrower were requesting a Borrowing of the Type resulting from such election to be made on the effective date of such election. Notwithstanding any contrary provision herein, this Section shall not be construed to permit the Borrower (i) to elect an Interest Period for Term Benchmark Loans that does not comply with </w:t>
      </w:r>
      <w:r>
        <w:rPr>
          <w:rFonts w:ascii="Times New Roman;Times;Serif" w:hAnsi="Times New Roman;Times;Serif"/>
          <w:b w:val="false"/>
          <w:i w:val="false"/>
          <w:caps w:val="false"/>
          <w:smallCaps w:val="false"/>
          <w:sz w:val="20"/>
          <w:u w:val="single"/>
        </w:rPr>
        <w:t>Section 2.02(d)</w:t>
      </w:r>
      <w:r>
        <w:rPr>
          <w:rFonts w:ascii="Times New Roman;Times;Serif" w:hAnsi="Times New Roman;Times;Serif"/>
          <w:b w:val="false"/>
          <w:i w:val="false"/>
          <w:caps w:val="false"/>
          <w:smallCaps w:val="false"/>
          <w:sz w:val="20"/>
        </w:rPr>
        <w:t> or (ii) convert any Borrowing to a Borrowing of a Type not available under the Class of Term Loan Commitments pursuant to which such Borrowing was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Interest Election Request shall specify the following information in compliance with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Class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the election made pursuant to such Interest Election Request, which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whether the resulting Borrowing is to be an ABR Borrowing or a Term Benchmark Borrowing;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resulting Borrowing is a Term Benchmark Borrowing, the Interest Period to be applicable thereto after giving effect to such election, which Interest Period shall be a period contemplated by the definition of the term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Interest Election Request requests a Term Benchmark Borrowing but does not specify an Interest Period, then the Borrower shall be deemed to have selected an Interest Period of one month’s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following receipt of an Interest Election Request, the Administrative Agent shall advise each Lender of the applicable Class of the details thereof and of such Lender’s portion of each resulting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Borrower fails to deliver a timely Interest Election Request with respect to a Term Benchmark Borrowing prior to the end of the Interest Period applicable thereto, then, unless such Borrowing is repaid as provided herein, at the end of such Interest Period such Borrowing shall be converted to an ABR Borrowing;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Borrower shall have delivered to the Administrative Agent its customary standard documentation pre-authorizing automatic continuations, such Borrowing shall automatically be continued as a Term Benchmark Borrowing with an Interest Period of one month at the end of such Interest Period unless such Term Benchmark Borrowing is or was repaid in accordance with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and (ii) unless repaid, each Term Benchmark Borrowing shall be converted to an ABR Borrowing (in the case of a Term Benchmark Borrowing) at the end of the Interest Period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2.06</w:t>
        <w:tab/>
        <w:t>     </w:t>
      </w:r>
      <w:r>
        <w:rPr>
          <w:rFonts w:ascii="Times New Roman;Times;Serif" w:hAnsi="Times New Roman;Times;Serif"/>
          <w:b w:val="false"/>
          <w:i w:val="false"/>
          <w:caps w:val="false"/>
          <w:smallCaps w:val="false"/>
          <w:sz w:val="20"/>
          <w:u w:val="single"/>
        </w:rPr>
        <w:t>Termination and Reduction of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previously terminated, the Term Loan Commitments shall automatically terminate at 11:59 p.m., New York City time on the Term Loan Commitment Expiration Date without any further action being taken by the Borrower or any other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may at any time terminate, or from time to time reduce, the Tranche 1 Term Loan Commitments and/or the Tranche 2 Term Loan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reduction of the Term Loan Commitments shall be in an amount that is an integral multiple of $1,000,000 and not less than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prior to the Specified Acquisition Consummation Date, upon the acquisition of one Lender by another Lender, or the merger, consolidation or other combination of any two or more Lenders (any such acquisition, merger, consolidation or other combination being referred to hereinafter as a “</w:t>
      </w:r>
      <w:r>
        <w:rPr>
          <w:rFonts w:ascii="Times New Roman;Times;Serif" w:hAnsi="Times New Roman;Times;Serif"/>
          <w:b w:val="false"/>
          <w:i w:val="false"/>
          <w:caps w:val="false"/>
          <w:smallCaps w:val="false"/>
          <w:sz w:val="20"/>
          <w:u w:val="single"/>
        </w:rPr>
        <w:t>Combination</w:t>
      </w:r>
      <w:r>
        <w:rPr>
          <w:rFonts w:ascii="Times New Roman;Times;Serif" w:hAnsi="Times New Roman;Times;Serif"/>
          <w:b w:val="false"/>
          <w:i w:val="false"/>
          <w:caps w:val="false"/>
          <w:smallCaps w:val="false"/>
          <w:sz w:val="20"/>
        </w:rPr>
        <w:t>” and each Lender which is a party to such Combination being hereinafter referred to as a “</w:t>
      </w:r>
      <w:r>
        <w:rPr>
          <w:rFonts w:ascii="Times New Roman;Times;Serif" w:hAnsi="Times New Roman;Times;Serif"/>
          <w:b w:val="false"/>
          <w:i w:val="false"/>
          <w:caps w:val="false"/>
          <w:smallCaps w:val="false"/>
          <w:sz w:val="20"/>
          <w:u w:val="single"/>
        </w:rPr>
        <w:t>Combined Lender</w:t>
      </w:r>
      <w:r>
        <w:rPr>
          <w:rFonts w:ascii="Times New Roman;Times;Serif" w:hAnsi="Times New Roman;Times;Serif"/>
          <w:b w:val="false"/>
          <w:i w:val="false"/>
          <w:caps w:val="false"/>
          <w:smallCaps w:val="false"/>
          <w:sz w:val="20"/>
        </w:rPr>
        <w:t>”), the Borrower may notify the Administrative Agent that it desires to reduce the Term Loan Commitment of the Lender surviving such Combination (the “</w:t>
      </w:r>
      <w:r>
        <w:rPr>
          <w:rFonts w:ascii="Times New Roman;Times;Serif" w:hAnsi="Times New Roman;Times;Serif"/>
          <w:b w:val="false"/>
          <w:i w:val="false"/>
          <w:caps w:val="false"/>
          <w:smallCaps w:val="false"/>
          <w:sz w:val="20"/>
          <w:u w:val="single"/>
        </w:rPr>
        <w:t>Surviving Lender</w:t>
      </w:r>
      <w:r>
        <w:rPr>
          <w:rFonts w:ascii="Times New Roman;Times;Serif" w:hAnsi="Times New Roman;Times;Serif"/>
          <w:b w:val="false"/>
          <w:i w:val="false"/>
          <w:caps w:val="false"/>
          <w:smallCaps w:val="false"/>
          <w:sz w:val="20"/>
        </w:rPr>
        <w:t>”) to an amount equal to the Term Loan Commitment of that Combined Lender which had the largest Term Loan Commitment of each of the Combined Lenders party to such Combination (such largest Term Loan Commitment being the “</w:t>
      </w:r>
      <w:r>
        <w:rPr>
          <w:rFonts w:ascii="Times New Roman;Times;Serif" w:hAnsi="Times New Roman;Times;Serif"/>
          <w:b w:val="false"/>
          <w:i w:val="false"/>
          <w:caps w:val="false"/>
          <w:smallCaps w:val="false"/>
          <w:sz w:val="20"/>
          <w:u w:val="single"/>
        </w:rPr>
        <w:t>Surviving Commitment</w:t>
      </w:r>
      <w:r>
        <w:rPr>
          <w:rFonts w:ascii="Times New Roman;Times;Serif" w:hAnsi="Times New Roman;Times;Serif"/>
          <w:b w:val="false"/>
          <w:i w:val="false"/>
          <w:caps w:val="false"/>
          <w:smallCaps w:val="false"/>
          <w:sz w:val="20"/>
        </w:rPr>
        <w:t>” and the Term Loan Commitments of the other Combined Lenders being hereinafter referred to, collectively, as the “</w:t>
      </w:r>
      <w:r>
        <w:rPr>
          <w:rFonts w:ascii="Times New Roman;Times;Serif" w:hAnsi="Times New Roman;Times;Serif"/>
          <w:b w:val="false"/>
          <w:i w:val="false"/>
          <w:caps w:val="false"/>
          <w:smallCaps w:val="false"/>
          <w:sz w:val="20"/>
          <w:u w:val="single"/>
        </w:rPr>
        <w:t>Retired Commitments</w:t>
      </w:r>
      <w:r>
        <w:rPr>
          <w:rFonts w:ascii="Times New Roman;Times;Serif" w:hAnsi="Times New Roman;Times;Serif"/>
          <w:b w:val="false"/>
          <w:i w:val="false"/>
          <w:caps w:val="false"/>
          <w:smallCaps w:val="false"/>
          <w:sz w:val="20"/>
        </w:rPr>
        <w:t>”). If the Required Lenders (determined as set forth below) and the Administrative Agent agree to such reduction in the Surviving Lender’s Term Loan Commitment, then (i) the aggregate amount of the Term Loan Commitments shall be reduced by the Retired Commitments effective upon the effective date of the Combination (or such later date as the Borrower may specify in its request), provided, that, on or before such date the Borrower has paid in full the outstanding principal amount of the Loans of each of the Combined Lenders other than the Combined Lender whose Term Loan Commitment is the Surviving Commitment, (ii) from and after the effective date of such reduction, the Surviving Lender shall have no obligation with respect to the Retired Commitments, and (iii) the Borrower shall notify the Administrative Agent whether it wants such reduction to be a permanent reduction or a temporary reduction. If such reduction is to be a temporary reduction, then the Borrower shall be responsible for finding one or more financial institutions (which for the avoidance of doubt may be an existing Lender) (each, a “</w:t>
      </w:r>
      <w:r>
        <w:rPr>
          <w:rFonts w:ascii="Times New Roman;Times;Serif" w:hAnsi="Times New Roman;Times;Serif"/>
          <w:b w:val="false"/>
          <w:i w:val="false"/>
          <w:caps w:val="false"/>
          <w:smallCaps w:val="false"/>
          <w:sz w:val="20"/>
          <w:u w:val="single"/>
        </w:rPr>
        <w:t>Replacement Lender</w:t>
      </w:r>
      <w:r>
        <w:rPr>
          <w:rFonts w:ascii="Times New Roman;Times;Serif" w:hAnsi="Times New Roman;Times;Serif"/>
          <w:b w:val="false"/>
          <w:i w:val="false"/>
          <w:caps w:val="false"/>
          <w:smallCaps w:val="false"/>
          <w:sz w:val="20"/>
        </w:rPr>
        <w:t xml:space="preserve">”), acceptable to the Administrative Agent (such acceptance not to be unreasonably withheld, conditioned or delayed), willing to assume the obligations of a Lender hereunder with a Term Loan Commitment up to the amount of the Retired Commitments. The Administrative Agent may require the Replacement Lenders to execute such documents, instruments or agreements as the Administrative Agent reasonably deems necessary or desirable to evidence such Replacement Lenders’ agreement to become parties hereunder. For purposes of this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 Required Lenders shall be determined as if the reduction in the aggregate amount of the Term Loan Commitments requested by the Borrower had occurred (i.e., the Combined Lenders shall be deemed to have a single Term Loan Commitment equal to the Surviving Commitment and the aggregate amount of the Term Loan Commitments shall be deemed to have been reduced by the Retired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Borrower shall notify the Administrative Agent of any election to terminate or reduce the Term Loan Commitments under paragraph (b) of this Section at least three (3) Business Days prior to the effective date of such termination or reduction, specifying such election and the effective date thereof. Promptly following receipt of any notice, the Administrative Agent shall advise the Term Lenders of the contents thereof. Each notice delivered by the Borrower pursuant to this Section shall be irrevocable;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notice of termination or reduction of the Term Loan Commitments delivered by the Borrower may state that such notice is conditioned upon the effectiveness of other credit facilities or other matters specified therein, in which case such notice may be revoked by the Borrower (by notice to the Administrative Agent on or prior to the specified effective date) if such condition is not satisfied. Any termination or reduction of the Term Loan Commitments shall be permanent. Each reduction of the Term Loan Commitments shall be made ratably among the Term Lenders in accordance with their respective Term Loan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2.07</w:t>
        <w:tab/>
        <w:t>     </w:t>
      </w:r>
      <w:r>
        <w:rPr>
          <w:rFonts w:ascii="Times New Roman;Times;Serif" w:hAnsi="Times New Roman;Times;Serif"/>
          <w:b w:val="false"/>
          <w:i w:val="false"/>
          <w:caps w:val="false"/>
          <w:smallCaps w:val="false"/>
          <w:sz w:val="20"/>
          <w:u w:val="single"/>
        </w:rPr>
        <w:t>Repayment and Amortization of Loans; Evidence of Indebtedness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not previously repaid, all unpaid Tranche 1 Term Loans shall be paid in full in Dollars by the Borrower on the Tranche 1 Term Loan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repay Tranche 2 Term Loans in Dollars on the last Business Day of each fiscal quarter of the Borrower (commencing with the first full fiscal quarter ending after the Specified Acquisition Consummation Date) in an amount equal to the applicable percentage set forth below of the aggregate initial principal amount of the Tranche 2 Term Loans on the Specified Acquisition Consummation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center"/>
        <w:tblInd w:w="0" w:type="dxa"/>
        <w:tblLayout w:type="fixed"/>
        <w:tblCellMar>
          <w:top w:w="28" w:type="dxa"/>
          <w:left w:w="108" w:type="dxa"/>
          <w:bottom w:w="28" w:type="dxa"/>
          <w:right w:w="108" w:type="dxa"/>
        </w:tblCellMar>
      </w:tblPr>
      <w:tblGrid>
        <w:gridCol w:w="8519"/>
        <w:gridCol w:w="1686"/>
      </w:tblGrid>
      <w:tr>
        <w:trPr/>
        <w:tc>
          <w:tcPr>
            <w:tcW w:w="851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Period</w:t>
            </w:r>
          </w:p>
        </w:tc>
        <w:tc>
          <w:tcPr>
            <w:tcW w:w="16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Quarterly Percentage</w:t>
            </w:r>
          </w:p>
        </w:tc>
      </w:tr>
      <w:tr>
        <w:trPr/>
        <w:tc>
          <w:tcPr>
            <w:tcW w:w="85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four consecutive full fiscal quarter periods ending after the Specified Acquisition Consummation Date</w:t>
            </w:r>
          </w:p>
        </w:tc>
        <w:tc>
          <w:tcPr>
            <w:tcW w:w="16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w:t>
            </w:r>
          </w:p>
        </w:tc>
      </w:tr>
      <w:tr>
        <w:trPr/>
        <w:tc>
          <w:tcPr>
            <w:tcW w:w="85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Second four consecutive full fiscal quarter periods ending after the Specified Acquisition Consummation Date</w:t>
            </w:r>
          </w:p>
        </w:tc>
        <w:tc>
          <w:tcPr>
            <w:tcW w:w="16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0.625%</w:t>
            </w:r>
          </w:p>
        </w:tc>
      </w:tr>
      <w:tr>
        <w:trPr/>
        <w:tc>
          <w:tcPr>
            <w:tcW w:w="85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 four consecutive full fiscal quarter periods ending after the Specified Acquisition Consummation Date</w:t>
            </w:r>
          </w:p>
        </w:tc>
        <w:tc>
          <w:tcPr>
            <w:tcW w:w="16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r>
        <w:trPr/>
        <w:tc>
          <w:tcPr>
            <w:tcW w:w="85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Fourth four consecutive full fiscal quarter periods ending after the Specified Acquisition Consummation Date</w:t>
            </w:r>
          </w:p>
        </w:tc>
        <w:tc>
          <w:tcPr>
            <w:tcW w:w="16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not previously repaid, all unpaid Tranche 2 Term Loans shall be paid in full in Dollars by the Borrower on the Tranche 2 Term Loan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hereby unconditionally promises to pay to the Administrative Agent for the account of (x) the Tranche 1 Term Lenders the then unpaid principal amount of all Tranche 1 Term Loans on the Tranche 1 Term Loan Maturity Date in Dollars and (y) the Tranche 2 Term Lenders the then unpaid principal amount of all Tranche 2 Term Loans on the Tranche 2 Term Loan Maturity Date in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shall maintain accounts in which it shall record (i) the amount of each Loan made hereunder, the Class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entries made in the accounts maintained pursuant to paragraph (d) or (e) of this Section shall be </w:t>
      </w:r>
      <w:r>
        <w:rPr>
          <w:rFonts w:ascii="Times New Roman;Times;Serif" w:hAnsi="Times New Roman;Times;Serif"/>
          <w:b w:val="false"/>
          <w:i w:val="false"/>
          <w:caps w:val="false"/>
          <w:smallCaps w:val="false"/>
          <w:sz w:val="20"/>
          <w:u w:val="single"/>
        </w:rPr>
        <w:t>prima facie</w:t>
      </w:r>
      <w:r>
        <w:rPr>
          <w:rFonts w:ascii="Times New Roman;Times;Serif" w:hAnsi="Times New Roman;Times;Serif"/>
          <w:b w:val="false"/>
          <w:i w:val="false"/>
          <w:caps w:val="false"/>
          <w:smallCaps w:val="false"/>
          <w:sz w:val="20"/>
        </w:rPr>
        <w:t xml:space="preserve"> evidence of the existence and amounts of the obligations recorded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of any Lender or the Administrative Agent to maintain such accounts or any error therein shall not in any manner affect the obligation of the Borrower to repay the Loans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Lender may request that Loans made by it to the Borrower be evidenced by a promissory note. In such event, the Borrower shall prepare, execute and deliver to such Lender a promissory note payable to such Lender (or, if requested by such Lender, to such Lender and its registered assigns) and in a form attached hereto as </w:t>
      </w:r>
      <w:r>
        <w:rPr>
          <w:rFonts w:ascii="Times New Roman;Times;Serif" w:hAnsi="Times New Roman;Times;Serif"/>
          <w:b w:val="false"/>
          <w:i w:val="false"/>
          <w:caps w:val="false"/>
          <w:smallCaps w:val="false"/>
          <w:sz w:val="20"/>
          <w:u w:val="single"/>
        </w:rPr>
        <w:t>Exhibit D-1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D-2</w:t>
      </w:r>
      <w:r>
        <w:rPr>
          <w:rFonts w:ascii="Times New Roman;Times;Serif" w:hAnsi="Times New Roman;Times;Serif"/>
          <w:b w:val="false"/>
          <w:i w:val="false"/>
          <w:caps w:val="false"/>
          <w:smallCaps w:val="false"/>
          <w:sz w:val="20"/>
        </w:rPr>
        <w:t xml:space="preserve">, as applicable. Thereafter, the Loans evidenced by such promissory note and interest thereon shall at all times (including after assignment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be represented by one or more promissory notes in such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2.08</w:t>
        <w:tab/>
        <w:t>     </w:t>
      </w:r>
      <w:r>
        <w:rPr>
          <w:rFonts w:ascii="Times New Roman;Times;Serif" w:hAnsi="Times New Roman;Times;Serif"/>
          <w:b w:val="false"/>
          <w:i w:val="false"/>
          <w:caps w:val="false"/>
          <w:smallCaps w:val="false"/>
          <w:sz w:val="20"/>
          <w:u w:val="single"/>
        </w:rPr>
        <w:t>Prepayment of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2.08.1. </w:t>
      </w:r>
      <w:r>
        <w:rPr>
          <w:rFonts w:ascii="Times New Roman;Times;Serif" w:hAnsi="Times New Roman;Times;Serif"/>
          <w:b w:val="false"/>
          <w:i w:val="false"/>
          <w:caps w:val="false"/>
          <w:smallCaps w:val="false"/>
          <w:sz w:val="20"/>
          <w:u w:val="single"/>
        </w:rPr>
        <w:t>Voluntary 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shall have the right at any time and from time to time to prepay any Borrowing in whole or in part, subject to prior notice in accordance with paragraph (b) of this Section;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(i) each prepayment of a Term Benchmark Borrowing (other than in connection with a prepayment of all outstanding Term Benchmark Borrowings</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shall be in an amount that is an integral multiple of $1,000,000 and not less than $5,000,000 and (ii) each prepayment of an ABR Borrowing (other than in connection with a prepayment of all outstanding ABR Borrowings) shall be in an amount that is an integral multiple of $100,000 and not less than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shall notify the Administrative Agent by written notice (submitted by telecopy or electronic communication, including an Approved Borrower Portal, if arrangements for doing so have been approved by the Administrative Agent) of any prepayment hereunder in the case of prepayment of (i) a Term Benchmark Borrowing, not later than 3:00 p.m., Chicago time, three (3) Business Days before the date of prepayment or (ii) an ABR Borrowing, not later than 1:00 p.m., Chicago time, on the date of prepayment. Each such notice shall be irrevocable and shall specify the prepayment date and the principal amount of each Borrowing or portion thereof to be prepaid;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notice of prepayment is given in connection with a conditional notice of termination or reduction of the Term Loan Commitments as contemplated by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then such notice of prepayment may be revoked if such notice of termination or reduction is revoked in accordance with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and a notice of prepayment by the Borrower may state that such notice is conditioned upon the effectiveness of other credit facilities or other matters specified therein, in which case such notice may be revoked by the Borrower (by notice to the Administrative Agent on or prior to the specified effective date) if such condition is not satisfied. Promptly following receipt of any such notice relating to a Borrowing, the Administrative Agent shall advise the Lenders of the applicable Class of the contents thereof. Each partial prepayment of any Borrowing shall be in an amount that would be permitted in the case of an advance of a Borrowing of the same Type as provided in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Each voluntary prepayment of a Term Loan Borrowing shall be applied ratably to the Tranche 1 Term Loans and/or Tranche 2 Term Loans in such order of application to the installments thereof as directed by the Borrower. If the Borrower fails to indicate whether Tranche 1 Term Loans or Tranche 2 Term Loans are being repaid, then the Administrative Agent shall apply the applicable prepayment ratably across both Classes of Term Loans. Prepayments shall be accompanied by (i) accrued interest to the extent required by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and (ii) break funding payments required by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2.09</w:t>
        <w:tab/>
        <w:t>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pay to U.S. Bank, in each of its capacities under (i) the Fee Letter and (ii) such other agreements as the Borrower and U.S. Bank have separately agreed to in writing prior to the Effective Date, in each case for its own respective accounts, in Dollars, fees in the amounts and at the times specified therein. Such fees shall be fully earned when paid and shall not be refundable for any reason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pay to the Lenders such fees as shall have been separately agreed upon in writing by the Borrower and U.S. Bank in the amounts and at the times so specified. Such fees shall be fully earned when paid and shall not be refundable for any reason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unused Term Loan Commitments are outstanding during the period commencing November 24, 2026 and ending on the first date on which all Term Loan Commitments have been fully funded, terminated or expired, an unused commitment fee shall accrue daily during such period in respect of such unused Term Loan Commitments. Such unused commitment fee shall equal 0.125%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the amount of each such Lender’s unused Term Loan Commitment during such period. The Borrower shall pay such unused commitment fees to the Administrative Agent on behalf of the Lenders on the last day of such period (and if such day is not a Business Day, then on the immediately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2.10</w:t>
        <w:tab/>
        <w:t>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Loans comprising each ABR Borrowing shall bear interest at the Alternate Base Rate plus the Applicable Rate. The Loans comprising each Term Benchmark Borrowing shall bear interest at the Adjusted Term SOFR Rate for the Interest Period in effect for such Borrowing plus the Applicable Rate. Daily Simple SOFR shall not be available as an interest rate election hereunder for so long as Term SOFR Rate is available to the Borrower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if any principal of or interest on any Loan or any fee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interest or fee, 2% plus the rate applicable to ABR Loans as provided in paragraph (a)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Accrued interest on each Loan shall be payable in arrears on each Interest Payment Date for such Loan;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interest accrued pursuant to paragraph (b) of this Section shall be payable on demand, (ii) in the event of any repayment or prepayment of any Loan (other than a prepayment of an ABR Loan prior to the applicable Maturity Date),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interest hereunder shall be computed on the basis of a year of 360 days, except that interest computed by reference to the Alternate Base Rate only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A determination of the applicable Alternate Base Rate, Adjusted Term SOFR Rate, Term SOFR Rate or Daily Simple SOFR shall be determined by the Administrative Agent, and such determination shall be conclusive absent demonstrable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Interest shall be paid in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2.11</w:t>
        <w:tab/>
        <w:t>     </w:t>
      </w:r>
      <w:r>
        <w:rPr>
          <w:rFonts w:ascii="Times New Roman;Times;Serif" w:hAnsi="Times New Roman;Times;Serif"/>
          <w:b w:val="false"/>
          <w:i w:val="false"/>
          <w:caps w:val="false"/>
          <w:smallCaps w:val="false"/>
          <w:sz w:val="20"/>
          <w:u w:val="single"/>
        </w:rPr>
        <w:t>Alternate Rate of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determines (which determination shall be conclusive absent demonstrable error) (A) prior to the commencement of any Interest Period for a Term Benchmark Borrowing, that adequate and reasonable means do not exist for ascertaining the Adjusted Term SOFR Rate or the Term SOFR Rate (including because the Relevant Screen Rate is not available or published on a current basis) for such Interest Period or (B) at any time, that adequate and reasonable means do not exist for ascertaining the Daily Simple SOFR;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Administrative Agent is advised by the Required Lenders that (A) prior to the commencement of any Interest Period for a Term Benchmark Borrowing, the Adjusted Term SOFR Rate for such Interest Period will not adequately and fairly reflect the cost to such Lenders of making or maintaining their Loans included in such Borrowing for such Interest Period or (B) at any time, Daily Simple SOFR will not adequately and fairly reflect the cost to such Lenders of making or maintaining their Loans included in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the Administrative Agent shall give notice (in reasonable detail) thereof to the Borrower and the Lenders of the applicable Class prior to the commencement of such Interest Period, by telephone, facsimile or email in accordance with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as promptly as practicable thereafter and, until (x) the Administrative Agent notifies the Borrower and the Lenders of the applicable Class that the circumstances giving rise to such notice no longer exist (which notice shall be given by the Administrative Agent promptly after such circumstances cease to exist) with respect to the relevant Benchmark and (y) the Borrower delivers a new Interest Election Request in accordance with the terms of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or a new Borrowing Request in accordance with the terms of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an ABR Borrowing if the Daily Simple SOFR also is the subject of </w:t>
      </w:r>
      <w:r>
        <w:rPr>
          <w:rFonts w:ascii="Times New Roman;Times;Serif" w:hAnsi="Times New Roman;Times;Serif"/>
          <w:b w:val="false"/>
          <w:i w:val="false"/>
          <w:caps w:val="false"/>
          <w:smallCaps w:val="false"/>
          <w:sz w:val="20"/>
          <w:u w:val="single"/>
        </w:rPr>
        <w:t>Section 2.11(a)(i)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circumstances giving rise to such notice affect only one Type of Borrowing, then all other Types of Borrowing shall be permitted. Furthermore, if any Term Benchmark Loan is outstanding on the date of the Borrower’s receipt of the notice from the Administrative Agent referred to in this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 xml:space="preserve"> with respect to a Relevant Rate applicable to such Term Benchmark Loan, then until (x) the Administrative Agent notifies the Borrower and the Lenders of the applicable Class that the circumstances giving rise to such notice no longer exist (which notice shall be given by the Administrative Agent promptly after such circumstances cease to exist) with respect to the relevant Benchmark and (y) the Borrower delivers a new Interest Election Request in accordance with the terms of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or a new Borrowing Request in accordance with the terms of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any Term Benchmark Loan shall on the last day of the Interest Period applicable to such Loan, be converted by the Administrative Agent to, and shall constitute, an ABR Loan if the Daily Simple SOFR also is the subject of </w:t>
      </w:r>
      <w:r>
        <w:rPr>
          <w:rFonts w:ascii="Times New Roman;Times;Serif" w:hAnsi="Times New Roman;Times;Serif"/>
          <w:b w:val="false"/>
          <w:i w:val="false"/>
          <w:caps w:val="false"/>
          <w:smallCaps w:val="false"/>
          <w:sz w:val="20"/>
          <w:u w:val="single"/>
        </w:rPr>
        <w:t>Section 2.11(a)(i)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above,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(including any related adjustments) for all purposes hereunder and under any Loan Document in respect of any Benchmark setting at or after 5:00 p.m., New York City time, on the fifth (5th) Business Day after the date notice of such Benchmark Replacement is provided to the Lenders and the Borrower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Except as expressly provided in this Agreement, any determination, decision or election that may be made by the Administrative Agent or, if applicable, any Lender (or group of Lenders) pursuant to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reasonable good faith discretion and without consent from any other party to this Agreement or any other Loan Document, except, in each case, as expressly required pursuant to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commonly used in the banking industry for such purpose that publishes such rate from time to time as selected by the Administrative Agent in its reasonable discretion and consistent with such selection generally under other substantially similar syndicated credit facilities for which it acts as the administrative agent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Upon the Borrower’s receipt of notice of the commencement of a Benchmark Unavailability Period, and until a Benchmark Replacement is determined in accordance with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the Borrower may revoke any request for a Term Benchmark Borrowing of,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an ABR Borrowing if the Daily Simple SOFR is the subject of a Benchmark Transition Event.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is outstanding on the date of the Borrower’s receipt of notice of the commencement of a Benchmark Unavailability Period with respect to a Relevant Rate applicable to such Term Benchmark Loan, then until such time as a Benchmark Replacement is implemented pursuant to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any Term Benchmark Loan shall on the last day of the Interest Period applicable to such Loan (or the next succeeding Business Day if such day is not a Business Day), be converted by the Administrative Agent to, and shall constitute, an ABR Loan if the Daily Simple SOFR is the subject of a Benchmark Transition Event,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2.12</w:t>
        <w:tab/>
        <w:t>     </w:t>
      </w:r>
      <w:r>
        <w:rPr>
          <w:rFonts w:ascii="Times New Roman;Times;Serif" w:hAnsi="Times New Roman;Times;Serif"/>
          <w:b w:val="false"/>
          <w:i w:val="false"/>
          <w:caps w:val="false"/>
          <w:smallCaps w:val="false"/>
          <w:sz w:val="20"/>
          <w:u w:val="single"/>
        </w:rPr>
        <w:t>Increased Costs</w:t>
      </w:r>
      <w:r>
        <w:rPr>
          <w:rFonts w:ascii="Times New Roman;Times;Serif" w:hAnsi="Times New Roman;Times;Serif"/>
          <w:b w:val="false"/>
          <w:i w:val="false"/>
          <w:caps w:val="false"/>
          <w:smallCaps w:val="false"/>
          <w:sz w:val="20"/>
        </w:rPr>
        <w:t>. (a)  If any Change in Law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Term SOFR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impose on any Lender or the London or other applicable offshore interbank market for the applicable currency any other condition affecting this Agreement or Loans made by such Lender;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the Administrative Agent or any Lender to any Taxes (other than (A) Indemnified Taxes, (B) Taxes described in clauses (b) through (d) of the definition of “Excluded Taxes” and (C) Connection Income Taxes) on its loans, loan principal, commitments, or other obligations of the type that such Lender has hereunder, or its deposits, reserves, other liabilities or capital attributable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the result of any of the foregoing shall be to increase the cost to the Administrative Agent or such Lender of making, continuing, converting or maintaining any Loan or of maintaining its obligation to make any such Loan or to reduce the amount of any sum received or receivable by the Administrative Agent, such Lender hereunder, whether of principal, interest or otherwise, then the Borrower will pay to the Administrative Agent or such Lender, as the case may be, such additional amount or amounts as will compensate the Administrative Agent or such Lender, as the case may be, for such additional costs incurred or reduction suffered as reasonably determined by such Lender (which determination shall be made in good faith (and not on an arbitrary or capricious basis) and consistent with similarly situated customers of the applicable Lender under agreements having provisions similar to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after consideration of such factors as such Lender then reasonably determines to be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Lender reasonably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such additional amount or amounts as will compensate such Lender or such Lender’s holding company for any such reduction suffered as reasonably determined by such Lender (which determination shall be made in good faith (and not on an arbitrary or capricious basis) and consistent with similarly situated customers of the applicable Lender under agreements having provisions similar to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after consideration of such factors as such Lender then reasonably determines to be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certificate of a Lender setting forth in reasonable detail the computation of the amount or amounts necessary to compensate such Lender or its holding company, as the case may be, as specified in paragraph (a) or (b) of this Section shall be delivered to the Borrower contemporaneously with any demand for payment hereunder and shall be conclusive absent clearly demonstrable error. The Borrower shall pay such Lender the amount shown as due on any such certificate within 30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Failure or delay on the part of any Lender to demand compensation pursuant to this Section shall not constitute a waiver of such Lender’s right to demand such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required to compensate a Lender pursuant to this Section for any increased costs or reductions if such Lender fails to notify the Borrower within 90 days after it obtains actual knowledge (or, in the exercise of ordinary due diligence, should have obtained actual knowledge) and such Lender shall only be entitled to receive such compensation for any losses incurred by it or amounts to which it would otherwise be entitled from and after the date 90 days prior to the date such Lender provided notice thereof to the Borrower of the Change in Law giving rise to such increased costs or reductions and of such Lender’s claim for compensation therefor;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if the Change in Law giving rise to such increased costs or reductions is retroactive, then the 90-day period referred to above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2.13</w:t>
        <w:tab/>
        <w:t>     </w:t>
      </w:r>
      <w:r>
        <w:rPr>
          <w:rFonts w:ascii="Times New Roman;Times;Serif" w:hAnsi="Times New Roman;Times;Serif"/>
          <w:b w:val="false"/>
          <w:i w:val="false"/>
          <w:caps w:val="false"/>
          <w:smallCaps w:val="false"/>
          <w:sz w:val="20"/>
          <w:u w:val="single"/>
        </w:rPr>
        <w:t>Break Funding Payments</w:t>
      </w:r>
      <w:r>
        <w:rPr>
          <w:rFonts w:ascii="Times New Roman;Times;Serif" w:hAnsi="Times New Roman;Times;Serif"/>
          <w:b w:val="false"/>
          <w:i w:val="false"/>
          <w:caps w:val="false"/>
          <w:smallCaps w:val="false"/>
          <w:sz w:val="20"/>
        </w:rPr>
        <w:t xml:space="preserve">. With respect to Term Benchmark Loans, in the event of (a) the payment of any principal of any Term Benchmark Loan other than on the last day of an Interest Period applicable thereto (including as a result of an Event of Default or as a result of any prepayment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(b) the conversion of any Term Benchmark Loan other than on the last day of the Interest Period applicable thereto, (c) the failure to borrow, convert, continue or prepay any Term Benchmark Loan on the date specified in any notice delivered pursuant hereto (regardless of whether such notice may be revoked under </w:t>
      </w:r>
      <w:r>
        <w:rPr>
          <w:rFonts w:ascii="Times New Roman;Times;Serif" w:hAnsi="Times New Roman;Times;Serif"/>
          <w:b w:val="false"/>
          <w:i w:val="false"/>
          <w:caps w:val="false"/>
          <w:smallCaps w:val="false"/>
          <w:sz w:val="20"/>
          <w:u w:val="single"/>
        </w:rPr>
        <w:t>Section 2.08(b)</w:t>
      </w:r>
      <w:r>
        <w:rPr>
          <w:rFonts w:ascii="Times New Roman;Times;Serif" w:hAnsi="Times New Roman;Times;Serif"/>
          <w:b w:val="false"/>
          <w:i w:val="false"/>
          <w:caps w:val="false"/>
          <w:smallCaps w:val="false"/>
          <w:sz w:val="20"/>
        </w:rPr>
        <w:t xml:space="preserve"> and is revoked in accordance therewith) or (d) the assignment of any Term Benchmark Loan other than on the last day of the Interest Period applicable thereto as a result of a request by the Borrower pursuant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9.02(e)</w:t>
      </w:r>
      <w:r>
        <w:rPr>
          <w:rFonts w:ascii="Times New Roman;Times;Serif" w:hAnsi="Times New Roman;Times;Serif"/>
          <w:b w:val="false"/>
          <w:i w:val="false"/>
          <w:caps w:val="false"/>
          <w:smallCaps w:val="false"/>
          <w:sz w:val="20"/>
        </w:rPr>
        <w:t>  then, in any such event, the Borrower shall compensate each Lender for the loss (excluding loss of margin), cost and expense attributable to such event. A certificate of any Lender setting forth the computation in reasonable detail of any amount or amounts that such Lender is entitled to receive pursuant to this Section shall be delivered to the Borrower contemporaneously with the demand for payment and shall be conclusive absent clearly demonstrable error. The Borrower shall pay such Lender the amount shown as due on any such certificate free of clearly demonstrable error within 30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2.14</w:t>
        <w:tab/>
        <w:t>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and all payments by or on account of any obligation of any Loan Party under any Loan Document shall be made free and clear of and without deduction for any Taxes, except as required by applicable law. If any applicable law (as determined in the reasonable good faith discretion of an applicable withholding agent) requires the deduction or withholding of any Tax from any such payment by a withholding agent, then, without duplication, (i) the sum payable by the relevant Loan Party shall be increased as necessary so that after making all required deductions or withholdings for Indemnified Taxes (including deductions or withholdings applicable to additional sums payable under this Section) the Administrative Agent, Lender, or any other recipient of such payments (as the case may be) receives an amount equal to the sum it would have received had no such deductions or withholdings in respect of Indemnified Taxes been made, (ii) such Loan Party shall make such deductions or withholdings and (iii) such Loan Party shall pay the full amount deducted or withheld to the relevant Governmental Authority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each Loan Party shall pay to the relevant Governmental Authority in accordance with applicable law, or at the option of the Administrative Agent timely reimburse it for the payment of, any Other Taxes related to such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Loan Parties shall indemnify the Administrative Agent and each Lender, within 30 days after written demand therefor, for the full amount of any Indemnified Taxes or Other Taxes paid by the Administrative Agent or such Lender, as the case may be, on or with respect to any payment by or on account of any obligation of the Loan Parties under any Loan Document (including Indemnified Taxes or Other Taxes imposed or asserted on or attributable to amounts payable under this Section) and any interest and reasonable expenses arising therefrom or with respect thereto, whether or not such Indemnified Taxes or Other Taxes were correctly or legally imposed or asserted by the relevant Governmental Authority. A certificate as to the amount of such payment or liability together with a supporting document shall be delivered to the Borrower by a Lender or by the Administrative Agent on its own behalf or on behalf of a Lender contemporaneously with any demand for payment, and shall be conclusive absent clearly demonstrable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soon as practicable after any payment of Taxes by any Loan Party to a Governmental Authority, such Loan Party shall deliver to the Administrative Agent the original or a copy of a receipt issued, if available,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Lender that is entitled to an exemption from or reduction of withholding tax under the law of the jurisdiction in which a Loan Party is located, or any treaty to which such jurisdiction is a party, with respect to payments under this Agreement shall deliver to such Loan Party (with a copy to the Administrative Agent), at the time or times prescribed by applicable law, such properly completed and executed documentation reasonably requested by such Loan Party as will permit such payments to be made without withholding or at a reduced rate. In addition, any Lender, if reasonably requested by any Loan Party or the Administrative Agent, shall deliver such other documentation prescribed by applicable law or reasonably requested by such Loan Party or the Administrative Agent as will enable such Loan Party or the Administrative Agent to determine whether or not such Lender is subject to backup withholding or information reporting requirements. Notwithstanding anything to the contrary in the preceding two sentences, the completion, execution and submission of such documentation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the Administrative Agent or a Lender determines that it has received a refund of any Taxes or Other Taxes as to which it has been indemnified by any Loan Party or with respect to which any Loan Party has paid additional amounts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it shall pay over such refund to such Loan Party (but only to the extent of the indemnity payments made under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with respect to the Taxes giving rise to such refund), net of all reasonable and documented out-of-pocket expenses (including Taxes) of such Lender or the Administrative Agent and without interest (other than any interest paid by the relevant Governmental Authority with respect to such refund). Any Loan Party, upon the request of such Lender or the Administrative Agent, shall repay to such Lender or the Administrative Agent, as applicable, the amount paid over pursuant to this paragraph (f) (plus any penalties, interest or other charges imposed by the relevant Governmental Authority) in the event that such Lender or the Administrative Agent is required to repay such refund to such Governmental Authority. Notwithstanding anything to the contrary in this paragraph (f), in no event will a Lender or the Administrative Agent be required to pay any amount to any Loan Party pursuant to this paragraph (f) the payment of which would place such Lender or the Administrative Agent, as applicable,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 This Section shall not be construed to require the Administrative Agent or any Lender to make available its tax returns (or any other information relating to its taxes which it deems confidential) to the Borrower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Lender shall severally indemnify (i) the Administrative Agent, within 30 days after demand therefor, for (A) any Indemnified Taxes or Other Taxes attributable to such Lender (but only to the extent that any Loan Party has not already indemnified the Administrative Agent for such Indemnified Taxes or Other Taxes and without limiting the obligation of the Loan Parties to do so) and (B) any Taxes attributable to such Lender’s failure to comply with the provisions of Section 9.04(c) relating to the maintenance of a Participant Register and (ii) the Administrative Agent, within 30 days after demand therefor, for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Times;Serif" w:hAnsi="Times New Roman;Times;Serif"/>
          <w:b w:val="false"/>
          <w:i w:val="false"/>
          <w:caps w:val="false"/>
          <w:smallCaps w:val="false"/>
          <w:sz w:val="20"/>
          <w:u w:val="single"/>
        </w:rPr>
        <w:t>Section 2.14(g)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If a payment made to a Lender under any Loan Document would be subject to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Times;Serif" w:hAnsi="Times New Roman;Times;Serif"/>
          <w:b w:val="false"/>
          <w:i w:val="false"/>
          <w:caps w:val="false"/>
          <w:smallCaps w:val="false"/>
          <w:sz w:val="20"/>
          <w:u w:val="single"/>
        </w:rPr>
        <w:t>Section 2.14(h)</w:t>
      </w:r>
      <w:r>
        <w:rPr>
          <w:rFonts w:ascii="Times New Roman;Times;Serif" w:hAnsi="Times New Roman;Times;Serif"/>
          <w:b w:val="false"/>
          <w:i w:val="false"/>
          <w:caps w:val="false"/>
          <w:smallCaps w:val="false"/>
          <w:sz w:val="20"/>
        </w:rPr>
        <w:t>,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purposes of determining withholding Taxes imposed under FATCA, from and after the Effective Date, the Loan Parties and the Administrative Agent shall treat (and the Lenders hereby authorize the Administrative Agent to treat) this Agreement and the Loans as not qualifying as “grandfathered obligations” within the meaning of Treasury Regulation Section 1.1471-2(b)(2)(i) or 1.1471-2T(b)(2)(i).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Each Lender, on or prior to the date it becomes a party hereto, shall inform the Parent whether it is an Irish Qualifying Lender by completing and providing to the Parent a certificate substantially in the form of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hereto (such certificate, an “</w:t>
      </w:r>
      <w:r>
        <w:rPr>
          <w:rFonts w:ascii="Times New Roman;Times;Serif" w:hAnsi="Times New Roman;Times;Serif"/>
          <w:b w:val="false"/>
          <w:i w:val="false"/>
          <w:caps w:val="false"/>
          <w:smallCaps w:val="false"/>
          <w:sz w:val="20"/>
          <w:u w:val="single"/>
        </w:rPr>
        <w:t>Irish Qualifying Lender Confirmation</w:t>
      </w:r>
      <w:r>
        <w:rPr>
          <w:rFonts w:ascii="Times New Roman;Times;Serif" w:hAnsi="Times New Roman;Times;Serif"/>
          <w:b w:val="false"/>
          <w:i w:val="false"/>
          <w:caps w:val="false"/>
          <w:smallCaps w:val="false"/>
          <w:sz w:val="20"/>
        </w:rPr>
        <w:t xml:space="preserve">”). Each Lender shall, upon reasonable written request from the Borrower or the Administrative Agent provide an updated Irish Qualifying Lender Confirmation. No Irish Loan Party is required to make an increased payment in respect of any withholding tax for or on account of Irish Taxes pursuant to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 if on the date on which the payment falls due: (i) the payment could have been made to the relevant Lender without a deduction for Irish Taxes if that Lender was an Irish Qualifying Lender, but on that date the Lender is not or has ceased to be an Irish Qualifying Lender other than as a result of any Change in Law after the date it became a Lender under this Agreement; or (ii) the relevant Lender is an Irish Treaty Lender and the Irish Loan Party is able to demonstrate that the payment could have been made to the Lender without withholding had that Lender co-operated in completing any procedural formalities necessary for the Irish Loan Party to make the payment without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The indemnity contained in </w:t>
      </w:r>
      <w:r>
        <w:rPr>
          <w:rFonts w:ascii="Times New Roman;Times;Serif" w:hAnsi="Times New Roman;Times;Serif"/>
          <w:b w:val="false"/>
          <w:i w:val="false"/>
          <w:caps w:val="false"/>
          <w:smallCaps w:val="false"/>
          <w:sz w:val="20"/>
          <w:u w:val="single"/>
        </w:rPr>
        <w:t>Section 2.14(c)</w:t>
      </w:r>
      <w:r>
        <w:rPr>
          <w:rFonts w:ascii="Times New Roman;Times;Serif" w:hAnsi="Times New Roman;Times;Serif"/>
          <w:b w:val="false"/>
          <w:i w:val="false"/>
          <w:caps w:val="false"/>
          <w:smallCaps w:val="false"/>
          <w:sz w:val="20"/>
        </w:rPr>
        <w:t> shall not apply to any loss, liability or cost in respect of Irish Taxes to the extent that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is compensated for by an increased payment under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would have been compensated for by an increased payment under </w:t>
      </w:r>
      <w:r>
        <w:rPr>
          <w:rFonts w:ascii="Times New Roman;Times;Serif" w:hAnsi="Times New Roman;Times;Serif"/>
          <w:b w:val="false"/>
          <w:i w:val="false"/>
          <w:caps w:val="false"/>
          <w:smallCaps w:val="false"/>
          <w:sz w:val="20"/>
          <w:u w:val="single"/>
        </w:rPr>
        <w:t>Section 2.14(a)</w:t>
      </w:r>
      <w:r>
        <w:rPr>
          <w:rFonts w:ascii="Times New Roman;Times;Serif" w:hAnsi="Times New Roman;Times;Serif"/>
          <w:b w:val="false"/>
          <w:i w:val="false"/>
          <w:caps w:val="false"/>
          <w:smallCaps w:val="false"/>
          <w:sz w:val="20"/>
        </w:rPr>
        <w:t xml:space="preserve"> but was not so compensated solely because the exclusion in </w:t>
      </w:r>
      <w:r>
        <w:rPr>
          <w:rFonts w:ascii="Times New Roman;Times;Serif" w:hAnsi="Times New Roman;Times;Serif"/>
          <w:b w:val="false"/>
          <w:i w:val="false"/>
          <w:caps w:val="false"/>
          <w:smallCaps w:val="false"/>
          <w:sz w:val="20"/>
          <w:u w:val="single"/>
        </w:rPr>
        <w:t>Section 2.14(j)</w:t>
      </w:r>
      <w:r>
        <w:rPr>
          <w:rFonts w:ascii="Times New Roman;Times;Serif" w:hAnsi="Times New Roman;Times;Serif"/>
          <w:b w:val="false"/>
          <w:i w:val="false"/>
          <w:caps w:val="false"/>
          <w:smallCaps w:val="false"/>
          <w:sz w:val="20"/>
        </w:rPr>
        <w:t>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Any Lender to which interest may be paid by an Irish Loan Party free of withholding tax because such Lender falls within Section 246(3)(h) of the Irish TCA shall, following a reasonable request in writing from such Irish Loan Party, confirm its name, address and country of tax residence to such Irish Loan Party for the purposes of complying with a reporting obligation under Section 891A of the Irish TCA. Furthermore, any Lender shall, following a reasonable request in writing from an Irish Loan Party, provide such Irish Loan Party with any information that is required for such Irish Loan Party to comply with its obligations under Section 891E, 891F and 891G of the Irish TCA and any regulations made pursuant to those Sections. Nothing in this </w:t>
      </w:r>
      <w:r>
        <w:rPr>
          <w:rFonts w:ascii="Times New Roman;Times;Serif" w:hAnsi="Times New Roman;Times;Serif"/>
          <w:b w:val="false"/>
          <w:i w:val="false"/>
          <w:caps w:val="false"/>
          <w:smallCaps w:val="false"/>
          <w:sz w:val="20"/>
          <w:u w:val="single"/>
        </w:rPr>
        <w:t>Section 2.14(l)</w:t>
      </w:r>
      <w:r>
        <w:rPr>
          <w:rFonts w:ascii="Times New Roman;Times;Serif" w:hAnsi="Times New Roman;Times;Serif"/>
          <w:b w:val="false"/>
          <w:i w:val="false"/>
          <w:caps w:val="false"/>
          <w:smallCaps w:val="false"/>
          <w:sz w:val="20"/>
        </w:rPr>
        <w:t> shall oblige a Lender to disclose any confidential information or computations in respect of Taxes or do anything, which would or might in its reasonable opinion constitute a breach of any law or regulation, any fiduciary duty or any duty of 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Each party’s obligations under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shall survive the resignation or replacement of the Administrative Agent or any assignment of rights by, or the replacement of, a Lender, the termination of the Term Loan Commitments and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the term “applicable law” includes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2.15</w:t>
        <w:tab/>
        <w:t>     </w:t>
      </w:r>
      <w:r>
        <w:rPr>
          <w:rFonts w:ascii="Times New Roman;Times;Serif" w:hAnsi="Times New Roman;Times;Serif"/>
          <w:b w:val="false"/>
          <w:i w:val="false"/>
          <w:caps w:val="false"/>
          <w:smallCaps w:val="false"/>
          <w:sz w:val="20"/>
          <w:u w:val="single"/>
        </w:rPr>
        <w:t>Payments Generally; Pro Rata Treatment; Sharing of Set-offs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shall make each payment or prepayment required to be made by it hereunder (whether of principal, interest or fees, or of amounts payable under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2.14</w:t>
      </w:r>
      <w:r>
        <w:rPr>
          <w:rFonts w:ascii="Times New Roman;Times;Serif" w:hAnsi="Times New Roman;Times;Serif"/>
          <w:b w:val="false"/>
          <w:i w:val="false"/>
          <w:caps w:val="false"/>
          <w:smallCaps w:val="false"/>
          <w:sz w:val="20"/>
        </w:rPr>
        <w:t xml:space="preserve">, or otherwise) prior to 1:00 p.m., Chicago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and (ii) to the Administrative Agent at its applicable office or offices as described in an Administrative Questionnaire provided by the Administrative Agent to the Borrower from time to time, except that payments pursuant to </w:t>
      </w:r>
      <w:r>
        <w:rPr>
          <w:rFonts w:ascii="Times New Roman;Times;Serif" w:hAnsi="Times New Roman;Times;Serif"/>
          <w:b w:val="false"/>
          <w:i w:val="false"/>
          <w:caps w:val="false"/>
          <w:smallCaps w:val="false"/>
          <w:sz w:val="20"/>
          <w:u w:val="single"/>
        </w:rPr>
        <w:t>Sections 2.12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9.03</w:t>
      </w:r>
      <w:r>
        <w:rPr>
          <w:rFonts w:ascii="Times New Roman;Times;Serif" w:hAnsi="Times New Roman;Times;Serif"/>
          <w:b w:val="false"/>
          <w:i w:val="false"/>
          <w:caps w:val="false"/>
          <w:smallCaps w:val="false"/>
          <w:sz w:val="20"/>
        </w:rPr>
        <w:t xml:space="preserve"> shall be made directly to the Persons entitled thereto. The Administrative Agent shall distribute any such payments received by it for the account of any other Person to the appropriate recipient promptly following receipt thereof. Other than as expressly set forth in this Agreement,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except as expressly provided herein,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similarly situated Lender, then the Lender receiving such greater proportion shall purchase (for cash at face value) participations in the Loans of other Lenders to the extent necessary so that the benefit of all such payments shall be shared by all such Lenders ratably in accordance with the aggregate amount of principal of and accrued interest on their respective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Parent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Unless the Administrative Agent shall have received notice from the Borrower prior to the date on which any payment or prepayment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applicable Lenders the amount due. In such event, if the Borrower has not in fact made such payment, then each of the applicable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NYFRB Rate. Notwithstanding the foregoing, with respect to payments received by the Administrative Agent from the EU Borrower, the Administrative Agent shall remit such payments in accordance with </w:t>
      </w:r>
      <w:r>
        <w:rPr>
          <w:rFonts w:ascii="Times New Roman;Times;Serif" w:hAnsi="Times New Roman;Times;Serif"/>
          <w:b w:val="false"/>
          <w:i w:val="false"/>
          <w:caps w:val="false"/>
          <w:smallCaps w:val="false"/>
          <w:sz w:val="20"/>
          <w:u w:val="single"/>
        </w:rPr>
        <w:t>Section 2.02(k)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any Lender shall fail to make any payment required to be made by it pursuant to </w:t>
      </w:r>
      <w:r>
        <w:rPr>
          <w:rFonts w:ascii="Times New Roman;Times;Serif" w:hAnsi="Times New Roman;Times;Serif"/>
          <w:b w:val="false"/>
          <w:i w:val="false"/>
          <w:caps w:val="false"/>
          <w:smallCaps w:val="false"/>
          <w:sz w:val="20"/>
          <w:u w:val="single"/>
        </w:rPr>
        <w:t>Sections 2.04(b)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2.15(d)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9.03(c)</w:t>
      </w:r>
      <w:r>
        <w:rPr>
          <w:rFonts w:ascii="Times New Roman;Times;Serif" w:hAnsi="Times New Roman;Times;Serif"/>
          <w:b w:val="false"/>
          <w:i w:val="false"/>
          <w:caps w:val="false"/>
          <w:smallCaps w:val="false"/>
          <w:sz w:val="20"/>
        </w:rPr>
        <w:t>, then the Administrative Agent may, in its discretion (notwithstanding any contrary provision hereof), (i) apply any amounts thereafter received by the Administrative Agent for the account of such Lender and for the benefit of the Administrative Agent to satisfy such Lender’s obligations under such Sections until all such unsatisfied obligations are fully paid and/or (ii) hold any such amounts in a segregated account over which the Administrative Agent shall have exclusive control as cash collateral for, and application to, any future funding obligations of such Lender under any such Section; in the case of each of clauses (i) and (ii) above, in any order as determined by the Administrative Agent in its discretion; it being understood that the Administrative Agent shall, to the extent permitted by law, apply any cash collateral to such obligations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2.16</w:t>
        <w:tab/>
        <w:t>     </w:t>
      </w:r>
      <w:r>
        <w:rPr>
          <w:rFonts w:ascii="Times New Roman;Times;Serif" w:hAnsi="Times New Roman;Times;Serif"/>
          <w:b w:val="false"/>
          <w:i w:val="false"/>
          <w:caps w:val="false"/>
          <w:smallCaps w:val="false"/>
          <w:sz w:val="20"/>
          <w:u w:val="single"/>
        </w:rPr>
        <w:t>Mitigation Obligations; Replacement of Lenders</w:t>
      </w:r>
      <w:r>
        <w:rPr>
          <w:rFonts w:ascii="Times New Roman;Times;Serif" w:hAnsi="Times New Roman;Times;Serif"/>
          <w:b w:val="false"/>
          <w:i w:val="false"/>
          <w:caps w:val="false"/>
          <w:smallCaps w:val="false"/>
          <w:sz w:val="20"/>
        </w:rPr>
        <w:t xml:space="preserve">. (a)  If any Lender requests compensation under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or if the Borrower is required to pay any Indemnified Taxes or additional amount to any Lender or any Governmental Authority for the account of any Lender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(other than amounts in respect of Other Taxes), or if any Lender notifies the Borrower of the occurrence of an event described in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2.14</w:t>
      </w:r>
      <w:r>
        <w:rPr>
          <w:rFonts w:ascii="Times New Roman;Times;Serif" w:hAnsi="Times New Roman;Times;Serif"/>
          <w:b w:val="false"/>
          <w:i w:val="false"/>
          <w:caps w:val="false"/>
          <w:smallCaps w:val="false"/>
          <w:sz w:val="20"/>
        </w:rPr>
        <w:t xml:space="preserve">, as the case may be, in the future, or would eliminate the circumstances giving rise to such event described in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and (ii) would not subject such Lender to any unreimbursed cost or expense and would not otherwise be materially disadvantageous to such Lender. The Borrower hereby agrees to pay all reasonable costs and expenses incurred by any Lender in connection with any such designation or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(i) any Lender (or any of its Participants) requests compensation under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(ii) the Borrower is required to pay any Indemnified Taxes or additional amount to any Lender (or any of its Participants) or any Governmental Authority for the account of any Lender (or any of its Participants)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(iii) any Lender (A) or its Lender Parent has become the subject of a Bail-In Action (or any case or other proceeding in which a Bail-In Action may occur), (B) or its Lender Parent (x) is rated lower than BBB- by S&amp;P (or an applicable Affiliate thereof) and lower than Baa3 by Moody’s (or an applicable Affiliate thereof) or (y) has no credit (or similar) rating in effect by at least one such organization, (C) is or becomes a Defaulting Lender or a Disqualified Institution, (iv) any Lender shall determine that any law, regulation or treaty or directive, or any change therein or in the interpretation or application thereof, shall make it unlawful for such Lender to make or maintain any Term Benchmark Loans as contemplated by this Agreement or any Lender notifies the Borrower of the occurrence of an event described in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or (v) any Lender shall enter into, or purport to enter into, any assignment or participation with a Disqualified Institution in violation of this Agreement, then the Borrower may, at its sole expense and effort, upon notice to such Lender and the Administrative Agent, require such Lender to assign and delegate, without recourse (in accordance with and subject to the restrictions contained in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all its interests, rights (other than its existing rights to payments pursuant to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2.14</w:t>
      </w:r>
      <w:r>
        <w:rPr>
          <w:rFonts w:ascii="Times New Roman;Times;Serif" w:hAnsi="Times New Roman;Times;Serif"/>
          <w:b w:val="false"/>
          <w:i w:val="false"/>
          <w:caps w:val="false"/>
          <w:smallCaps w:val="false"/>
          <w:sz w:val="20"/>
        </w:rPr>
        <w:t xml:space="preserve">) and obligations under the Loan Documents to an assignee that shall assume such obligations (which assignee may be another Lender, if a Lender accepts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Lender is reasonably acceptable to the Administrative Agent and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Each party hereto agrees that (1)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(2) the Lender required to make such assignment need not be a party thereto in order for such assignment to be effective and shall be deemed to have consented to and be bound by the terms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 Notwithstanding any other provision of this Agreement to the contrary, if a Lender has become the subject of a Bail-In Action (or any case or other proceeding in which a Bail-In Action may occur) (each, a “</w:t>
      </w:r>
      <w:r>
        <w:rPr>
          <w:rFonts w:ascii="Times New Roman;Times;Serif" w:hAnsi="Times New Roman;Times;Serif"/>
          <w:b w:val="false"/>
          <w:i w:val="false"/>
          <w:caps w:val="false"/>
          <w:smallCaps w:val="false"/>
          <w:sz w:val="20"/>
          <w:u w:val="single"/>
        </w:rPr>
        <w:t>Bail-In Lender</w:t>
      </w:r>
      <w:r>
        <w:rPr>
          <w:rFonts w:ascii="Times New Roman;Times;Serif" w:hAnsi="Times New Roman;Times;Serif"/>
          <w:b w:val="false"/>
          <w:i w:val="false"/>
          <w:caps w:val="false"/>
          <w:smallCaps w:val="false"/>
          <w:sz w:val="20"/>
        </w:rPr>
        <w:t xml:space="preserve">”), then the Borrower may terminate such Bail-In Lender’s Term Loan Commitment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 Default or Event of Default shall have occurred and be continuing at the time of such Term Loan Commitment termination, (B) in the case of a Bail-In Lender, the Borrower shall concurrently terminate the Term Loan Commitment of each other Lender that is a Bail-In Lender at such time, (C) the Administrative Agent and the Required Lenders shall have consented to each such Term Loan Commitment termination (such consents not to be unreasonably withheld, conditioned or delayed, but may include consideration of the adequacy of the liquidity of the Borrower and its Subsidiaries) and (D) such Bail-In Lender shall have been paid all amounts then due to it under this Agreement and each other Loan Document (which, for the avoidance of doubt, the Borrower may pay in connection with any such termination without making ratable payments to any other Lender (other than another Lender that has a Term Loan Commitment that concurrently is being terminated under this </w:t>
      </w:r>
      <w:r>
        <w:rPr>
          <w:rFonts w:ascii="Times New Roman;Times;Serif" w:hAnsi="Times New Roman;Times;Serif"/>
          <w:b w:val="false"/>
          <w:i w:val="false"/>
          <w:caps w:val="false"/>
          <w:smallCaps w:val="false"/>
          <w:sz w:val="20"/>
          <w:u w:val="single"/>
        </w:rPr>
        <w:t>Section 2.16(b)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2.17</w:t>
        <w:tab/>
        <w:t>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 If for the purposes of obtaining judgment in any court it is necessary to convert a sum due from the Borrower hereunder in the currency expressed to be payable herein (the “</w:t>
      </w:r>
      <w:r>
        <w:rPr>
          <w:rFonts w:ascii="Times New Roman;Times;Serif" w:hAnsi="Times New Roman;Times;Serif"/>
          <w:b w:val="false"/>
          <w:i w:val="false"/>
          <w:caps w:val="false"/>
          <w:smallCaps w:val="false"/>
          <w:sz w:val="20"/>
          <w:u w:val="single"/>
        </w:rPr>
        <w:t>specified currency</w:t>
      </w:r>
      <w:r>
        <w:rPr>
          <w:rFonts w:ascii="Times New Roman;Times;Serif" w:hAnsi="Times New Roman;Times;Serif"/>
          <w:b w:val="false"/>
          <w:i w:val="false"/>
          <w:caps w:val="false"/>
          <w:smallCaps w:val="false"/>
          <w:sz w:val="20"/>
        </w:rPr>
        <w:t xml:space="preserve">”)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such Lender or the Administrative Agent, as the case may be, agrees to remit such excess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2.18</w:t>
        <w:tab/>
        <w:t>     </w:t>
      </w:r>
      <w:r>
        <w:rPr>
          <w:rFonts w:ascii="Times New Roman;Times;Serif" w:hAnsi="Times New Roman;Times;Serif"/>
          <w:b w:val="false"/>
          <w:i w:val="false"/>
          <w:caps w:val="false"/>
          <w:smallCaps w:val="false"/>
          <w:sz w:val="20"/>
          <w:u w:val="single"/>
        </w:rPr>
        <w:t>Defaulting Lenders</w:t>
      </w:r>
      <w:r>
        <w:rPr>
          <w:rFonts w:ascii="Times New Roman;Times;Serif" w:hAnsi="Times New Roman;Times;Serif"/>
          <w:b w:val="false"/>
          <w:i w:val="false"/>
          <w:caps w:val="false"/>
          <w:smallCaps w:val="false"/>
          <w:sz w:val="20"/>
        </w:rPr>
        <w:t>. Notwithstanding any provision of this Agreement to the contrary, if any Lender becomes a Defaulting Lender, then the following provisions shall apply for so long as such Lender is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fees shall cease to accrue on the Term Loan Commitment of such Defaulting Lender pursuant to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payment of principal, interest, fees or other amounts received by the Administrative Agent for the account of such Defaulting Lender (whether voluntary or mandatory, at maturity or otherwise) or received by the Administrative Agent from a Defaulting Lender pursuant to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xml:space="preserve"> shall be applied at such time or times as may be reasonably determined by the Administrative Agent (but as promptly as commercially practicable) as follows: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payment of any amounts owing by such Defaulting Lender to the Administrative Agent hereunder;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as the Borrower may request (so long as no Default or Event of Default exists), to the funding of any Loan in respect of which such Defaulting Lender has failed to fund its portion thereof as required by this Agreement, as reasonably determined by the Administrative Agent;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or under any other Loan Document;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Times;Serif" w:hAnsi="Times New Roman;Times;Serif"/>
          <w:b w:val="false"/>
          <w:i w:val="false"/>
          <w:caps w:val="false"/>
          <w:smallCaps w:val="false"/>
          <w:sz w:val="20"/>
          <w:u w:val="single"/>
        </w:rPr>
        <w:t>sixth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were satisfied or waived, such payment shall be applied solely to pay the Loans of all applicable non-Defaulting Term Lenders on a pro rata basis prior to being applied to the payment of any Loans of such Defaulting Lender until such time as all Loans are held by the applicable Term Lenders pro rata in accordance with the Term Loan Commitments. Any payments, prepayments or other amounts paid or payable to a Defaulting Lender that are applied (or held) to pay amounts owed by a Defaulting Lender shall be deemed paid to and redirected by such Defaulting Lender, and each Term Lender irrevocably consents 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Term Loan Commitment and Credit Exposure of such Defaulting Lender shall not be included in determining whether the Required Lenders have taken or may take any action hereunder (including any consent to any amendment, waiver or other modification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except as otherwise provided in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this clause (c) shall not apply to the vote of a Defaulting Lender in the case of an amendment, waiver or other modification requiring the consent of such Lender or each Lender directly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2.19</w:t>
        <w:tab/>
        <w:t>     </w:t>
      </w:r>
      <w:r>
        <w:rPr>
          <w:rFonts w:ascii="Times New Roman;Times;Serif" w:hAnsi="Times New Roman;Times;Serif"/>
          <w:b w:val="false"/>
          <w:i w:val="false"/>
          <w:caps w:val="false"/>
          <w:smallCaps w:val="false"/>
          <w:sz w:val="20"/>
          <w:u w:val="single"/>
        </w:rPr>
        <w:t>Illegality</w:t>
      </w:r>
      <w:r>
        <w:rPr>
          <w:rFonts w:ascii="Times New Roman;Times;Serif" w:hAnsi="Times New Roman;Times;Serif"/>
          <w:b w:val="false"/>
          <w:i w:val="false"/>
          <w:caps w:val="false"/>
          <w:smallCaps w:val="false"/>
          <w:sz w:val="20"/>
        </w:rPr>
        <w:t xml:space="preserve">. If any Lender (including any EU Lender) reasonably determines that, as a result of the adoption of or any change in any law or regulation (including, without limitation, Article 21c CRD VI or any implementing law, rule or regulation in any EEA Member Country with respect thereto) or in the interpretation or application thereof by any Governmental Authority, it has become unlawful for such Lender or its applicable lending office to make, fund, or maintain any Loan or Commitment to the EU Borrower, then, upon notice thereof by such Lender to the Borrower through the Administrative Agent, (a) the obligation of such Lender to make, fund, or maintain Loans or Commitments to the EU Borrower shall be suspended until such Lender notifies the Administrative Agent and the Borrower that the circumstances giving rise to such determination no longer exist, and (b) the Borrower may, at its sole expense and effort, upon notice to such Lender and the Administrative Agent, require such Lender to assign and delegate, without recourse, all its interests, rights and obligations under this Agreement and the other Loan Documents pursuant to and in accordance with </w:t>
      </w:r>
      <w:r>
        <w:rPr>
          <w:rFonts w:ascii="Times New Roman;Times;Serif" w:hAnsi="Times New Roman;Times;Serif"/>
          <w:b w:val="false"/>
          <w:i w:val="false"/>
          <w:caps w:val="false"/>
          <w:smallCaps w:val="false"/>
          <w:sz w:val="20"/>
          <w:u w:val="single"/>
        </w:rPr>
        <w:t>Section 2.16(b)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and notwithstanding the foregoing, if such assignment and delegation is not effected within ten (10) Business Days of the Borrower’s receipt of notice from such Lender pursuant to this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xml:space="preserve">, then the Borrower shall, on the next Business Day immediately following the expiration of such period, prepay all such Loans in full, together with any accrued interest thereon and any other amounts payable hereunder (other than any amounts payable pursuant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as a result of any prepayment made as a result of the application of this </w:t>
      </w:r>
      <w:r>
        <w:rPr>
          <w:rFonts w:ascii="Times New Roman;Times;Serif" w:hAnsi="Times New Roman;Times;Serif"/>
          <w:b w:val="false"/>
          <w:i w:val="false"/>
          <w:caps w:val="false"/>
          <w:smallCaps w:val="false"/>
          <w:sz w:val="20"/>
          <w:u w:val="single"/>
        </w:rPr>
        <w:t>Section 2.19</w:t>
      </w:r>
      <w:r>
        <w:rPr>
          <w:rFonts w:ascii="Times New Roman;Times;Serif" w:hAnsi="Times New Roman;Times;Serif"/>
          <w:b w:val="false"/>
          <w:i w:val="false"/>
          <w:caps w:val="false"/>
          <w:smallCaps w:val="false"/>
          <w:sz w:val="20"/>
        </w:rPr>
        <w:t>), and any then outstanding Commitments of such Lender to the EU Borrower shall be terminated and reduced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Loan Party, as applicable, represents and warrants to the Lenders and the Administrative Agent, on the Effective Date and to the extent contemplated by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the Specified Acquisition Consummation Date,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3.01</w:t>
        <w:tab/>
        <w:t>     </w:t>
      </w:r>
      <w:r>
        <w:rPr>
          <w:rFonts w:ascii="Times New Roman;Times;Serif" w:hAnsi="Times New Roman;Times;Serif"/>
          <w:b w:val="false"/>
          <w:i w:val="false"/>
          <w:caps w:val="false"/>
          <w:smallCaps w:val="false"/>
          <w:sz w:val="20"/>
          <w:u w:val="single"/>
        </w:rPr>
        <w:t>Corporate Existence and Power</w:t>
      </w:r>
      <w:r>
        <w:rPr>
          <w:rFonts w:ascii="Times New Roman;Times;Serif" w:hAnsi="Times New Roman;Times;Serif"/>
          <w:b w:val="false"/>
          <w:i w:val="false"/>
          <w:caps w:val="false"/>
          <w:smallCaps w:val="false"/>
          <w:sz w:val="20"/>
        </w:rPr>
        <w:t xml:space="preserve">. Subject to transactions permitted under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such Loan Party is validly existing and, to the extent such concept is relevant in the applicable jurisdiction, in good standing under the laws of its jurisdiction of organization and, except to the extent that the failure to have the same could not reasonably be expected to have a Material Adverse Effect, such Loan Party has all organizational powers and all material Governmental Authority licenses, authorizations, consents and approvals required to carry on its business as now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3.02</w:t>
        <w:tab/>
        <w:t>     </w:t>
      </w:r>
      <w:r>
        <w:rPr>
          <w:rFonts w:ascii="Times New Roman;Times;Serif" w:hAnsi="Times New Roman;Times;Serif"/>
          <w:b w:val="false"/>
          <w:i w:val="false"/>
          <w:caps w:val="false"/>
          <w:smallCaps w:val="false"/>
          <w:sz w:val="20"/>
          <w:u w:val="single"/>
        </w:rPr>
        <w:t>Corporate and Governmental Authorization; Contravention</w:t>
      </w:r>
      <w:r>
        <w:rPr>
          <w:rFonts w:ascii="Times New Roman;Times;Serif" w:hAnsi="Times New Roman;Times;Serif"/>
          <w:b w:val="false"/>
          <w:i w:val="false"/>
          <w:caps w:val="false"/>
          <w:smallCaps w:val="false"/>
          <w:sz w:val="20"/>
        </w:rPr>
        <w:t>. The execution, delivery and performance by the Loan Parties of this Agreement are within their respective corporate or other powers, have been duly authorized by all necessary corporate or other organizational action, require no action by or in respect of, or filing with, any Governmental Authority (other than informational filings with the SEC or any similar Governmental Authority) and do not contravene, or constitute a default under, any provision of applicable law or regulation or of the Organizational Documents of any Loan Party or of any material agreement, judgment, injunction, order, decree or other material instrument binding upon any Loan Party (including, without limitation, the Specified Acquisition Agreement) or result in the creation or imposition of any Lien (other than under the Loan Documents) on any asset of the Parent or any of its Subsidiaries (including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3.03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This Agreement constitutes a valid and binding agreement of each Loan Party enforceable against the applicable Loan Parties in accordance with its terms, except to the extent that the enforceability thereof may be limited by the effect of any applicable bankruptcy, insolvency, reorganization, moratorium or similar laws now or hereafter affecting creditors’ rights generally, any mandatory applicable provisions of Luxembourg law of general application and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3.04        </w:t>
      </w:r>
      <w:r>
        <w:rPr>
          <w:rFonts w:ascii="Times New Roman;Times;Serif" w:hAnsi="Times New Roman;Times;Serif"/>
          <w:b w:val="false"/>
          <w:i w:val="false"/>
          <w:caps w:val="false"/>
          <w:smallCaps w:val="false"/>
          <w:sz w:val="20"/>
          <w:u w:val="single"/>
        </w:rPr>
        <w:t>Financial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audited combined balance sheet of the Parent and its Consolidated Subsidiaries at December 31, 2025 and the related consolidated statements of income and cash flows for the fiscal year then ended, reported on by Deloitte &amp; Touche LLP fairly present in all material respects, in conformity with GAAP, the consolidated financial position of the Parent and its Consolidated Subsidiaries at such date and their consolidated results of operations and cash flows for such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change, occurrence or development has occurred since December 31, 2025 in respect of the business, assets, operations or financial condition of the Parent and its Subsidiaries, taken as a whole, that has had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3.05        </w:t>
      </w:r>
      <w:r>
        <w:rPr>
          <w:rFonts w:ascii="Times New Roman;Times;Serif" w:hAnsi="Times New Roman;Times;Serif"/>
          <w:b w:val="false"/>
          <w:i w:val="false"/>
          <w:caps w:val="false"/>
          <w:smallCaps w:val="false"/>
          <w:sz w:val="20"/>
          <w:u w:val="single"/>
        </w:rPr>
        <w:t>Litigation, etc.</w:t>
      </w:r>
      <w:r>
        <w:rPr>
          <w:rFonts w:ascii="Times New Roman;Times;Serif" w:hAnsi="Times New Roman;Times;Serif"/>
          <w:b w:val="false"/>
          <w:i w:val="false"/>
          <w:caps w:val="false"/>
          <w:smallCaps w:val="false"/>
          <w:sz w:val="20"/>
        </w:rPr>
        <w:t xml:space="preserve"> There is no action, suit or proceeding pending or, to the knowledge of any Loan Party, threatened in writing against the Parent or any Subsidiary before any Governmental Authority or arbitrator (a) in which there is a reasonable possibility of an adverse decision that could reasonably be expected to materially adversely affect the business, consolidated financial position or consolidated results of operations of the Parent and its Subsidiaries, taken as a whole, except as disclosed in Public Filings; or (b) that in any manner questions the validity of this Agreement or the financing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3.06        </w:t>
      </w:r>
      <w:r>
        <w:rPr>
          <w:rFonts w:ascii="Times New Roman;Times;Serif" w:hAnsi="Times New Roman;Times;Serif"/>
          <w:b w:val="false"/>
          <w:i w:val="false"/>
          <w:caps w:val="false"/>
          <w:smallCaps w:val="false"/>
          <w:sz w:val="20"/>
          <w:u w:val="single"/>
        </w:rPr>
        <w:t>ERISA Compliance.</w:t>
      </w:r>
      <w:r>
        <w:rPr>
          <w:rFonts w:ascii="Times New Roman;Times;Serif" w:hAnsi="Times New Roman;Times;Serif"/>
          <w:b w:val="false"/>
          <w:i w:val="false"/>
          <w:caps w:val="false"/>
          <w:smallCaps w:val="false"/>
          <w:sz w:val="20"/>
        </w:rPr>
        <w:t xml:space="preserve"> Each of the Parent and each ERISA Affiliate has fulfilled its obligations under the minimum funding standards of ERISA and the Code with respect to each applicable Plan and is in compliance with the presently applicable provisions of ERISA and the Code, and has not incurred any liability to the PBGC or a Plan under Title IV of ERISA (other than premiums which have been timely paid or for which an extension of the time for payment has been granted), other than failures to fund or comply or the incurrence of liabilities to the PBGC or any Plan that would not,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3.07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Parent and each of its Subsidiaries have filed all United States federal income tax returns, and all other material federal, foreign, state and local income, excise and other material tax returns, which are required to be filed by them and have paid or made provision for the payment of all United States federal and material foreign, state and other taxes which have become due pursuant to such returns or pursuant to any assessment in respect thereof received by the Parent or any of its Subsidiaries, except (a) for the payment of taxes that are being contested in good faith and for which adequate reserves have been provided or (b) where the failure to so file or pay could not reasonably be expected to have a Material Adverse Effect. Under the laws of Luxembourg it is not necessary that the Loan Documents be filed, recorded or enrolled with any court or other authority or that any stamp, registration or similar Taxes be paid on or in relation to the Loan Documents, except (i) where the Loan Documents are physically attached (</w:t>
      </w:r>
      <w:r>
        <w:rPr>
          <w:rFonts w:ascii="Times New Roman;Times;Serif" w:hAnsi="Times New Roman;Times;Serif"/>
          <w:b w:val="false"/>
          <w:i/>
          <w:caps w:val="false"/>
          <w:smallCaps w:val="false"/>
          <w:sz w:val="20"/>
        </w:rPr>
        <w:t>annexé(s)</w:t>
      </w:r>
      <w:r>
        <w:rPr>
          <w:rFonts w:ascii="Times New Roman;Times;Serif" w:hAnsi="Times New Roman;Times;Serif"/>
          <w:b w:val="false"/>
          <w:i w:val="false"/>
          <w:caps w:val="false"/>
          <w:smallCaps w:val="false"/>
          <w:sz w:val="20"/>
        </w:rPr>
        <w:t xml:space="preserve">) to a public deed or to any other document subject to mandatory registration, in which case either a nominal registration duty or an </w:t>
      </w:r>
      <w:r>
        <w:rPr>
          <w:rFonts w:ascii="Times New Roman;Times;Serif" w:hAnsi="Times New Roman;Times;Serif"/>
          <w:b w:val="false"/>
          <w:i/>
          <w:caps w:val="false"/>
          <w:smallCaps w:val="false"/>
          <w:sz w:val="20"/>
        </w:rPr>
        <w:t>ad valorem</w:t>
      </w:r>
      <w:r>
        <w:rPr>
          <w:rFonts w:ascii="Times New Roman;Times;Serif" w:hAnsi="Times New Roman;Times;Serif"/>
          <w:b w:val="false"/>
          <w:i w:val="false"/>
          <w:caps w:val="false"/>
          <w:smallCaps w:val="false"/>
          <w:sz w:val="20"/>
        </w:rPr>
        <w:t xml:space="preserve"> duty (of, for instance, 0.24 per cent. of the amount of the payment obligation mentioned in the document so registered) will be payable depending on the nature of the document to be registered, and (ii) in the case of voluntary registration of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3.08        </w:t>
      </w:r>
      <w:r>
        <w:rPr>
          <w:rFonts w:ascii="Times New Roman;Times;Serif" w:hAnsi="Times New Roman;Times;Serif"/>
          <w:b w:val="false"/>
          <w:i w:val="false"/>
          <w:caps w:val="false"/>
          <w:smallCaps w:val="false"/>
          <w:sz w:val="20"/>
          <w:u w:val="single"/>
        </w:rPr>
        <w:t>Not an Investment Company</w:t>
      </w:r>
      <w:r>
        <w:rPr>
          <w:rFonts w:ascii="Times New Roman;Times;Serif" w:hAnsi="Times New Roman;Times;Serif"/>
          <w:b w:val="false"/>
          <w:i w:val="false"/>
          <w:caps w:val="false"/>
          <w:smallCaps w:val="false"/>
          <w:sz w:val="20"/>
        </w:rPr>
        <w:t>. Neither the Parent nor any Subsidiary thereof is an “investment company” within the meaning of the Investment Company Act of 1940.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3.09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There are no existing Environmental Laws and no existing or, to the knowledge of Parent and its Subsidiaries, threatened Environmental Claims or Environmental Liabilities, individually or in the aggregate, that could reasonably be expected to have a material adverse effect on the business, consolidated financial position or consolidated results of operations of the Parent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3.10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Borrower will use the proceeds of the Credit Events solely for the purposes described in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3.11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No written report, financial statement, certificate or other written information furnished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when taken as a whole; provided that, with respect to projected financial information, such Loan Party represents only that such information was prepared in good faith based upon assumptions believed to be reasonable at the time (it being understood and agreed that projected financial information is simply an estimate, and there is no guarantee that projected results will in fact be achieved and it being further understood and agreed that any representation made pursuant to this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 xml:space="preserve"> in respect of information provided with respect to any entity or assets acquired or to be acquired by the Parent or any of its Subsidiaries, for all periods prior to the date of the consummation of such acquisition is being made to the knowledge of the Parent). As of the Specified Acquisition Consummation Date, to the best knowledge of the Parent, the information included in the Beneficial Ownership Certification provided on or prior to the Specified Acquisition Consummation Date to any Lender in connection with this Agreement is true and correct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3.12        </w:t>
      </w:r>
      <w:r>
        <w:rPr>
          <w:rFonts w:ascii="Times New Roman;Times;Serif" w:hAnsi="Times New Roman;Times;Serif"/>
          <w:b w:val="false"/>
          <w:i w:val="false"/>
          <w:caps w:val="false"/>
          <w:smallCaps w:val="false"/>
          <w:sz w:val="20"/>
          <w:u w:val="single"/>
        </w:rPr>
        <w:t>Anti-Corruption Laws and Sanctions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Parent and its Subsidiaries and, to its Knowledge, its controlled affiliated companies and their respective directors, officers, employees, and agents are conducting their business in compliance in all material respects with Anti-Corruption Laws and have instituted and maintained policies and procedures reasonably designed to promote and achieve compliance with such laws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Parent or its Subsidiaries or, to its Knowledge, their respective directors, officers, employees or agents acting in any capacity in connection with, or directly benefiting from, the Credit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a Designated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is a Person that is 50% or greater owned or controlled by a Designated Person or by a Sanctioned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is incorporated, organized or resident in a Sanctioned Country, in violation of Sanctions;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is (or, except as disclosed in writing to the Administrative Agent prior to the Effective Date, has, to the Parent’s Knowledge, within the year preceding the Effective Date) directly or, to the Parent’s Knowledge, indirectly engaged in, any dealings or transactions, in each case in violation of any Sanctions, (1) with any Designated Person or (2) in any Sanctioned Country to the extent that after giving effect to such dealings or transactions the Parent and its Subsidiaries have more than 5% of their consolidated assets in Sanctioned Countries or derive more than 5% of their consolidated revenues from investments in, or transactions with, Sanctioned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representations in this </w:t>
      </w:r>
      <w:r>
        <w:rPr>
          <w:rFonts w:ascii="Times New Roman;Times;Serif" w:hAnsi="Times New Roman;Times;Serif"/>
          <w:b w:val="false"/>
          <w:i w:val="false"/>
          <w:caps w:val="false"/>
          <w:smallCaps w:val="false"/>
          <w:sz w:val="20"/>
          <w:u w:val="single"/>
        </w:rPr>
        <w:t>Section 3.12</w:t>
      </w:r>
      <w:r>
        <w:rPr>
          <w:rFonts w:ascii="Times New Roman;Times;Serif" w:hAnsi="Times New Roman;Times;Serif"/>
          <w:b w:val="false"/>
          <w:i w:val="false"/>
          <w:caps w:val="false"/>
          <w:smallCaps w:val="false"/>
          <w:sz w:val="20"/>
        </w:rPr>
        <w:t xml:space="preserve"> will not apply to any party hereto to which (i) Council Regulation (EC) 2271/96 (the “</w:t>
      </w:r>
      <w:r>
        <w:rPr>
          <w:rFonts w:ascii="Times New Roman;Times;Serif" w:hAnsi="Times New Roman;Times;Serif"/>
          <w:b w:val="false"/>
          <w:i w:val="false"/>
          <w:caps w:val="false"/>
          <w:smallCaps w:val="false"/>
          <w:sz w:val="20"/>
          <w:u w:val="single"/>
        </w:rPr>
        <w:t>Blocking Regulation</w:t>
      </w:r>
      <w:r>
        <w:rPr>
          <w:rFonts w:ascii="Times New Roman;Times;Serif" w:hAnsi="Times New Roman;Times;Serif"/>
          <w:b w:val="false"/>
          <w:i w:val="false"/>
          <w:caps w:val="false"/>
          <w:smallCaps w:val="false"/>
          <w:sz w:val="20"/>
        </w:rPr>
        <w:t>”) applies (or any law or regulation implementing such Blocking Regulation in any member state of the European Union, including Section 7 of the German Foreign Trade Regulation (</w:t>
      </w:r>
      <w:r>
        <w:rPr>
          <w:rFonts w:ascii="Times New Roman;Times;Serif" w:hAnsi="Times New Roman;Times;Serif"/>
          <w:b w:val="false"/>
          <w:i/>
          <w:caps w:val="false"/>
          <w:smallCaps w:val="false"/>
          <w:sz w:val="20"/>
        </w:rPr>
        <w:t>AuBenwirtschaftsverodnung</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Blocking Law</w:t>
      </w:r>
      <w:r>
        <w:rPr>
          <w:rFonts w:ascii="Times New Roman;Times;Serif" w:hAnsi="Times New Roman;Times;Serif"/>
          <w:b w:val="false"/>
          <w:i w:val="false"/>
          <w:caps w:val="false"/>
          <w:smallCaps w:val="false"/>
          <w:sz w:val="20"/>
        </w:rPr>
        <w:t>”), or (ii) the UK Protection of Trading Interests Legislation (“</w:t>
      </w:r>
      <w:r>
        <w:rPr>
          <w:rFonts w:ascii="Times New Roman;Times;Serif" w:hAnsi="Times New Roman;Times;Serif"/>
          <w:b w:val="false"/>
          <w:i w:val="false"/>
          <w:caps w:val="false"/>
          <w:smallCaps w:val="false"/>
          <w:sz w:val="20"/>
          <w:u w:val="single"/>
        </w:rPr>
        <w:t>UKPTIL</w:t>
      </w:r>
      <w:r>
        <w:rPr>
          <w:rFonts w:ascii="Times New Roman;Times;Serif" w:hAnsi="Times New Roman;Times;Serif"/>
          <w:b w:val="false"/>
          <w:i w:val="false"/>
          <w:caps w:val="false"/>
          <w:smallCaps w:val="false"/>
          <w:sz w:val="20"/>
        </w:rPr>
        <w:t>”) applies, if and to the extent that such representations are or would be unenforceable by or in respect of that party pursuant to, or would otherwise result in a breach and/or violation of any provision of, the Blocking Law or the UKPTIL,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3.13        </w:t>
      </w:r>
      <w:r>
        <w:rPr>
          <w:rFonts w:ascii="Times New Roman;Times;Serif" w:hAnsi="Times New Roman;Times;Serif"/>
          <w:b w:val="false"/>
          <w:i w:val="false"/>
          <w:caps w:val="false"/>
          <w:smallCaps w:val="false"/>
          <w:sz w:val="20"/>
          <w:u w:val="single"/>
        </w:rPr>
        <w:t>Domiciliation; Centre of Main Interests</w:t>
      </w:r>
      <w:r>
        <w:rPr>
          <w:rFonts w:ascii="Times New Roman;Times;Serif" w:hAnsi="Times New Roman;Times;Serif"/>
          <w:b w:val="false"/>
          <w:i w:val="false"/>
          <w:caps w:val="false"/>
          <w:smallCaps w:val="false"/>
          <w:sz w:val="20"/>
        </w:rPr>
        <w:t>. In the case of a Loan Party organized under the laws of Luxembourg, the head office (</w:t>
      </w:r>
      <w:r>
        <w:rPr>
          <w:rFonts w:ascii="Times New Roman;Times;Serif" w:hAnsi="Times New Roman;Times;Serif"/>
          <w:b w:val="false"/>
          <w:i/>
          <w:caps w:val="false"/>
          <w:smallCaps w:val="false"/>
          <w:sz w:val="20"/>
        </w:rPr>
        <w:t>administration centrale</w:t>
      </w:r>
      <w:r>
        <w:rPr>
          <w:rFonts w:ascii="Times New Roman;Times;Serif" w:hAnsi="Times New Roman;Times;Serif"/>
          <w:b w:val="false"/>
          <w:i w:val="false"/>
          <w:caps w:val="false"/>
          <w:smallCaps w:val="false"/>
          <w:sz w:val="20"/>
        </w:rPr>
        <w:t>) and the place of effective management (</w:t>
      </w:r>
      <w:r>
        <w:rPr>
          <w:rFonts w:ascii="Times New Roman;Times;Serif" w:hAnsi="Times New Roman;Times;Serif"/>
          <w:b w:val="false"/>
          <w:i/>
          <w:caps w:val="false"/>
          <w:smallCaps w:val="false"/>
          <w:sz w:val="20"/>
        </w:rPr>
        <w:t>siège de direction effective</w:t>
      </w:r>
      <w:r>
        <w:rPr>
          <w:rFonts w:ascii="Times New Roman;Times;Serif" w:hAnsi="Times New Roman;Times;Serif"/>
          <w:b w:val="false"/>
          <w:i w:val="false"/>
          <w:caps w:val="false"/>
          <w:smallCaps w:val="false"/>
          <w:sz w:val="20"/>
        </w:rPr>
        <w:t>) are located at the place of its registered office (</w:t>
      </w:r>
      <w:r>
        <w:rPr>
          <w:rFonts w:ascii="Times New Roman;Times;Serif" w:hAnsi="Times New Roman;Times;Serif"/>
          <w:b w:val="false"/>
          <w:i/>
          <w:caps w:val="false"/>
          <w:smallCaps w:val="false"/>
          <w:sz w:val="20"/>
        </w:rPr>
        <w:t>siège statutaire</w:t>
      </w:r>
      <w:r>
        <w:rPr>
          <w:rFonts w:ascii="Times New Roman;Times;Serif" w:hAnsi="Times New Roman;Times;Serif"/>
          <w:b w:val="false"/>
          <w:i w:val="false"/>
          <w:caps w:val="false"/>
          <w:smallCaps w:val="false"/>
          <w:sz w:val="20"/>
        </w:rPr>
        <w:t>) in Luxembourg and, for the purposes of the Insolvency Regulation, the centre of main interests (</w:t>
      </w:r>
      <w:r>
        <w:rPr>
          <w:rFonts w:ascii="Times New Roman;Times;Serif" w:hAnsi="Times New Roman;Times;Serif"/>
          <w:b w:val="false"/>
          <w:i/>
          <w:caps w:val="false"/>
          <w:smallCaps w:val="false"/>
          <w:sz w:val="20"/>
        </w:rPr>
        <w:t>centre des intérêts principaux</w:t>
      </w:r>
      <w:r>
        <w:rPr>
          <w:rFonts w:ascii="Times New Roman;Times;Serif" w:hAnsi="Times New Roman;Times;Serif"/>
          <w:b w:val="false"/>
          <w:i w:val="false"/>
          <w:caps w:val="false"/>
          <w:smallCaps w:val="false"/>
          <w:sz w:val="20"/>
        </w:rPr>
        <w:t>) is located at the place of its registered office (</w:t>
      </w:r>
      <w:r>
        <w:rPr>
          <w:rFonts w:ascii="Times New Roman;Times;Serif" w:hAnsi="Times New Roman;Times;Serif"/>
          <w:b w:val="false"/>
          <w:i/>
          <w:caps w:val="false"/>
          <w:smallCaps w:val="false"/>
          <w:sz w:val="20"/>
        </w:rPr>
        <w:t>siège statutaire</w:t>
      </w:r>
      <w:r>
        <w:rPr>
          <w:rFonts w:ascii="Times New Roman;Times;Serif" w:hAnsi="Times New Roman;Times;Serif"/>
          <w:b w:val="false"/>
          <w:i w:val="false"/>
          <w:caps w:val="false"/>
          <w:smallCaps w:val="false"/>
          <w:sz w:val="20"/>
        </w:rPr>
        <w:t>) in Luxembourg. Each Irish Guarantor represents and warrants to the Lenders that as of the Effective Date its centre of main interest (as that term is used in Article 3(1) of the Insolvency Regulation) will be in either England and Wales or Ireland and it will have no establishment (as that term is used in Article 2(10) of the Insolvency Regulation)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3.14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As of each of the Effective Date and the Specified Acquisition Consummation Date, immediately after giving effect to the Transactions to occur on such date, including the extension of Term Loans on such date as applicable, the fair value of the assets of the Parent and its Subsidiaries, taken as a whole on a consolidated basis, at a fair valuation on a going concern basis, exceeds their debts and liabilities, subordinated, contingent or otherwise. The present fair saleable value of the property of the Parent and its Subsidiaries, taken as a whole on a consolidated and going concern basis, is greater than the amount that will be required to pay the probable liability, on a consolidated basis, of their debts and other liabilities, subordinated, contingent or otherwise, as such debts and other liabilities become absolute and matured in the ordinary course of business. The Parent and its Subsidiaries, taken as a whole on a consolidated basis, are able to pay their debts and liabilities, subordinated, contingent or otherwise, as such liabilities become absolute and matured in the ordinary course of business. The Parent and its Subsidiaries are not engaged in businesses and are not about to engage in businesses for which they have unreasonably small capital, on a consolidated basis. For purposes of this Section, the amount of any contingent liability at any time shall be computed as the amount that, in light of all the facts and circumstances existing as of such date of determination, would reasonably be expected to become an actual and matured liability (and not at the full face amount of such contingent liability unless such full face amount is reasonably expected to become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3.15        </w:t>
      </w:r>
      <w:r>
        <w:rPr>
          <w:rFonts w:ascii="Times New Roman;Times;Serif" w:hAnsi="Times New Roman;Times;Serif"/>
          <w:b w:val="false"/>
          <w:i w:val="false"/>
          <w:caps w:val="false"/>
          <w:smallCaps w:val="false"/>
          <w:sz w:val="20"/>
          <w:u w:val="single"/>
        </w:rPr>
        <w:t>Affected Financial Institutions</w:t>
      </w:r>
      <w:r>
        <w:rPr>
          <w:rFonts w:ascii="Times New Roman;Times;Serif" w:hAnsi="Times New Roman;Times;Serif"/>
          <w:b w:val="false"/>
          <w:i w:val="false"/>
          <w:caps w:val="false"/>
          <w:smallCaps w:val="false"/>
          <w:sz w:val="20"/>
        </w:rPr>
        <w:t>. No Loan Party is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3.16        </w:t>
      </w:r>
      <w:r>
        <w:rPr>
          <w:rFonts w:ascii="Times New Roman;Times;Serif" w:hAnsi="Times New Roman;Times;Serif"/>
          <w:b w:val="false"/>
          <w:i w:val="false"/>
          <w:caps w:val="false"/>
          <w:smallCaps w:val="false"/>
          <w:sz w:val="20"/>
          <w:u w:val="single"/>
        </w:rPr>
        <w:t>Irish Loan Party</w:t>
      </w:r>
      <w:r>
        <w:rPr>
          <w:rFonts w:ascii="Times New Roman;Times;Serif" w:hAnsi="Times New Roman;Times;Serif"/>
          <w:b w:val="false"/>
          <w:i w:val="false"/>
          <w:caps w:val="false"/>
          <w:smallCaps w:val="false"/>
          <w:sz w:val="20"/>
        </w:rPr>
        <w:t>. The entry into by any Irish Loan Party of this Agreement and the performance by any Irish Loan Party of the transactions contemplated hereby and the obligations incurred hereunder does not constitute the provision of financial assistance within the meaning of Section 82 of the Irish Companies Act. The prohibition contained in Section 239 of the Irish Companies Act does not apply to this Agreement or the transactions contemplated thereby by reason of the fact that each Irish Loan Party and each other company whose liabilities are hereby guaranteed are members of a group of companies consisting of a holding company and its subsidiaries for the purposes of Section 243 of the Irish Companies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3.17        </w:t>
      </w:r>
      <w:r>
        <w:rPr>
          <w:rFonts w:ascii="Times New Roman;Times;Serif" w:hAnsi="Times New Roman;Times;Serif"/>
          <w:b w:val="false"/>
          <w:i w:val="false"/>
          <w:caps w:val="false"/>
          <w:smallCaps w:val="false"/>
          <w:sz w:val="20"/>
          <w:u w:val="single"/>
        </w:rPr>
        <w:t>Tax Residence</w:t>
      </w:r>
      <w:r>
        <w:rPr>
          <w:rFonts w:ascii="Times New Roman;Times;Serif" w:hAnsi="Times New Roman;Times;Serif"/>
          <w:b w:val="false"/>
          <w:i w:val="false"/>
          <w:caps w:val="false"/>
          <w:smallCaps w:val="false"/>
          <w:sz w:val="20"/>
        </w:rPr>
        <w:t>. Each Loan Party (other than the Parent) represents that it is resident for Tax purposes only in its jurisdiction of incorporation. The Parent represents that it is resident for Tax purposes only in Ireland or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3.18        </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Neither the Parent nor any of its Subsidiaries is a “covered foreign person” as that term is used in the Outbound Investment Rules. Neither the Parent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Parent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4.01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The effectiveness of this Agreement is subject to satisfaction (or waiver) of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Administrative Agent (or its counsel) shall have received from each party hereto a counterpart of this Agreement signed on behalf of such party (which, subject to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may include any Electronic Signatures transmitted by telecopy, emailed pdf, or any other electronic means that reproduces an image of an actual executed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Administrative Agent shall have received a favorable written opinion (addressed to the Administrative Agent and the Lenders and dated the Effective Date) of (i) Foley &amp; Lardner LLP, special counsel for the Loan Parties, (ii) Arthur Cox, special Irish counsel for the Loan Parties and (iii) Allen Overy Shearman Sterling, </w:t>
      </w:r>
      <w:r>
        <w:rPr>
          <w:rFonts w:ascii="Times New Roman;Times;Serif" w:hAnsi="Times New Roman;Times;Serif"/>
          <w:b w:val="false"/>
          <w:i/>
          <w:caps w:val="false"/>
          <w:smallCaps w:val="false"/>
          <w:sz w:val="20"/>
        </w:rPr>
        <w:t>Société en Commandite Simple, inscrite au barreau de Luxembourg</w:t>
      </w:r>
      <w:r>
        <w:rPr>
          <w:rFonts w:ascii="Times New Roman;Times;Serif" w:hAnsi="Times New Roman;Times;Serif"/>
          <w:b w:val="false"/>
          <w:i w:val="false"/>
          <w:caps w:val="false"/>
          <w:smallCaps w:val="false"/>
          <w:sz w:val="20"/>
        </w:rPr>
        <w:t xml:space="preserve">, special Luxembourg counsel for the Loan Parties, substantially in the form of </w:t>
      </w:r>
      <w:r>
        <w:rPr>
          <w:rFonts w:ascii="Times New Roman;Times;Serif" w:hAnsi="Times New Roman;Times;Serif"/>
          <w:b w:val="false"/>
          <w:i w:val="false"/>
          <w:caps w:val="false"/>
          <w:smallCaps w:val="false"/>
          <w:sz w:val="20"/>
          <w:u w:val="single"/>
        </w:rPr>
        <w:t>Exhibits B-1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B-3</w:t>
      </w:r>
      <w:r>
        <w:rPr>
          <w:rFonts w:ascii="Times New Roman;Times;Serif" w:hAnsi="Times New Roman;Times;Serif"/>
          <w:b w:val="false"/>
          <w:i w:val="false"/>
          <w:caps w:val="false"/>
          <w:smallCaps w:val="false"/>
          <w:sz w:val="20"/>
        </w:rPr>
        <w:t>, respectively, and covering such other matters relating to the Parent, the Borrower, Pentair MN, this Agreement or the Transactions as the Administrative Agent shall reasonably request. The Borrower hereby requests each such counsel to deliver such opinions.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Administrative Agent shall have received such documents and certificates as the Administrative Agent or its counsel may reasonably request relating to the organization, existence and good standing of the Loan Parties (which shall include, in the case of the Parent, evidence that such Loan Party has complied with Section 82 of the Irish Companies Act), the authorization of the Transactions, the specimen page identifying the name and title and bearing the signatures of the managers or authorized signatories, as applicable, the constitutional documents and any other legal matters relating to the Parent, the Borrower, Pentair MN, the Loan Documents or the Transactions, all in form and substance satisfactory to the Administrative Agent and its counsel and as further described in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Specified Representations shall be true and correct in all material respects on the Effective Date (except to the extent that such representations and warranties specifically refer to an earlier date, in which case they shall be true and correct in all material respects (unless already qualified by materiality or “material adverse effect”, in which case they shall be true and correct in all respects)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shall have received all fees and other amounts due and payable on or prior to the Effective Date, including, to the extent invoiced (in reasonable detail) at least one (1) Business Day prior to the Effective Date, reimbursement or payment of all out-of-pocket expenses required to be reimbursed or paid by the Borrower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notify the Borrower and the Lenders of the Effective Date, and such notice shall be conclusive and binding.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4.02        </w:t>
      </w:r>
      <w:r>
        <w:rPr>
          <w:rFonts w:ascii="Times New Roman;Times;Serif" w:hAnsi="Times New Roman;Times;Serif"/>
          <w:b w:val="false"/>
          <w:i w:val="false"/>
          <w:caps w:val="false"/>
          <w:smallCaps w:val="false"/>
          <w:sz w:val="20"/>
          <w:u w:val="single"/>
        </w:rPr>
        <w:t>Conditions to Extensions of Credit on Specified Acquisition Consummation Date</w:t>
      </w:r>
      <w:r>
        <w:rPr>
          <w:rFonts w:ascii="Times New Roman;Times;Serif" w:hAnsi="Times New Roman;Times;Serif"/>
          <w:b w:val="false"/>
          <w:i w:val="false"/>
          <w:caps w:val="false"/>
          <w:smallCaps w:val="false"/>
          <w:sz w:val="20"/>
        </w:rPr>
        <w:t>. The obligation of each Lender to extend Term Loans on the Specified Acquisition Consummation Date is subject to satisfaction (or waiver) of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Effective Date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Since July 27, 2026, there shall not have occurred a “Material Adverse Effect” (as defined in the Specified Acquisition Agreement) that still constitutes a Material Adverse Effect as of the Specified Acquisition Consummation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for the avoidance of doubt, whether a Material Adverse Effect has occurred shall be made solely by reference to the definition set forth in the Specified Acquisition Agreement (as in effect on the date of the Specified Acquisition Agreement, without giving effect to any amendment thereto that would expand the scope thereof) and shall be governed by the laws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Specified Acquisition Agreement Representations and the Specified Representations shall be true and correct in all material respects on the Specified Acquisition Consummation Date (except to the extent that such representations and warranties specifically refer to an earlier date, in which case they shall be true and correct in all material respects (unless already qualified by materiality or “material adverse effect”, in which case they shall be true and correct in all respects) as of such earlier date) after giving effect to the Specified Acquisition and the initial funding of the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Administrative Agent’s receipt of a certificate, dated as of the Specified Acquisition Consummation Date and signed by a Financial Officer of the Borrower, certifying that, prior to or substantially concurrently with the funding of the Term Loans, (x) the conditions in </w:t>
      </w:r>
      <w:r>
        <w:rPr>
          <w:rFonts w:ascii="Times New Roman;Times;Serif" w:hAnsi="Times New Roman;Times;Serif"/>
          <w:b w:val="false"/>
          <w:i w:val="false"/>
          <w:caps w:val="false"/>
          <w:smallCaps w:val="false"/>
          <w:sz w:val="20"/>
          <w:u w:val="single"/>
        </w:rPr>
        <w:t>Sections 4.02(b)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are satisfied, and (y) the Specified Acquisition shall be consummated in all material respects in accordance with the Specified Acquisition Agreement after giving effect to any modifications, amendments, supplements, consents or waivers thereto, other than those modifications, amendments, supplements, consents or waivers by the Borrower, the Parent or any of the Borrower’s or the Parent’s respective subsidiaries that are materially adverse to the Lenders (in their capacities as such) without U.S. Bank’s (in its capacity as Arranger) prior written consent (such consent not to be unreasonably conditioned, delayed or withheld), it being understood and agreed that any modification, amendment, supplement, consent or waiver to the Specified Acquisition Agreement in respect of the following shall be deemed to be materially adverse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increase in Specified Acquisition Consummation Date cash consideration required to consummate the Specified Acquisition unless such increase is less than or equal to 15% of the Specified Acquisition Consummation Date cash consideration for the Specified Acquisition as required under the Specified Acquisition Agreement as of July 27, 2026 or is funded with the issuance of additional equity or cash on hand (and not additional Debt for borrowed money);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decrease in the Specified Acquisition Consummation Date cash consideration for the Specified Acquisition unless such decrease is less than or equal to 15% of the Specified Acquisition Consummation Date cash consideration for the Specified Acquisition as required under the Specified Acquisition Agreement as of July 27, 2026, or so long as, in the case of a decrease in excess of 15% of such Specified Acquisition Consummation Date cash consideration, such excess is first applied to reduce commitments under the Borrower’s $1,400,000,000 364-day bridge credit facility as previously disclosed by the Borrower to U.S. Bank (in its capacity as Arranger) on a dollar-for-dollar basis, and then is applied to reduce Term Loan Commitments under the Term Loan Facilities ratably hereunder on a dollar-for-dollar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portion of the Specified Acquisition Consummation Date cash consideration for the Specified Acquisition (if any) not being funded with proceeds of Term Loans shall be paid or deemed paid to the “Seller” under and as defined in the Specified Acquisition Agreement substantially concurrently with the Borrowing in respect of the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Administrative Agent shall have received a Borrowing Request (which shall include the date on which the Specified Acquisition Consummation Date is expected to occur) in respect of Term Loans in accordance with the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extent invoiced to the Borrower at least three (3) Business Days prior to the Specified Acquisition Consummation Date, the Administrative Agent shall receive on each such date all unpaid fees and other amounts due and payable for the account of the Lenders and the Arrangers on such date, including, without limitation, the fees, charges and disbursements of counsel to U.S. Bank as Arranger and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U.S. Bank, as Arranger, shall have received U.S. GAAP audited consolidated balance sheets and statements of income for the Target and its Subsidiaries for the fiscal years ended as of December 31, 2024 and December 31, 2025;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audited financial statements shall not be required to include an audit of internal controls over financial reporting or any other information required by Section 404 of the Sarbanes-Oxley Act of 2002. U.S. Bank, as Arranger, shall have received for the Target and its Subsidiaries U.S. GAAP unaudited consolidated balance sheet and statement of income as of and for the six-month period ended June 30, 2026. U.S. Bank, as Arranger, shall also have received U.S. GAAP unaudited consolidated balance sheets and statements of income for the Target and its Subsidiaries for each fiscal quarter occurring after March 31, 2026 that ends at least 40 days prior to the Specified Acquisition Consummation Date. The foregoing financial statements shall not be required to include, and the availability of the Term Loan Facilities shall not be conditioned upon Regulation S-X compliance beyond the level of compliance contained in the financial statements as delivered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  The Lenders shall have received all documentation and other information reasonably requested by such Lender in writing at least three (3) Business Days prior to the Specified Acquisition Consummation Date in order to allow it to comply with applicable “know your customer” and anti-money laundering rules and regulations with respect to each Loan Party and (ii) to the extent the Borrower qualifies as a “legal entity customer” under the Beneficial Ownership Regulation, at least three (3) Business Days prior to the Specified Acquisition Consummation Date, any Lender that has reasonably requested a Beneficial Ownership Certification at least ten (10) Business Days prior to the Specified Acquisition Consummation Date in relation to the Borrower shall have received such Beneficial Ownership Certification (provided that, upon the execution and delivery by such Lender of its signature page to this Agreement, the conditions set forth in this clause (i) shall be deemed to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Administrative Agent shall have received a solvency certificate from the chief financial officer of the Parent in substantially the form of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hereto, dated as of the Specified Acquisition Consummation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Administrative Agent’s receipt of evidence that, on or prior to the Specified Acquisition Consummation Date, all existing Debt (other than contingent and expense reimbursement obligations for which no claim has been asserted) under that certain Amended and Restated Credit Agreement, dated as of March 13, 2024, by and between the Target, Bank of America, N.A., and the other parties signatory thereto, has been repaid (or, in the case of letters of credit, replaced, cash collateralized, otherwise collateralized with “back to back” letters of credit, or otherwise addressed in a manner acceptable to the applicable letter of credit issuer), all commitments and obligations in respect thereof have been terminated, and all liens in respect of the foregoing will be released (the “</w:t>
      </w:r>
      <w:r>
        <w:rPr>
          <w:rFonts w:ascii="Times New Roman;Times;Serif" w:hAnsi="Times New Roman;Times;Serif"/>
          <w:b w:val="false"/>
          <w:i w:val="false"/>
          <w:caps w:val="false"/>
          <w:smallCaps w:val="false"/>
          <w:sz w:val="20"/>
          <w:u w:val="single"/>
        </w:rPr>
        <w:t>Target Refinancing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for purposes of determining compliance with the conditions specified in this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foregoing does not limit the delivery of those items on the Specified Acquisition Consummation Date as required above in order to cause the extension of Term Loans on the Specified Acquisition Consummation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giving effect to the Transactions to occur on the Specified Acquisition Consummation Date, each Loan Party is hereby deemed to make all of the representations and warranties contained in this Agreement or any other Loan Document, with the understanding that (A) with respect to representations and warranties that contain a materiality qualification, such representations and warranties be true and correct on and as of the Specified Acquisition Consummation Date, except to the extent that such representations and warranties specifically refer to an earlier date, in which case they shall be true and correct as of such earlier date, (B) with respect to representations and warranties that do not contain a materiality qualification, such representations and warranties be true and correct in all material respects on and as of the Specified Acquisition Consummation Date, except to the extent that such representations and warranties specifically refer to an earlier date, in which case they shall be true and correct in all material respects as of such earlier date, and (C) each Loan Party also is deemed to represent that no Default shall exist as of the Specified Acquisition Consummation Date immediately after giving effect to the Transactions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Parties agree that so long as any Lender has any Term Loan Commitment hereunder or any amount payable by the Borrower hereunder remains unpaid (other than contingent indemnification and similar obligations not yet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5.01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The Parent will deliver to the Administrative Agent (and, upon receipt, the Administrative Agent will promptly deliver to each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Annual Financial Statements</w:t>
      </w:r>
      <w:r>
        <w:rPr>
          <w:rFonts w:ascii="Times New Roman;Times;Serif" w:hAnsi="Times New Roman;Times;Serif"/>
          <w:b w:val="false"/>
          <w:i w:val="false"/>
          <w:caps w:val="false"/>
          <w:smallCaps w:val="false"/>
          <w:sz w:val="20"/>
        </w:rPr>
        <w:t>. Within five Business Days after the date on which the Parent files such documents with the SEC, but in no event later than 120 days after the end of each fiscal year, a consolidated balance sheet of the Parent and its Consolidated Subsidiaries at the end of such fiscal year and the related consolidated statements of income and cash flows for such fiscal year, setting forth in each case in comparative form the figures for the previous fiscal year, all reported on in accordance with the rules and regulations of the SEC and audited by Deloitte &amp; Touche LLP or other independent public accountants of nationally recognized 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Quarterly Financial Statements</w:t>
      </w:r>
      <w:r>
        <w:rPr>
          <w:rFonts w:ascii="Times New Roman;Times;Serif" w:hAnsi="Times New Roman;Times;Serif"/>
          <w:b w:val="false"/>
          <w:i w:val="false"/>
          <w:caps w:val="false"/>
          <w:smallCaps w:val="false"/>
          <w:sz w:val="20"/>
        </w:rPr>
        <w:t>. Within five Business Days after the date on which the Parent files such documents with the SEC, but in no event later than 60 days after the end of each of the first three quarters of each fiscal year, a consolidated balance sheet of the Parent and its Consolidated Subsidiaries at the end of such quarter and the related consolidated statements of income and cash flows for such quarter and for the portion of the fiscal year ended at the end of such quarter, setting forth in each case in comparative form the figures for the corresponding quarter and the corresponding portion of the previous fiscal year, all certified by a Senior Financial Officer as fairly presenting in all material respects in accordance with GAAP (subject to normal year-end adjustments and the absence of footnotes) the financial position and results of operations of the Parent and the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Compliance Certificates</w:t>
      </w:r>
      <w:r>
        <w:rPr>
          <w:rFonts w:ascii="Times New Roman;Times;Serif" w:hAnsi="Times New Roman;Times;Serif"/>
          <w:b w:val="false"/>
          <w:i w:val="false"/>
          <w:caps w:val="false"/>
          <w:smallCaps w:val="false"/>
          <w:sz w:val="20"/>
        </w:rPr>
        <w:t xml:space="preserve">. Simultaneously with the delivery of each set of financial statements referred to in clauses (a) and (b) above, a certificate of a Senior Financial Officer (i) setting forth in reasonable detail the calculations required to establish whether the Parent was in compliance with the requirements of </w:t>
      </w:r>
      <w:r>
        <w:rPr>
          <w:rFonts w:ascii="Times New Roman;Times;Serif" w:hAnsi="Times New Roman;Times;Serif"/>
          <w:b w:val="false"/>
          <w:i w:val="false"/>
          <w:caps w:val="false"/>
          <w:smallCaps w:val="false"/>
          <w:sz w:val="20"/>
          <w:u w:val="single"/>
        </w:rPr>
        <w:t>Sections 6.01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6.02</w:t>
      </w:r>
      <w:r>
        <w:rPr>
          <w:rFonts w:ascii="Times New Roman;Times;Serif" w:hAnsi="Times New Roman;Times;Serif"/>
          <w:b w:val="false"/>
          <w:i w:val="false"/>
          <w:caps w:val="false"/>
          <w:smallCaps w:val="false"/>
          <w:sz w:val="20"/>
        </w:rPr>
        <w:t xml:space="preserve"> on the date of such financial statements and (ii) stating whether there exists on the date of such certificate any Event of Default or Default and, if any such event then exists, setting forth the details thereof and the action which the Parent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 Forthwith upon the occurrence of any Responsible Officer obtaining knowledge of any Event of Default or Default, a certificate of a Senior Financial Officer setting forth the details thereof and the action which the Parent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Shareholder Information</w:t>
      </w:r>
      <w:r>
        <w:rPr>
          <w:rFonts w:ascii="Times New Roman;Times;Serif" w:hAnsi="Times New Roman;Times;Serif"/>
          <w:b w:val="false"/>
          <w:i w:val="false"/>
          <w:caps w:val="false"/>
          <w:smallCaps w:val="false"/>
          <w:sz w:val="20"/>
        </w:rPr>
        <w:t>. Promptly upon the mailing thereof to the shareholders of the Parent generally, copies of all financial statements, reports and proxy statements so mailed.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SEC Filings</w:t>
      </w:r>
      <w:r>
        <w:rPr>
          <w:rFonts w:ascii="Times New Roman;Times;Serif" w:hAnsi="Times New Roman;Times;Serif"/>
          <w:b w:val="false"/>
          <w:i w:val="false"/>
          <w:caps w:val="false"/>
          <w:smallCaps w:val="false"/>
          <w:sz w:val="20"/>
        </w:rPr>
        <w:t>. Promptly upon the filing thereof, copies of all registration statements (other than the exhibits thereto and any registration statements on Form S-8 or its equivalent) and reports on Forms 10-K and 10-Q which the Parent shall have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ERISA Notices</w:t>
      </w:r>
      <w:r>
        <w:rPr>
          <w:rFonts w:ascii="Times New Roman;Times;Serif" w:hAnsi="Times New Roman;Times;Serif"/>
          <w:b w:val="false"/>
          <w:i w:val="false"/>
          <w:caps w:val="false"/>
          <w:smallCaps w:val="false"/>
          <w:sz w:val="20"/>
        </w:rPr>
        <w:t>. If and when the Parent or ERISA Affiliate is required to give notice to the PBGC of any “reportable event” (as defined in Section 4043 of ERISA) with respect to any Plan which could reasonably be expected to constitute grounds for a distress or PBGC-initiated termination of such Plan under Title IV of ERISA, or knows that the plan administrator of any Plan has given or is required to give notice of any such reportable event, a copy of the notice of such reportable event given or required to be given to the PBGC.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 of Other Material Events</w:t>
      </w:r>
      <w:r>
        <w:rPr>
          <w:rFonts w:ascii="Times New Roman;Times;Serif" w:hAnsi="Times New Roman;Times;Serif"/>
          <w:b w:val="false"/>
          <w:i w:val="false"/>
          <w:caps w:val="false"/>
          <w:smallCaps w:val="false"/>
          <w:sz w:val="20"/>
        </w:rPr>
        <w:t>. Promptly upon obtaining knowledge thereof, notice of the commencement of any litigation or Governmental Authority proceeding affecting the Parent or any Subsidiary (including pursuant to any applicable Environmental Law) in which there is a reasonable possibility of an adverse decision which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Ratings</w:t>
      </w:r>
      <w:r>
        <w:rPr>
          <w:rFonts w:ascii="Times New Roman;Times;Serif" w:hAnsi="Times New Roman;Times;Serif"/>
          <w:b w:val="false"/>
          <w:i w:val="false"/>
          <w:caps w:val="false"/>
          <w:smallCaps w:val="false"/>
          <w:sz w:val="20"/>
        </w:rPr>
        <w:t>. Promptly upon the public announcement thereof, notice of any downgrade in any credit rating (including the Public Debt Rating) with respect to the Borrower or the Parent by Moody’s, S&amp;P or Fitch.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Beneficial Ownership Certification Changes</w:t>
      </w:r>
      <w:r>
        <w:rPr>
          <w:rFonts w:ascii="Times New Roman;Times;Serif" w:hAnsi="Times New Roman;Times;Serif"/>
          <w:b w:val="false"/>
          <w:i w:val="false"/>
          <w:caps w:val="false"/>
          <w:smallCaps w:val="false"/>
          <w:sz w:val="20"/>
        </w:rPr>
        <w:t>. Promptly after the occurrence thereof, notice to the applicable Lender of any change in the information provided in the Beneficial Ownership Certification delivered to such Lender that would result in a change to the list of beneficial owners identified in such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KYC Information</w:t>
      </w:r>
      <w:r>
        <w:rPr>
          <w:rFonts w:ascii="Times New Roman;Times;Serif" w:hAnsi="Times New Roman;Times;Serif"/>
          <w:b w:val="false"/>
          <w:i w:val="false"/>
          <w:caps w:val="false"/>
          <w:smallCaps w:val="false"/>
          <w:sz w:val="20"/>
        </w:rPr>
        <w:t>. Promptly following any request therefor,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Other Information</w:t>
      </w:r>
      <w:r>
        <w:rPr>
          <w:rFonts w:ascii="Times New Roman;Times;Serif" w:hAnsi="Times New Roman;Times;Serif"/>
          <w:b w:val="false"/>
          <w:i w:val="false"/>
          <w:caps w:val="false"/>
          <w:smallCaps w:val="false"/>
          <w:sz w:val="20"/>
        </w:rPr>
        <w:t>. Promptly following any request therefor, such additional information regarding the financial position or business of the Loan Parties as the Administrative Agent, at the request of any Lender, may reasonably request (it being understood and agreed that no Loan Party nor any of its Subsidiaries shall be required to disclose or discuss, or permit the inspection, examination or making of extracts of, any records, books, information or account or other matter (i) in respect of which disclosure to the Administrative Agent, any Lender or their representatives is then prohibited by applicable law or any agreement binding on any Loan Party or any of its Subsidiaries, (ii) that is protected from disclosure by the attorney-client privilege or the attorney work product privilege or (iii) constitutes non-financial trade secrets or non-financial proprietary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Documents required to be delivered pursuant to </w:t>
      </w:r>
      <w:r>
        <w:rPr>
          <w:rFonts w:ascii="Times New Roman;Times;Serif" w:hAnsi="Times New Roman;Times;Serif"/>
          <w:b w:val="false"/>
          <w:i w:val="false"/>
          <w:caps w:val="false"/>
          <w:smallCaps w:val="false"/>
          <w:sz w:val="20"/>
          <w:u w:val="single"/>
        </w:rPr>
        <w:t>Sections 3.04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5.01</w:t>
      </w:r>
      <w:r>
        <w:rPr>
          <w:rFonts w:ascii="Times New Roman;Times;Serif" w:hAnsi="Times New Roman;Times;Serif"/>
          <w:b w:val="false"/>
          <w:i w:val="false"/>
          <w:caps w:val="false"/>
          <w:smallCaps w:val="false"/>
          <w:sz w:val="20"/>
        </w:rPr>
        <w:t xml:space="preserve"> (to the extent any such documents are included in materials otherwise filed with the SEC) may be delivered electronically and if so delivered, shall be deemed to have been delivered on the date such documents are posted on the Parent’s behalf on SyndTrak/IntraLinks/IntraAgency, on EDGAR (the Electronic Data Gathering, Analysis and Retrieval system of the SEC) or any successor thereto, or another relevant website, if any, to which each Lender and the Administrative Agent have access (whether a commercial, third-party website or whether sponsored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except in the case of any filing on EDGAR or any successor thereto, the Parent shall notify (which may be by facsimile or electronic mail) the Administrative Agent and each Lender of the posting of any such documents. The Administrative Agent shall have no obligation to request the delivery or to maintain copies of the documents referred to above, and in any event shall have no responsibility to monitor compliance by the Parent with any such request for delivery, and each Lender shall be solely responsible for requesting delivery to it or maintaining its copies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financial materials and related certificates required to be delivered pursuant to </w:t>
      </w:r>
      <w:r>
        <w:rPr>
          <w:rFonts w:ascii="Times New Roman;Times;Serif" w:hAnsi="Times New Roman;Times;Serif"/>
          <w:b w:val="false"/>
          <w:i w:val="false"/>
          <w:caps w:val="false"/>
          <w:smallCaps w:val="false"/>
          <w:sz w:val="20"/>
          <w:u w:val="single"/>
        </w:rPr>
        <w:t>Sections 5.01(a)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shall be required to be delivered pursuant to the terms of such Section(s) on a day that is not a Business Day, the required date for such delivery shall be extended to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5.02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Parent shall, and shall cause each Subsidiary to, use the proceeds of the Term Loans solely (i) to pay a portion of consideration for the Specified Acquisition, (ii) to pay fees, premiums, expenses and other transaction costs incurred in connection with the Transactions and (iii) to fund the Target Refinancing. Without limiting the foregoing, the Parent shall not, and shall not permit any Subsidiary to, use the proceeds of any Credit Events, directly or indirectly, for the purpose, whether immediate, incidental or ultimate, of purchasing or carrying any “margin stock” in violation of Regulation U of the Board. In no event shall the proceeds of the Loans be utilized for any purpose that would constitute unlawful financial assistance within the meaning of sections 678 or 679 of the UK Companies Act 2006 or section 82 of the Irish Companies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5.03        </w:t>
      </w:r>
      <w:r>
        <w:rPr>
          <w:rFonts w:ascii="Times New Roman;Times;Serif" w:hAnsi="Times New Roman;Times;Serif"/>
          <w:b w:val="false"/>
          <w:i w:val="false"/>
          <w:caps w:val="false"/>
          <w:smallCaps w:val="false"/>
          <w:sz w:val="20"/>
          <w:u w:val="single"/>
        </w:rPr>
        <w:t>Compliance with Contractual Obligations and Laws</w:t>
      </w:r>
      <w:r>
        <w:rPr>
          <w:rFonts w:ascii="Times New Roman;Times;Serif" w:hAnsi="Times New Roman;Times;Serif"/>
          <w:b w:val="false"/>
          <w:i w:val="false"/>
          <w:caps w:val="false"/>
          <w:smallCaps w:val="false"/>
          <w:sz w:val="20"/>
        </w:rPr>
        <w:t>. The Parent shall, and shall cause each Subsidiary to, comply with all applicable laws and regulations of any Governmental Authority having jurisdiction over it or its business the non-compliance with which would reasonably be expected to have a Material Adverse Effect. Without limiting the foregoing, the Borrower will maintain in effect and enforce policies and procedures designed to promote and achieve compliance by the Borrower, its Subsidiaries and their respective directors, officers, employees and agents with applicable Anti-Corruption Laws and applicable Sanctions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5.04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Parent shall, and shall cause each Subsidiary to, maintain, with financially sound and reputable insurers (as determined at the time the relevant coverage is placed or renewed in the good faith judgment of the Parent or relevant Subsidiary) and/or pursuant to a self-insurance program, insurance with respect to its properties and business against loss or damage of the kinds customarily insured against by Persons engaged in the same or similar businesses and covering similar properties in the same or similar localities, of such types, with such deductibles, covering such risks and in such amounts as are customarily carried under similar circumstances by such other Persons, except where the failure to do so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5.05        </w:t>
      </w:r>
      <w:r>
        <w:rPr>
          <w:rFonts w:ascii="Times New Roman;Times;Serif" w:hAnsi="Times New Roman;Times;Serif"/>
          <w:b w:val="false"/>
          <w:i w:val="false"/>
          <w:caps w:val="false"/>
          <w:smallCaps w:val="false"/>
          <w:sz w:val="20"/>
          <w:u w:val="single"/>
        </w:rPr>
        <w:t>Ownership of Loan Parties</w:t>
      </w:r>
      <w:r>
        <w:rPr>
          <w:rFonts w:ascii="Times New Roman;Times;Serif" w:hAnsi="Times New Roman;Times;Serif"/>
          <w:b w:val="false"/>
          <w:i w:val="false"/>
          <w:caps w:val="false"/>
          <w:smallCaps w:val="false"/>
          <w:sz w:val="20"/>
        </w:rPr>
        <w:t>. The Parent shall at all times own and control, directly or indirectly, all of the equity interests (other than directors’ qualifying shares and other than as may be required by law) of each Loan Party (unless, in the case of any Additional Guarantor, such Additional Guarantor has ceased to be a party hereto pursuant to a transaction permitted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5.06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The Parent shall, and shall cause each Subsidiary to, pay or make provision for the payment of all United States federal and material foreign, state and other taxes which have become due pursuant to such returns or pursuant to any assessment in respect thereof received by the Parent or any Subsidiary, except (a) taxes that are being contested in good faith and for which adequate reserves have been provided and/or (b) where the failure to so pay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5.07        </w:t>
      </w:r>
      <w:r>
        <w:rPr>
          <w:rFonts w:ascii="Times New Roman;Times;Serif" w:hAnsi="Times New Roman;Times;Serif"/>
          <w:b w:val="false"/>
          <w:i w:val="false"/>
          <w:caps w:val="false"/>
          <w:smallCaps w:val="false"/>
          <w:sz w:val="20"/>
          <w:u w:val="single"/>
        </w:rPr>
        <w:t>Loan Party Location</w:t>
      </w:r>
      <w:r>
        <w:rPr>
          <w:rFonts w:ascii="Times New Roman;Times;Serif" w:hAnsi="Times New Roman;Times;Serif"/>
          <w:b w:val="false"/>
          <w:i w:val="false"/>
          <w:caps w:val="false"/>
          <w:smallCaps w:val="false"/>
          <w:sz w:val="20"/>
        </w:rPr>
        <w:t>. The Parent will cause (i) the Borrower and each Material Subsidiary incorporated or organized in an EU jurisdiction to cause its centre of main interest (as that term is used in Article 3(1) of the Insolvency Regulation) to be situated solely in its jurisdiction of incorporation and not to have an establishment (as that term is used in Article 2(10) of the Insolvency Regulation) situated outside its jurisdiction of incorporation or organization, as applicable and (ii) the Borrower and each Material Subsidiary incorporated in England and Wales to cause its centre of main interest (as that term is used in Article 3(1) of the Insolvency Regulation) to be situated solely in England and Wales and not to have an establishment (as that term is used in Article 2(10) of the Insolvency Regulation) situated outside its jurisdiction of incorporation. The Parent will cause its centre of main interest (as that term is used in Article 3(1) of the Insolvency Regulation) to be situated either in England and Wales or Ireland and not to have an establishment (as that term is used in Article 2(10) of the Insolvency Regulation) situated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5.08        </w:t>
      </w:r>
      <w:r>
        <w:rPr>
          <w:rFonts w:ascii="Times New Roman;Times;Serif" w:hAnsi="Times New Roman;Times;Serif"/>
          <w:b w:val="false"/>
          <w:i w:val="false"/>
          <w:caps w:val="false"/>
          <w:smallCaps w:val="false"/>
          <w:sz w:val="20"/>
          <w:u w:val="single"/>
        </w:rPr>
        <w:t>Tax Residence</w:t>
      </w:r>
      <w:r>
        <w:rPr>
          <w:rFonts w:ascii="Times New Roman;Times;Serif" w:hAnsi="Times New Roman;Times;Serif"/>
          <w:b w:val="false"/>
          <w:i w:val="false"/>
          <w:caps w:val="false"/>
          <w:smallCaps w:val="false"/>
          <w:sz w:val="20"/>
        </w:rPr>
        <w:t xml:space="preserve">. No Loan Party may change its residence for Tax purposes without the prior written consent of the Required Lenders, not to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Parent may change its residence from time to time for Tax purposes from the United Kingdom to Ireland or from Ireland to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5.09        </w:t>
      </w:r>
      <w:r>
        <w:rPr>
          <w:rFonts w:ascii="Times New Roman;Times;Serif" w:hAnsi="Times New Roman;Times;Serif"/>
          <w:b w:val="false"/>
          <w:i w:val="false"/>
          <w:caps w:val="false"/>
          <w:smallCaps w:val="false"/>
          <w:sz w:val="20"/>
          <w:u w:val="single"/>
        </w:rPr>
        <w:t>Service of Process Agent</w:t>
      </w:r>
      <w:r>
        <w:rPr>
          <w:rFonts w:ascii="Times New Roman;Times;Serif" w:hAnsi="Times New Roman;Times;Serif"/>
          <w:b w:val="false"/>
          <w:i w:val="false"/>
          <w:caps w:val="false"/>
          <w:smallCaps w:val="false"/>
          <w:sz w:val="20"/>
        </w:rPr>
        <w:t>. If Pentair MN ceases to be a Loan Party hereunder, the Borrower will provide to the Administrative Agent prior to, or substantially contemporaneously with, such cessation a letter from the Service of Process Agent described in clause (ii) of the definition of “Service of Process Agent” (or any other Service of Process Agent acceptable to the Administrative Agent), and such letter will confirm such Service of Process Agent’s consent to its appointment by the Parent, the Borrower and each Additional Guarantor, if any, as their agent to receive service of process as specified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5.10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If at any time any Person becomes obligated as a guarantor or borrower under the Existing JPM Credit Agreement (any such Person, an “</w:t>
      </w:r>
      <w:r>
        <w:rPr>
          <w:rFonts w:ascii="Times New Roman;Times;Serif" w:hAnsi="Times New Roman;Times;Serif"/>
          <w:b w:val="false"/>
          <w:i w:val="false"/>
          <w:caps w:val="false"/>
          <w:smallCaps w:val="false"/>
          <w:sz w:val="20"/>
          <w:u w:val="single"/>
        </w:rPr>
        <w:t>Additional JPM Obligor</w:t>
      </w:r>
      <w:r>
        <w:rPr>
          <w:rFonts w:ascii="Times New Roman;Times;Serif" w:hAnsi="Times New Roman;Times;Serif"/>
          <w:b w:val="false"/>
          <w:i w:val="false"/>
          <w:caps w:val="false"/>
          <w:smallCaps w:val="false"/>
          <w:sz w:val="20"/>
        </w:rPr>
        <w:t>”), the Parent will, at its sole cost and expense, (x) deliver to the Administrative Agent written notice of such Additional JPM Obligor at least five (5) Business Days prior to the date such Additional JPM Obligor becomes a guarantor or borrower under the Existing JPM Credit Agreement (the “</w:t>
      </w:r>
      <w:r>
        <w:rPr>
          <w:rFonts w:ascii="Times New Roman;Times;Serif" w:hAnsi="Times New Roman;Times;Serif"/>
          <w:b w:val="false"/>
          <w:i w:val="false"/>
          <w:caps w:val="false"/>
          <w:smallCaps w:val="false"/>
          <w:sz w:val="20"/>
          <w:u w:val="single"/>
        </w:rPr>
        <w:t>Additional JPM Obligor Effective Date</w:t>
      </w:r>
      <w:r>
        <w:rPr>
          <w:rFonts w:ascii="Times New Roman;Times;Serif" w:hAnsi="Times New Roman;Times;Serif"/>
          <w:b w:val="false"/>
          <w:i w:val="false"/>
          <w:caps w:val="false"/>
          <w:smallCaps w:val="false"/>
          <w:sz w:val="20"/>
        </w:rPr>
        <w:t>”) and (y) cause such Additional JPM Obligor to become an Additional Guarantor hereunder by delivering an Additional Guarantor Joinder to the Administrative Agent no later than the Additional JPM Obligor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Parties agree that so long as any Lender has any Term Loan Commitment hereunder or any amount payable by the Borrower hereunder remains unpaid (other than contingent indemnification and similar obligations not yet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6.01        </w:t>
      </w:r>
      <w:r>
        <w:rPr>
          <w:rFonts w:ascii="Times New Roman;Times;Serif" w:hAnsi="Times New Roman;Times;Serif"/>
          <w:b w:val="false"/>
          <w:i w:val="false"/>
          <w:caps w:val="false"/>
          <w:smallCaps w:val="false"/>
          <w:sz w:val="20"/>
          <w:u w:val="single"/>
        </w:rPr>
        <w:t>Maximum Net Leverage Ratio</w:t>
      </w:r>
      <w:r>
        <w:rPr>
          <w:rFonts w:ascii="Times New Roman;Times;Serif" w:hAnsi="Times New Roman;Times;Serif"/>
          <w:b w:val="false"/>
          <w:i w:val="false"/>
          <w:caps w:val="false"/>
          <w:smallCaps w:val="false"/>
          <w:sz w:val="20"/>
        </w:rPr>
        <w:t xml:space="preserve">. The Parent shall not permit the Net Leverage Ratio on the last day of any period of four consecutive fiscal quarters of the Parent to exceed 3.75 to 1.00;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Borrower may, by written notice to the Administrative Agent for distribution to the Lenders and not more than two times during any five consecutive year term of this Agreement, elect to increase the maximum Net Leverage Ratio permitted under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to 4.25 to 1.00 as of the end of each of the first four (4) periods of four consecutive fiscal quarters ending on or after the date of a Permitted Acquisition, if the aggregate consideration paid or to be paid in respect of such Permitted Acquisition is equal to or greater than $250,000,000 (any such four consecutive periods of four consecutive fiscal quarters following such a Permitted Acquisition, an “</w:t>
      </w:r>
      <w:r>
        <w:rPr>
          <w:rFonts w:ascii="Times New Roman;Times;Serif" w:hAnsi="Times New Roman;Times;Serif"/>
          <w:b w:val="false"/>
          <w:i w:val="false"/>
          <w:caps w:val="false"/>
          <w:smallCaps w:val="false"/>
          <w:sz w:val="20"/>
          <w:u w:val="single"/>
        </w:rPr>
        <w:t>Adjusted Covenant Period</w:t>
      </w:r>
      <w:r>
        <w:rPr>
          <w:rFonts w:ascii="Times New Roman;Times;Serif" w:hAnsi="Times New Roman;Times;Serif"/>
          <w:b w:val="false"/>
          <w:i w:val="false"/>
          <w:caps w:val="false"/>
          <w:smallCaps w:val="false"/>
          <w:sz w:val="20"/>
        </w:rPr>
        <w:t xml:space="preserve">”) and (ii) in connection with any such election, the Borrower shall have delivered to the Administrative Agent, at least five business days prior to consummating such Acquisition, notice of such Acquisition and pro forma calculations (in form and detail reasonably satisfactory to the Administrative Agent) demonstrating compliance with the maximum Net Leverage Ratio required by the foregoing clause (i) (it being understood and agreed that (A) the Borrower may not elect an Adjusted Covenant Period for at least two (2) fiscal quarters following the end of an Adjusted Covenant Period before a new Adjusted Covenant Period is available again pursuant to the foregoing clause (i) and (B) at the end of an Adjusted Covenant Period, the maximum Net Leverage Ratio permitted under this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shall revert to 3.75 to 1.00 as of the end of each subsequent fiscal quarter unless and until another Adjusted Covenant Period is elected pursuant to the terms and conditions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6.02        </w:t>
      </w:r>
      <w:r>
        <w:rPr>
          <w:rFonts w:ascii="Times New Roman;Times;Serif" w:hAnsi="Times New Roman;Times;Serif"/>
          <w:b w:val="false"/>
          <w:i w:val="false"/>
          <w:caps w:val="false"/>
          <w:smallCaps w:val="false"/>
          <w:sz w:val="20"/>
          <w:u w:val="single"/>
        </w:rPr>
        <w:t>Minimum Interest Coverage Ratio</w:t>
      </w:r>
      <w:r>
        <w:rPr>
          <w:rFonts w:ascii="Times New Roman;Times;Serif" w:hAnsi="Times New Roman;Times;Serif"/>
          <w:b w:val="false"/>
          <w:i w:val="false"/>
          <w:caps w:val="false"/>
          <w:smallCaps w:val="false"/>
          <w:sz w:val="20"/>
        </w:rPr>
        <w:t>. The Parent shall not permit the Interest Coverage Ratio for any period of four consecutive fiscal quarters of the Parent ending on the last day of a fiscal quarter of the Parent to be less than 3.00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6.03        </w:t>
      </w:r>
      <w:r>
        <w:rPr>
          <w:rFonts w:ascii="Times New Roman;Times;Serif" w:hAnsi="Times New Roman;Times;Serif"/>
          <w:b w:val="false"/>
          <w:i w:val="false"/>
          <w:caps w:val="false"/>
          <w:smallCaps w:val="false"/>
          <w:sz w:val="20"/>
          <w:u w:val="single"/>
        </w:rPr>
        <w:t>Negative Pledge.</w:t>
      </w:r>
      <w:r>
        <w:rPr>
          <w:rFonts w:ascii="Times New Roman;Times;Serif" w:hAnsi="Times New Roman;Times;Serif"/>
          <w:b w:val="false"/>
          <w:i w:val="false"/>
          <w:caps w:val="false"/>
          <w:smallCaps w:val="false"/>
          <w:sz w:val="20"/>
        </w:rPr>
        <w:t xml:space="preserve"> Neither the Parent nor any Material Subsidiary will create, assume or suffer to exist any Lien on any asset now owned or hereafter acquired by any of them,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Lien existing on the date of this Agreement and set forth in </w:t>
      </w:r>
      <w:r>
        <w:rPr>
          <w:rFonts w:ascii="Times New Roman;Times;Serif" w:hAnsi="Times New Roman;Times;Serif"/>
          <w:b w:val="false"/>
          <w:i w:val="false"/>
          <w:caps w:val="false"/>
          <w:smallCaps w:val="false"/>
          <w:sz w:val="20"/>
          <w:u w:val="single"/>
        </w:rPr>
        <w:t>Schedule 6.03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imposed by law for taxes, assessments or charges of any Governmental Authority for claims which are not overdue for a period of more than 60 days, or to the extent that such Lien is being contested in good faith by appropriate actions and adequate reserves in accordance with GAAP are being maintained therefor, provided that no notice of Lien has been filed or recorded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statutory Liens of landlords and Liens of carriers, warehousemen, mechanics, materialmen and other Liens imposed by law or created in the ordinary course of business, provided that (i) the obligation secured by the applicable Lien has not been delinquent for more than 90 days or remains payable without penalty and, in each case, the property subject to such Lien is not subject to forfeiture as a result of such Lien or (ii) the applicable Lien is being contested in good faith by appropriate actions, which proceedings have the effect of preventing the forfeiture or sale of the property subject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Liens (other than any Lien imposed under ERISA) consisting of pledges or deposits in the ordinary course of business (i) required in connection with workers’ compensation, unemployment insurance and other social security legislation and (ii) securing liability for reimbursement or indemnification obligations of (including obligations in respect of letters of credit or bank guarantees for the benefit of) insurance carriers to secure obligations with respect to casualty or liability insurance maintained by the Parent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Liens on property of the Parent or any Subsidiary securing (i) the non-delinquent performance of bids, trade contracts (other than for borrowed money), leases or statutory obligations, (ii) surety bonds (excluding appeal bonds and other bonds posted in connection with court proceedings or judgments) and (iii) other non-delinquent obligations of a like nature (including those to secure health, safety and environmental obligations) in each case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Liens consisting of judgment or judicial attachment liens and Liens securing contingent obligations on appeal bonds and other bonds posted in connection with court proceedings or judgments, to the extent that such Liens do not constitute an Event of Default under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easements, rights-of-way, restrictions, encroachments, protrusions and other similar encumbrances on real property which in the aggregate do not materially detract from the value of such property or materially interfere with the ordinary conduct of the businesses of the Parent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Liens securing obligations in respect of capital leases on assets subject to such leases, provided that such leases are otherwise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arising solely by virtue of any statutory or common law provision relating to bankers’ liens, rights of set-off or similar rights and remedies (or, with respect to accounts located in Luxembourg, contractual provisions) as to deposit accounts or other funds maintained with a creditor depository institution and/or Liens arising in the ordinary course of business with respect to deposit accounts relating to intercompany cash pooling, interest set-off and/or sweeping arrangements; provided that (i) such deposit account is not a dedicated cash collateral account and is not subject to restrictions against access by the Parent or the applicable Subsidiary in excess of those set forth by regulations promulgated by the Board and (ii) such deposit account is not intended by the Parent or any Subsidiary to provide collateral to the depository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Liens arising in connection with Securitization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Liens on property of any Foreign Subsidiary securing Debt of such Foreign Subsidiary and/or any other Foreign Subsidiary that is permitted under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any Lien existing on property (and the proceeds thereof) existing at the time of its acquisition (by merger or otherwise) or existing on the property of any Person at the time such Person becomes a Subsidiary, in each case after the date hereof (other than any Lien on the equity interests of any Person that becomes a Subsidiary); provided that (i) such Lien was not created in contemplation of such acquisition or such Person becoming a Subsidiary; and (ii) the Debt or other obligation secured thereby is not prohibited by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arising out of the conditional sale, title retention, consignment or similar arrangements for the sale of goods entered into by the Parent or any of its Subsidiaries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Liens solely on cash earnest money deposits made by the Parent or any Subsidiary in connection with any letter of intent or purchase agreement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Liens securing reimbursement obligations incurred in the ordinary course of business for trade letters of credit or banker’s acceptances, which Liens encumber only goods, or documents of title covering goods, that are purchased in transactions for which such letters of credit or banker’s acceptances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Liens incurred in the ordinary course of business in favor of customs or revenue authorities arising as a matter of law to secure payment of customs duties in connection with the importation of goods;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leases, subleases, licenses or sublicenses (including, in the case of licenses and sublicenses, of intellectual property) granted to others in the ordinary course of business that do not materially interfere with the ordinary conduct of the business of the Parent or any Subsidiary and do not secure any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Liens of a collecting bank arising under Section 4-210 of the Uniform Commercial Code on items in the ordinary course of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options, put and call arrangements, rights of first refusal and similar rights relating to investments in joint ventures, partnerships and other similar investments not prohibited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rights of first refusal, put, call and similar rights arising in connection with repurchase agreements that are not prohibited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any Lien arising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Lien on an asset arising out of an agreement to dispose of such asset, to the extent such disposition is not prohibited by this Agreement and such Lien does not secure any other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any extension, renewal or substitution of or for any Lien described in clause (a) or (l) above, in each case (A) to the extent that the amount of the Debt or other obligation secured by the applicable Lien shall not exceed the amount of the Debt or other obligation existing immediately prior to such extension, renewal or substitution and (B) so long as the scope of the property subject to such Lien is not increased;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Liens relating to purchase orders and other agreements entered into with customers of the Parent or any Subsidiary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receipt of progress payments and advances from customers in the ordinary course of business to the extent the same create Liens on the related inventory and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Liens on assets pledged in respect of defeased or discharged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any Lien on any asset securing Debt incurred or assumed for the purpose of financing an amount not to exceed all or any part of the cost of acquiring, constructing, repairing, replacing or improving such asset, provided that such Lien attaches to such asset concurrently with or within 270 days after (A) the acquisition of such asset or (B) the later of (x) the completion of such construction, repair, replacement or improvement of such asset and (y) the date of commencement of the commercial operation of the asset constructed, repaired, replaced or improved, as applicable;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in addition to Liens permitted by clauses (a) through (aa) above, any other Lien, to the extent that the outstanding principal amount of the obligations secured thereby, expressed as a Dollar Amount, at the time of creation thereof, in the aggregate with the outstanding principal amount of all other Debt and other obligations then secured pursuant to this clause (bb), does not exceed the greater of (i) $375,000,000 and (ii) 8.5% of the Parent’s Consolidated Total Assets as shown on the then most recent consolidated financial statements of the Parent delivered to the Administrative Agent pursuant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(or, prior to such initial delivery pursuant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lien permitted above under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on any property may extend to identifiable proceeds of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6.04        </w:t>
      </w:r>
      <w:r>
        <w:rPr>
          <w:rFonts w:ascii="Times New Roman;Times;Serif" w:hAnsi="Times New Roman;Times;Serif"/>
          <w:b w:val="false"/>
          <w:i w:val="false"/>
          <w:caps w:val="false"/>
          <w:smallCaps w:val="false"/>
          <w:sz w:val="20"/>
          <w:u w:val="single"/>
        </w:rPr>
        <w:t>Consolidations, Mergers and Sales of Assets; Acquisitions.</w:t>
      </w:r>
      <w:r>
        <w:rPr>
          <w:rFonts w:ascii="Times New Roman;Times;Serif" w:hAnsi="Times New Roman;Times;Serif"/>
          <w:b w:val="false"/>
          <w:i w:val="false"/>
          <w:caps w:val="false"/>
          <w:smallCaps w:val="false"/>
          <w:sz w:val="20"/>
        </w:rPr>
        <w:t xml:space="preserve"> No Loan Party will merge or consolidate with any other non-affiliated Person or sell, lease, transfer or otherwise dispose (excluding, for the avoidance of doubt, the creation of any Lien permitted under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of all or substantially all of its assets as an entirety to any other non-affiliated Person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 merger or consolidation, the Person surviving such transaction is the applicable Loan Party;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immediately after giving effect to any such action, no Event of Default or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Parent will not, and will not permit any Subsidiary to, make any Acquisition other than Permitted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6.05        </w:t>
      </w:r>
      <w:r>
        <w:rPr>
          <w:rFonts w:ascii="Times New Roman;Times;Serif" w:hAnsi="Times New Roman;Times;Serif"/>
          <w:b w:val="false"/>
          <w:i w:val="false"/>
          <w:caps w:val="false"/>
          <w:smallCaps w:val="false"/>
          <w:sz w:val="20"/>
          <w:u w:val="single"/>
        </w:rPr>
        <w:t xml:space="preserve">Subsidiary Debt. </w:t>
      </w:r>
      <w:r>
        <w:rPr>
          <w:rFonts w:ascii="Times New Roman;Times;Serif" w:hAnsi="Times New Roman;Times;Serif"/>
          <w:b w:val="false"/>
          <w:i w:val="false"/>
          <w:caps w:val="false"/>
          <w:smallCaps w:val="false"/>
          <w:sz w:val="20"/>
        </w:rPr>
        <w:t>The Parent will not permit any Material Subsidiary (other than the Borrower) to create, incur, assume or suffer to exist any Debt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arising under Securitization Transactions in an aggregate amount outstanding not exceeding $250,000,000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Debt existing on the Effective Date and identified on </w:t>
      </w:r>
      <w:r>
        <w:rPr>
          <w:rFonts w:ascii="Times New Roman;Times;Serif" w:hAnsi="Times New Roman;Times;Serif"/>
          <w:b w:val="false"/>
          <w:i w:val="false"/>
          <w:caps w:val="false"/>
          <w:smallCaps w:val="false"/>
          <w:sz w:val="20"/>
          <w:u w:val="single"/>
        </w:rPr>
        <w:t>Schedule 6.05</w:t>
      </w:r>
      <w:r>
        <w:rPr>
          <w:rFonts w:ascii="Times New Roman;Times;Serif" w:hAnsi="Times New Roman;Times;Serif"/>
          <w:b w:val="false"/>
          <w:i w:val="false"/>
          <w:caps w:val="false"/>
          <w:smallCaps w:val="false"/>
          <w:sz w:val="20"/>
        </w:rPr>
        <w:t xml:space="preserve"> and any refinancing, extension or renewal thereof or of any Debt under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in each case, to the extent the principal amount thereof is not increased (including extensions, renewals or replacements of guarantees in respect of such Debt as so refinanced, extended or renewed);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Debt of a Subsidiary owed to the Parent or another Subsidiary; and (ii) Guarantees by a Subsidiary of Debt of the Parent or another Subsidiary to the extent this Agreement does not prohibit the Parent’s or such other Subsidiary’s incurrence of such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Debt incurred as an account party in respect of any trade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deferred compensation owed to employees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constituting Debt, obligations with respect to deferred compensation, retiree healthcare medical benefits or other similar employment arrangements incurred in connection with acquisitions or dispositions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extent constituting Debt, obligations incurred in respect of cash management services, netting services, overdraft protection and similar arrangements and hedging transactions with a term not exceeding two years, in each case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Debt constituting reimbursement obligations with respect to letters of credit issued in respect of workers’ compensation claims, health, disability or other employee benefits or property, casualty or liability insurance or self-insurance or other reimbursement-type obligations relating to workers’ compensation claims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obligations in respect of performance and surety, stay, customs, appeal and performance bonds, performance and completion guarantees and similar instruments or obligations in respect of letters of credit in respect thereof, in each case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Debt that has maturities and other terms, and is subordinated to the Obligations in a manner, satisfactory to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Debt arising under capital leases in an aggregate principal amount not to exceed $50,000,000 outstanding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unsecured Debt under the Existing JPM Credit Agreement, and any extensions, renewals, refinancing or replacements thereof so long as no Subsidiaries will be added as borrowers or guarantors in respect of such Debt in connection with any such extension, renewal, refinancing or replacement unless such Subsidiaries also are Additional Guarantors hereunder in accordance with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Debt of any Subsidiary incurred to finance the acquisition, construction, repair, replacement, lease or improvement of any fixed or capital assets and any Debt assumed in connection with the acquisition of any such assets or secured by a Lien on any such assets prior to the acquisition thereof, and amendments, modifications, extensions, refinancings, renewals and replacements of any such Debt;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Debt is initially incurred prior to or within 270 days after such acquisition or the completion of such construction, repair, replacement, lease or improvement and (ii) the aggregate outstanding principal amount of Debt permitted by this clause (m) shall not exceed $50,000,000 at any time outstanding;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other Debt in an aggregate principal amount not to exceed the greater of (i) $500,000,000 and (ii) 11.5% of the Parent’s Consolidated Total Assets as shown on the then most recent consolidated financial statements of the Parent delivered to the Administrative Agent pursuant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(or, prior to such initial delivery pursuant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outstanding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6.06        </w:t>
      </w:r>
      <w:r>
        <w:rPr>
          <w:rFonts w:ascii="Times New Roman;Times;Serif" w:hAnsi="Times New Roman;Times;Serif"/>
          <w:b w:val="false"/>
          <w:i w:val="false"/>
          <w:caps w:val="false"/>
          <w:smallCaps w:val="false"/>
          <w:sz w:val="20"/>
          <w:u w:val="single"/>
        </w:rPr>
        <w:t>OFAC and Anti-Corruption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Parent shall not, and shall ensure that none of the Borrower or its other controlled affiliated companies will, directly or, to the Parent’s Knowledge, indirectly use the proceeds of Credit Events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furtherance of an offer, payment, promise to pay, or authorization of the payment or giving of money, or anything else of value, to any Person in violation of any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fund or finance any activities, business or transaction of or with any Designated Person or in any Sanctioned Country, in either case, to the extent such activities, business or transaction would violate Sanctions (assuming, for purposes of this covenant only, that the Borrower were a Domestic Subsidiary for purposes of determining its compliance with Sanctions);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any other manner that will result in liability to the Administrative Agent or any Lender under any applicable Sanctions or a breach by the Administrative Agent or any Lenders of any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clause (a) of this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 xml:space="preserve"> will not apply to any party hereto to which (x) the Blocking Law applies, if and to the extent that such representations are or would be unenforceable by or in respect of that party pursuant to, or would otherwise result in a breach and/or violation of, any provision of the Blocking Law or (y) the UKPTIL applies, if and to the extent that such representations are or would be unenforceable by or in respect of that party pursuant to, or would otherwise result in a breach and/or violation of any provision of, the Blocking Law or the UKPTIL,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Parent shall not, and shall ensure that none of the Borrower or its other controlled affiliated companies will, use funds or assets obtained directly or, to the Parent’s Knowledge, indirectly from transactions with or from (i) Designated Persons or (ii) any Sanctioned Country, in either case, in violation of Sanctions (assuming, for purposes of this covenant only, that the Borrower were a Domestic Subsidiary for purposes of determining its compliance with Sanctions), to pay or repay any amount owing to the Administrative Agent or any Lender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Parent shall, and shall ensure that the Borrower and each of its other controlled affiliated companies 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conduct its business in compliance with Anti-Corruption Laws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maintain policies and procedures designed to promote and achieve compliance in all material respects with Anti-Corruption Laws;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have reasonable controls and safeguards in place designed to prevent any proceeds of any Credit Event hereunder from being used contrary to the representations and undertakings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6.07        </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Parent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Parent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one or more of the following events (each,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fail to pay within two (2) Business Days of the date due any principal of any Loan; or the Borrower shall fail to pay within five days of the date due any interest on any Loan, any fee or any other amount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Loan Party shall fail to observe or perform any applicable covenant contained in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or any of </w:t>
      </w:r>
      <w:r>
        <w:rPr>
          <w:rFonts w:ascii="Times New Roman;Times;Serif" w:hAnsi="Times New Roman;Times;Serif"/>
          <w:b w:val="false"/>
          <w:i w:val="false"/>
          <w:caps w:val="false"/>
          <w:smallCaps w:val="false"/>
          <w:sz w:val="20"/>
          <w:u w:val="single"/>
        </w:rPr>
        <w:t>Sections 6.01</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6.07</w:t>
      </w:r>
      <w:r>
        <w:rPr>
          <w:rFonts w:ascii="Times New Roman;Times;Serif" w:hAnsi="Times New Roman;Times;Serif"/>
          <w:b w:val="false"/>
          <w:i w:val="false"/>
          <w:caps w:val="false"/>
          <w:smallCaps w:val="false"/>
          <w:sz w:val="20"/>
        </w:rPr>
        <w:t>, inclusive;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Loan Party shall fail to observe or perform any other covenant or agreement contained in this Agreement for 30 days after the earlier of (i) the date on which written notice thereof has been given to the Parent by the Administrative Agent at the request of any Lender or (ii) if the Parent fails to promptly notify the Administrative Agent and the Lenders of such failure as required by </w:t>
      </w:r>
      <w:r>
        <w:rPr>
          <w:rFonts w:ascii="Times New Roman;Times;Serif" w:hAnsi="Times New Roman;Times;Serif"/>
          <w:b w:val="false"/>
          <w:i w:val="false"/>
          <w:caps w:val="false"/>
          <w:smallCaps w:val="false"/>
          <w:sz w:val="20"/>
          <w:u w:val="single"/>
        </w:rPr>
        <w:t>Section 5.01(d)</w:t>
      </w:r>
      <w:r>
        <w:rPr>
          <w:rFonts w:ascii="Times New Roman;Times;Serif" w:hAnsi="Times New Roman;Times;Serif"/>
          <w:b w:val="false"/>
          <w:i w:val="false"/>
          <w:caps w:val="false"/>
          <w:smallCaps w:val="false"/>
          <w:sz w:val="20"/>
        </w:rPr>
        <w:t>, the date on which a Senior Financial Officer had actual knowledge of such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representation, warranty, certification or statement made by any of the Loan Parties in this Agreement or in any certificate, financial statement or other document delivered pursuant to this Agreement shall prove to have been incorrect in any material respect when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Parent or any Subsidiary (i) fails to make any payment of Material Financial Obligations when due (whether by scheduled maturity, required prepayment, acceleration, demand or otherwise, but after giving effect to any applicable grace or cure period); or (ii) fails to perform or observe any other condition or covenant, or any other event shall occur or condition exist, under one or more agreements or instruments relating to Material Financial Obligations, if the effect of such failure, event or condition is to cause (or require), or to permit the holder or holders of such Material Financial Obligations (or the beneficiary or beneficiaries of such Material Financial Obligations (or a trustee or agent on behalf of such holder or holders or beneficiary or beneficiaries)) to cause (or require), such Material Financial Obligations to become due and payable (or to be purchased, repurchased, defeased or cash collateralized) prior to the stated maturity thereof; provided that any such failure relating to a Material Financial Obligation that was the Debt of a Person acquired by the Parent or any of its Subsidiaries and which was assumed by the Parent or such Subsidiary as part of such acquisition shall not constitute an Event of Default or Default pursuant to this clause (e) so long as such Material Financial Obligation is repaid in full or such failure is cured within 30 days of such acquisition. Notwithstanding the foregoing, none of the following events shall constitute an Event of Default under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unless such event results in the acceleration of Material Financial Obligations: (i) any secured Debt becoming due as a result of the voluntary sale or transfer of the property or assets securing such Debt or a casualty, condemnation or similar event, (ii) any change of control offer made within 60 days after an acquisition with respect to, and effectuated pursuant to, Debt of an acquired business, (iii) any default under Debt of an acquired business if such default is cured, or such Debt is repaid, within 60 days after the acquisition of such business so long as no other creditor accelerates or commences any kind of enforcement action in respect of such Debt, (iv) mandatory prepayment requirements arising from the receipt of net cash proceeds from debt, dispositions (including casualty losses, governmental takings and other involuntary dispositions), equity issues or excess cash flow, (v) prepayments required by the terms of Debt as a result of customary provisions in respect of illegality, replacement of lenders and gross-up provisions for Taxes, increased costs, capital adequacy and other similar customary requirements and (vi) any voluntary prepayment, redemption or other satisfaction of Debt that becomes mandatory in accordance with the terms of such Debt solely as the result of the Parent or any Subsidiary delivering a prepayment, redemption or similar notice with respect to such prepayment, redemption or other satisfaction;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Parent or any Material Subsidiary shall commence a voluntary case or other proceeding seeking liquidation, examinership, reorganization or other relief (including, in the case of any Luxembourg Person, any Luxembourg Relief) with respect to itself, its assets or its debts under any bankruptcy, insolvency or other similar law now or hereafter in effect or seeking the appointment of a trustee, receiver, liquidator, administrator, custodian, examiner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commence or consent to a proceeding for approval of a plan of arrangement with respect to its debts or shall fail generally to pay its debts as they become due or shall take any corporate action to authorize any of the foregoing; or any of the shareholders of a Material Subsidiary shall take any action to initiate any of the foregoing with respect to such Material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 involuntary case or other proceeding shall be commenced against the Parent or any Material Subsidiary seeking liquidation, examinership, reorganization or other relief (including, in the case of any Luxembourg Person, any Luxembourg Relief) with respect to it, its assets or its debts under any bankruptcy, insolvency or other similar law now or hereafter in effect or seeking the appointment of a trustee, receiver, liquidator, administrator, custodian, examiner or other similar official of it or any substantial part of its property, or any of the Parent’s shareholders shall take any action to initiate a proceeding of the type described in clause (f) above with respect to the Parent, and such involuntary case or other proceeding shall remain undismissed and unstayed for a period of 60 days; or an order for relief shall be entered against the Parent or any Material Subsidiary under the federal bankruptcy laws or similar bankruptcy or insolvency laws of any other applicable jurisdiction as now or hereafter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Parent or any ERISA Affiliate shall fail to pay when due an amount which could reasonably be expected to have a Material Adverse Effect, which it shall have become liable to pay to the PBGC or to a Plan under Title IV of ERISA; or the Parent or an ERISA Affiliate shall file a distress termination notice with the PBGC and the amount of the Unfunded Vested Liabilities under that filing could reasonably be expected to have a Material Adverse Effect; or the PBGC shall institute judicial proceedings under Title IV of ERISA to terminate or to cause a trustee to be appointed to administer any such Plan or Plans which have Unfunded Vested Liabilities which could reasonably be expected to have a Material Adverse Effect; or a judicial proceeding shall be instituted by a fiduciary of any such Plan or Plans to enforce Section 515 of ERISA, the aggregate amount of delinquent contributions claimed to be owed pursuant to such Section 515 in such proceeding which could reasonably be expected to have a Material Adverse Effect, and such proceeding shall not have been dismissed within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judgment or order for the payment of money in excess of a Dollar Amount of $100,000,000 shall be rendered against the Borrower or any of its Subsidiaries and such judgment or order is not within 60 days of the entry thereof bonded, discharged or stayed; provided, that any such judgment shall not be included in the calculation of the aggregate amount of judgments under this clause (i) if and for so long as (A) the amount of such judgment is covered by a valid and binding policy of insurance between the defendant and the insurer covering payment thereof and (B) such insurer, which shall be rated at least “A” by A.M. Best Company, has been notified of, and has not disputed the claim made for payment of, the amount of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Person or two or more Persons acting in concert shall have acquired beneficial ownership (within the meaning of Rule 13d-3 of the SEC under the Securities Exchange Act of 1934) of 30% or more of the outstanding shares of voting stock of the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a majority of the members of the board of directors of the Parent ceases to be individuals who (i) were members of such board of directors as of the Effective Date or (ii) were nominated or appointed to be members of such board by a majority of the members of such board who, at the time of such nomination or appointment, were individuals described in the foregoing clause (i) or this clause (ii). Notwithstanding the foregoing, if a majority of the members of the board of directors of the Parent cease to be individuals described in clauses (i) and (ii) above, it shall not constitute an Event of Default under this </w:t>
      </w:r>
      <w:r>
        <w:rPr>
          <w:rFonts w:ascii="Times New Roman;Times;Serif" w:hAnsi="Times New Roman;Times;Serif"/>
          <w:b w:val="false"/>
          <w:i w:val="false"/>
          <w:caps w:val="false"/>
          <w:smallCaps w:val="false"/>
          <w:sz w:val="20"/>
          <w:u w:val="single"/>
        </w:rPr>
        <w:t>clause (k)</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if a majority of the Parent’s board of directors (comprised of the individuals described in clauses (i) and (ii)) approves such changes;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except as otherwise expressly permitted under the Loan Documents (i) this Agreement, the Notes or any other document executed in connection herewith, at any time after its execution and delivery, ceases to be in full force and effect against any applicable Loan Party; (ii) any Loan Party or any other Person acting on behalf of any Loan Party contests in any manner the validity or enforceability of any such document against any applicable Loan Party; or (iii) any Loan Party or any other Person acting on behalf of any Loan Party denies that it has any or further liability or obligation under any such document, or purports to revoke, terminate or rescind any such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and in every such event (other than an event with respect to the Parent or the Borrower described in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and at any time thereafter during the continuance of such event, the Administrative Agent may with the consent of the Required Lenders, and shall at the request of the Required Lenders, by notice to the Borrower, take any or all of the following actions, at the same or different times: (i) terminate the Term Loan Commitments, and thereupon the Term Loan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Loan Parties; and in case of any event with respect to the Parent or the Borrower described in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 the Term Loan Commitments shall automatically terminate and the principal of the Loans then outstanding, together with accrued interest thereon and all fees and other Obligations accrued hereunder and under the other Loan Documents, shall automatically become due and payable, without presentment, demand, protest or other notice of any kind, all of which are hereby waived by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8.01        </w:t>
      </w:r>
      <w:r>
        <w:rPr>
          <w:rFonts w:ascii="Times New Roman;Times;Serif" w:hAnsi="Times New Roman;Times;Serif"/>
          <w:b w:val="false"/>
          <w:i w:val="false"/>
          <w:caps w:val="false"/>
          <w:smallCaps w:val="false"/>
          <w:sz w:val="20"/>
          <w:u w:val="single"/>
        </w:rPr>
        <w:t>Authorization and 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hereby irrevocably appoints the entity named as Administrative Agent in the heading of this Agreement and its successors and assigns to serve as the administrative agent under the Loan Documents and each Lender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the Administrative Agent shall not be required to take any action that (i) the Administrative Agent reasonably and in good faith believes exposes it to liability unless the Administrative Agent receives an indemnification and is exculpated in a manner satisfactory to it from the Lenders with respect to such action or (ii) is contrary to this Agreement or any other Loan Document or applicable law, including any action that may be in violation of the automatic stay under any requirement of law relating to bankruptcy, insolvency, examinership or reorganization or relief of debtors or that may effect a forfeiture, modification or termination of property of a Defaulting Lender in violation of any requirement of law relating to bankruptcy, insolvency, examinership or reorganization or relief of debtors;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Parent,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performing its functions and duties hereunder and under the other Loan Documents, the Administrative Agent is acting solely on behalf of the Lenders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Loan Parties. Without limiting the generality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does not assume and shall not be deemed to have assumed any obligation or duty or any other relationship as the agent, fiduciary or trustee of or for any Lender or any other holder of Obligations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that English law is applicable to the duties of the Administrative Agent under any of the Loan Documents, Section 1 of the Trustee Act 2000 of the United Kingdom shall not apply to the duties of the Administrative Agent in relation to the trusts constituted by that Loan Document; where there are inconsistencies between the Trustee Act 1925 or the Trustee Act 2000 of the United Kingdom and the provisions of this Agreement or such Loan Document, the provisions of this Agreement shall, to the extent permitted by applicable law, prevail and, in the case of any inconsistency with the Trustee Act 2000 of the United Kingdom, the provisions of this Agreement shall constitute a restriction or exclusion for the purposes of that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nothing in this Agreement or any Loan Document shall require the Administrative Agent to account to any Lender for any sum or the profit element of any sum received by the Administrative Agent for its own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any Syndication Agent, any 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case of the pendency of any proceeding with respect to any Loan Party under any federal, state or foreign bankruptcy, insolvency, examinership, receivership or similar law now or hereafter in effect, the Administrative Agent (irrespective of whether the principal of any Loan or any Obligation shall then be due and payable as herein expressed or by declaration or otherwise and irrespective of whether the Administrative Agent shall have made any demand on any Loan Party) shall be entitled and empowered (but not obligated) by intervention in such proceeding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under </w:t>
      </w:r>
      <w:r>
        <w:rPr>
          <w:rFonts w:ascii="Times New Roman;Times;Serif" w:hAnsi="Times New Roman;Times;Serif"/>
          <w:b w:val="false"/>
          <w:i w:val="false"/>
          <w:caps w:val="false"/>
          <w:smallCaps w:val="false"/>
          <w:sz w:val="20"/>
          <w:u w:val="single"/>
        </w:rPr>
        <w:t>Sections 2.09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9.03</w:t>
      </w:r>
      <w:r>
        <w:rPr>
          <w:rFonts w:ascii="Times New Roman;Times;Serif" w:hAnsi="Times New Roman;Times;Serif"/>
          <w:b w:val="false"/>
          <w:i w:val="false"/>
          <w:caps w:val="false"/>
          <w:smallCaps w:val="false"/>
          <w:sz w:val="20"/>
        </w:rPr>
        <w:t>) allowed in such judicial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collect and receive any monies or other property payable or deliverable on any such claims and to distribute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any custodian, receiver, assignee, trustee, liquidator, examiner, sequestrator or other similar official in any such proceeding is hereby authorized by each Lender and each other holder of Obligations to make such payments to the Administrative Agent and, in the event that the Administrative Agent shall consent to the making of such payments directly to the Lenders or the other holders of Obligations, to pay to the Administrative Agent any amount due to it, in its capacity as the Administrative Agent, under the Loan Documents (including under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are solely for the benefit of the Administrative Agent, the Lenders, and, except solely to the extent of the Borrower’s rights to consent pursuant to and subject to the conditions set forth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as otherwise provided in </w:t>
      </w:r>
      <w:r>
        <w:rPr>
          <w:rFonts w:ascii="Times New Roman;Times;Serif" w:hAnsi="Times New Roman;Times;Serif"/>
          <w:b w:val="false"/>
          <w:i w:val="false"/>
          <w:caps w:val="false"/>
          <w:smallCaps w:val="false"/>
          <w:sz w:val="20"/>
          <w:u w:val="single"/>
        </w:rPr>
        <w:t>Section 8.01(d)</w:t>
      </w:r>
      <w:r>
        <w:rPr>
          <w:rFonts w:ascii="Times New Roman;Times;Serif" w:hAnsi="Times New Roman;Times;Serif"/>
          <w:b w:val="false"/>
          <w:i w:val="false"/>
          <w:caps w:val="false"/>
          <w:smallCaps w:val="false"/>
          <w:sz w:val="20"/>
        </w:rPr>
        <w:t xml:space="preserve">, none of the Borrower or any Subsidiary, or any of their respective Affiliates, shall have any rights as a third party beneficiary under any such provisions. Each party that is a holder of Obligations, whether or not a party hereto, will be deemed, by its acceptance of the benefits of the guarantees of the Obligations provided under the Loan Documents, to have agreed to the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8.02        </w:t>
      </w:r>
      <w:r>
        <w:rPr>
          <w:rFonts w:ascii="Times New Roman;Times;Serif" w:hAnsi="Times New Roman;Times;Serif"/>
          <w:b w:val="false"/>
          <w:i w:val="false"/>
          <w:caps w:val="false"/>
          <w:smallCaps w:val="false"/>
          <w:sz w:val="20"/>
          <w:u w:val="single"/>
        </w:rPr>
        <w:t>Administrative Agent’s Reliance, Indemnification,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Administrative Agent nor any of its Related Parties shall be (i) liable for any action taken or omitted to be taken by it under or in connection with this Agreement or the other Loan Documents (x) with the consent of or at the request of the Required Lenders (or such other number or percentage of the Lenders as shall be necessary, or as the Administrative Agent shall reasonably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Administrative Agent shall be deemed not to have knowledge of any Default or Event of Default unless and until written notice thereof (stating that it is a “notice of Default” or a “notice of an Event of Default”) is given to the Administrative Agent by the Borrower or a Lender.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or (v) the satisfaction of any condition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Without limiting the foregoing, the Administrative Agent (i) may treat the payee of any promissory note as its holder until such promissory note has been assigned in accordance with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(ii) may rely on the Register to the extent set forth in </w:t>
      </w:r>
      <w:r>
        <w:rPr>
          <w:rFonts w:ascii="Times New Roman;Times;Serif" w:hAnsi="Times New Roman;Times;Serif"/>
          <w:b w:val="false"/>
          <w:i w:val="false"/>
          <w:caps w:val="false"/>
          <w:smallCaps w:val="false"/>
          <w:sz w:val="20"/>
          <w:u w:val="single"/>
        </w:rPr>
        <w:t>Section 9.04(b)</w:t>
      </w:r>
      <w:r>
        <w:rPr>
          <w:rFonts w:ascii="Times New Roman;Times;Serif" w:hAnsi="Times New Roman;Times;Serif"/>
          <w:b w:val="false"/>
          <w:i w:val="false"/>
          <w:caps w:val="false"/>
          <w:smallCaps w:val="false"/>
          <w:sz w:val="20"/>
        </w:rPr>
        <w:t>,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and shall not be responsible to any Lender for any statements, warranties or representations made by or on behalf of any Loan Party in connection with this Agreement or any other Loan Document, (v) in determining compliance with any condition hereunder to the making of a Loan that by its terms must be fulfilled to the satisfaction of a Lender, may presume that such condition is satisfactory to such Lender unless the Administrative Agent shall have received notice to the contrary from such Lender sufficiently in advance of the making of such Loan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8.03        </w:t>
      </w:r>
      <w:r>
        <w:rPr>
          <w:rFonts w:ascii="Times New Roman;Times;Serif" w:hAnsi="Times New Roman;Times;Serif"/>
          <w:b w:val="false"/>
          <w:i w:val="false"/>
          <w:caps w:val="false"/>
          <w:smallCaps w:val="false"/>
          <w:sz w:val="20"/>
          <w:u w:val="single"/>
        </w:rPr>
        <w:t>Posting of Communications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that the Administrative Agent may, but shall not be obligated to, make any Communications available to the Lenders by posting the Communications on IntraLinks™, Debticate, SyndTrak, ClearPar or any other similar electronic platform chosen by the Administrative Agent reasonably and in good faith to be its electronic transmission system and used by it for such purpose with respect to its credit facilities generally (the “</w:t>
      </w:r>
      <w:r>
        <w:rPr>
          <w:rFonts w:ascii="Times New Roman;Times;Serif" w:hAnsi="Times New Roman;Times;Serif"/>
          <w:b w:val="false"/>
          <w:i w:val="false"/>
          <w:caps w:val="false"/>
          <w:smallCaps w:val="false"/>
          <w:sz w:val="20"/>
          <w:u w:val="single"/>
        </w:rPr>
        <w:t>Approved Electronic Platform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and the Borrower hereby approves distribution of the Communications through the Approved Electronic Platform and understands and assumes the risks of such distribution, other than risks arising from the gross negligence, bad faith or willful misconduct of any of the foregoing parties (as determined by a court of competent jurisdiction by a final and nonappealable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DOCUMENTATION AGENT, ANY SYNDICATION AGENT OR ANY OF THEIR RESPECTIVE RELATED PARTIES (COLLECTIVELY, “</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xml:space="preserve">”) HAVE ANY LIABILITY TO ANY LOAN PARTY, ANY LENDER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 OTHER THAN DIRECT ACTUAL DAMAGES ARISING FROM </w:t>
      </w:r>
      <w:r>
        <w:rPr>
          <w:rFonts w:ascii="Times New Roman;Times;Serif" w:hAnsi="Times New Roman;Times;Serif"/>
          <w:b w:val="false"/>
          <w:i w:val="false"/>
          <w:caps/>
          <w:sz w:val="20"/>
        </w:rPr>
        <w:t>THE gross negligence, bad faith or willful misconduct of any applicable party (as determined by a court of competent jurisdiction by a final and nonappealable judgment)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Lender agrees that notice to it (as provided in the next sentence) specifying that Communications have been posted to the Approved Electronic Platform shall constitute effective delivery of the Communications to such Lender for purposes of the Loan Documents. Each Lender agrees (i) 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Nothing herein shall prejudice the right of the Administrative Agent or any Lender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8.04        </w:t>
      </w:r>
      <w:r>
        <w:rPr>
          <w:rFonts w:ascii="Times New Roman;Times;Serif" w:hAnsi="Times New Roman;Times;Serif"/>
          <w:b w:val="false"/>
          <w:i w:val="false"/>
          <w:caps w:val="false"/>
          <w:smallCaps w:val="false"/>
          <w:sz w:val="20"/>
          <w:u w:val="single"/>
        </w:rPr>
        <w:t>The Administrative Agent Individually</w:t>
      </w:r>
      <w:r>
        <w:rPr>
          <w:rFonts w:ascii="Times New Roman;Times;Serif" w:hAnsi="Times New Roman;Times;Serif"/>
          <w:b w:val="false"/>
          <w:i w:val="false"/>
          <w:caps w:val="false"/>
          <w:smallCaps w:val="false"/>
          <w:sz w:val="20"/>
        </w:rPr>
        <w:t>. With respect to its Term Loan Commitment and Loans, the Person serving as the Administrative Agent shall have and may exercise the same rights and powers hereunder and is subject to the same obligations and liabilities as and to the extent set forth herein for any other Lender. The terms “Lenders”, “Required Lenders” and any similar terms shall, unless the context clearly otherwise indicates, include the Administrative Agent in its individual capacity as a Lender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Parent, any Subsidiary or any Affiliate of any of the foregoing as if such Person was not acting as the Administrative Agent and without any duty to account therefor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8.05        </w:t>
      </w:r>
      <w:r>
        <w:rPr>
          <w:rFonts w:ascii="Times New Roman;Times;Serif" w:hAnsi="Times New Roman;Times;Serif"/>
          <w:b w:val="false"/>
          <w:i w:val="false"/>
          <w:caps w:val="false"/>
          <w:smallCaps w:val="false"/>
          <w:sz w:val="20"/>
          <w:u w:val="single"/>
        </w:rPr>
        <w:t>Successor 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may resign at any time by giving 30 days’ prior written notice thereof to the Lenders and the Borrower, whether or not a successor Administrative Agent has been appointed. Upon any such resignation, the Required Lenders shall have the right, in consultation with (and, so long as no Default shall then exist, the consent of, such consent not to be unreasonably withheld) the Borrower,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appoint a successor Administrative Agent, which shall be a bank with an office in New York, New York or an Affiliate of any such bank. In both cases,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and the Borrower,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Following the effectiveness of the Administrative Agent’s resignation from its capacity as such, the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8.06        </w:t>
      </w:r>
      <w:r>
        <w:rPr>
          <w:rFonts w:ascii="Times New Roman;Times;Serif" w:hAnsi="Times New Roman;Times;Serif"/>
          <w:b w:val="false"/>
          <w:i w:val="false"/>
          <w:caps w:val="false"/>
          <w:smallCaps w:val="false"/>
          <w:sz w:val="20"/>
          <w:u w:val="single"/>
        </w:rPr>
        <w:t>Acknowledgement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in each case in the ordinary course of business, and not for the purpose of investing in the general performance or operations of the Loan Parties, or for the purpose of purchasing, acquiring or holding any other type of financial instrument such as a security (and each Lender agrees not to assert a claim in contravention of the foregoing, such as a claim under the federal or state securities law), (iii) it has, independently and without reliance upon the Administrative Agent, any Arranger, any Syndication Agent, any Documentation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Arranger, any Syndication Agent, any Documentation Agent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xml:space="preserve">”) were erroneously transmitted to such Lender (whether or not known to such Lender), and demands the return of such Payment (or a portion thereof), such Lender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Times;Serif" w:hAnsi="Times New Roman;Times;Serif"/>
          <w:b w:val="false"/>
          <w:i w:val="false"/>
          <w:caps w:val="false"/>
          <w:smallCaps w:val="false"/>
          <w:sz w:val="20"/>
          <w:u w:val="single"/>
        </w:rPr>
        <w:t>Section 8.06(c)</w:t>
      </w:r>
      <w:r>
        <w:rPr>
          <w:rFonts w:ascii="Times New Roman;Times;Serif" w:hAnsi="Times New Roman;Times;Serif"/>
          <w:b w:val="false"/>
          <w:i w:val="false"/>
          <w:caps w:val="false"/>
          <w:smallCaps w:val="false"/>
          <w:sz w:val="20"/>
        </w:rPr>
        <w:t>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Times;Serif" w:hAnsi="Times New Roman;Times;Serif"/>
          <w:b w:val="false"/>
          <w:i w:val="false"/>
          <w:caps w:val="false"/>
          <w:smallCaps w:val="false"/>
          <w:sz w:val="20"/>
          <w:u w:val="single"/>
        </w:rPr>
        <w:t>Payment Notice</w:t>
      </w:r>
      <w:r>
        <w:rPr>
          <w:rFonts w:ascii="Times New Roman;Times;Serif" w:hAnsi="Times New Roman;Times;Serif"/>
          <w:b w:val="false"/>
          <w:i w:val="false"/>
          <w:caps w:val="false"/>
          <w:smallCaps w:val="false"/>
          <w:sz w:val="20"/>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satisfying an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Each party’s obligations under this </w:t>
      </w:r>
      <w:r>
        <w:rPr>
          <w:rFonts w:ascii="Times New Roman;Times;Serif" w:hAnsi="Times New Roman;Times;Serif"/>
          <w:b w:val="false"/>
          <w:i w:val="false"/>
          <w:caps w:val="false"/>
          <w:smallCaps w:val="false"/>
          <w:sz w:val="20"/>
          <w:u w:val="single"/>
        </w:rPr>
        <w:t>Section 8.06(c)</w:t>
      </w:r>
      <w:r>
        <w:rPr>
          <w:rFonts w:ascii="Times New Roman;Times;Serif" w:hAnsi="Times New Roman;Times;Serif"/>
          <w:b w:val="false"/>
          <w:i w:val="false"/>
          <w:caps w:val="false"/>
          <w:smallCaps w:val="false"/>
          <w:sz w:val="20"/>
        </w:rPr>
        <w:t> shall survive the resignation or replacement of the Administrative Agent or any transfer of rights or obligations by, or the replacement of, a Lender, the termination of the Term Loan Commitments or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8.07        </w:t>
      </w:r>
      <w:r>
        <w:rPr>
          <w:rFonts w:ascii="Times New Roman;Times;Serif" w:hAnsi="Times New Roman;Times;Serif"/>
          <w:b w:val="false"/>
          <w:i w:val="false"/>
          <w:caps w:val="false"/>
          <w:smallCaps w:val="false"/>
          <w:sz w:val="20"/>
          <w:u w:val="single"/>
        </w:rPr>
        <w:t>Certain ERISA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the Plan Asset Regulations) of one or more Benefit Plans in connection with the Loans or the Term Loan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Term Loan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Term Loan Commitments and this Agreement, (C) the entrance into, participation in, administration of and performance of the Loans, the Term Loan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Term Loan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Arrangers, the Syndication Agent, the Documentation Agents and their respective Affiliates, and not, for the avoidance of doubt, to or for the benefit of the Borrower or any other Loan Party, that none of the Administrative Agent, the Arrangers, the Syndication Agent, the Documentation Agents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Term Loan Commitments, this Agreement and any other Loan Documents, (ii) may recognize a gain if it extended the Loans or the Term Loan Commitments for an amount less than the amount being paid for an interest in the Loans or the Term Loan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fees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8.08        </w:t>
      </w:r>
      <w:r>
        <w:rPr>
          <w:rFonts w:ascii="Times New Roman;Times;Serif" w:hAnsi="Times New Roman;Times;Serif"/>
          <w:b w:val="false"/>
          <w:i w:val="false"/>
          <w:caps w:val="false"/>
          <w:smallCaps w:val="false"/>
          <w:sz w:val="20"/>
          <w:u w:val="single"/>
        </w:rPr>
        <w:t>Borrower Communications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and the Lenders agree that the Borrower may, but shall not be obligated to, make any Borrower Communications to the Administrative Agent through an electronic platform chosen by the Administrative Agent to be its electronic transmission system (the “</w:t>
      </w:r>
      <w:r>
        <w:rPr>
          <w:rFonts w:ascii="Times New Roman;Times;Serif" w:hAnsi="Times New Roman;Times;Serif"/>
          <w:b w:val="false"/>
          <w:i w:val="false"/>
          <w:caps w:val="false"/>
          <w:smallCaps w:val="false"/>
          <w:sz w:val="20"/>
          <w:u w:val="single"/>
        </w:rPr>
        <w:t>Approved Borrower Portal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of the Lenders and the Borrower acknowledge and agree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and the Borrower hereby approve distribution of Borrower Communications through the Approved Borrower Portal and understands and assumes the risks of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APPROVED BORROWER PORTAL IS PROVIDED “AS IS” AND “AS AVAILABLE”. THE APPLICABLE PARTIES DO NOT WARRANT THE ACCURACY OR COMPLETENESS OF 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APPLICABLE PARTIES HAVE ANY LIABILITY TO ANY LOAN PARTY, ANY LENDER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Communications</w:t>
      </w:r>
      <w:r>
        <w:rPr>
          <w:rFonts w:ascii="Times New Roman;Times;Serif" w:hAnsi="Times New Roman;Times;Serif"/>
          <w:b w:val="false"/>
          <w:i w:val="false"/>
          <w:caps w:val="false"/>
          <w:smallCaps w:val="false"/>
          <w:sz w:val="20"/>
        </w:rPr>
        <w:t>” means, collectively, any Borrowing Request, Interest Election Request, notice of prepayment or other notice, demand, communication, information, document or other material provided by or on behalf of any Loan Party pursuant to any Loan Document or the transactions contemplated therein which is distributed by the Borrower to the Administrative Agent through an Approved Borrower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Lenders and the Borrower agree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Nothing herein shall prejudice the right of the Borrower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in the case of notices and other communications expressly permitted to be given by telephone or other means permitted hereunder (and subject to paragraph (b) below), all notices and other communications provided for herein shall be in writing and shall be delivered by hand or overnight courier service or mailed by certified or registered mail,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any Loan Party, to Pentair Finance S.à r.l. (in care of Pentair, Inc.), 5500 Wayzata Boulevard, Suite 900, Golden Valley, MN 55416-1261, Attention: Bob P. Fishman, Interim Executive Vice President and Chief Financial Officer and Gina Passage, Senior Director and Treasurer, with a copy to, in the case of any notice of Default or Event of Default, Pentair Finance S.à r.l. (in care of Pentair, Inc.), 5500 Wayzata Boulevard, Suite 900, Golden Valley, MN 55416-1261, Attention: Lance Bonner, Executive Vice President, General Counsel and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Administrative Agent from the Borrower, to the address or addresses separately provided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to the Administrative Agent from the Lenders, to U.S. Bank National Association, as Administrative Agent, 200 S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Minneapolis, MN 55402, Attention: Agency Services – Loan Capital Markets Shared, Email: </w:t>
      </w:r>
      <w:r>
        <w:rPr>
          <w:rFonts w:ascii="Times New Roman;Times;Serif" w:hAnsi="Times New Roman;Times;Serif"/>
          <w:b w:val="false"/>
          <w:i w:val="false"/>
          <w:caps w:val="false"/>
          <w:smallCaps w:val="false"/>
          <w:sz w:val="20"/>
          <w:u w:val="single"/>
        </w:rPr>
        <w:t>agencyserviceslcmshared@usbank.com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case of a notification of the DQ List, to U.S. Bank National Association, as Administrative Agent, 200 S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Minneapolis, MN 55402, Attention: Agency Services – Loan Capital Markets Shared, Email: </w:t>
      </w:r>
      <w:r>
        <w:rPr>
          <w:rFonts w:ascii="Times New Roman;Times;Serif" w:hAnsi="Times New Roman;Times;Serif"/>
          <w:b w:val="false"/>
          <w:i w:val="false"/>
          <w:caps w:val="false"/>
          <w:smallCaps w:val="false"/>
          <w:sz w:val="20"/>
          <w:u w:val="single"/>
        </w:rPr>
        <w:t>agencyserviceslcmshared@usbank.com</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to any other Lender, to it at its address (or telecopy number) set forth in its Administrative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or Approved Borrower Portals, to the extent provided in paragraph (b) below, shall be effective as provided in said paragraph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Notices and other communications to the Lenders and the Administrative Agent hereunder may be delivered or furnished by using Approved Electronic Platforms or Approved Borrower Portals (as applicable), in each case, pursuant to procedures approved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to notices pursuant to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approval of such procedures may be limited to particular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party hereto may change its address or telecopy number for notices and other communications hereunder by notice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9.02        </w:t>
      </w:r>
      <w:r>
        <w:rPr>
          <w:rFonts w:ascii="Times New Roman;Times;Serif" w:hAnsi="Times New Roman;Times;Serif"/>
          <w:b w:val="false"/>
          <w:i w:val="false"/>
          <w:caps w:val="false"/>
          <w:smallCaps w:val="false"/>
          <w:sz w:val="20"/>
          <w:u w:val="single"/>
        </w:rPr>
        <w:t>Waivers; 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failure or delay by the Administrative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No waiver of any provision of this Agreement or consent to any departure by a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or any Lender may have had notice or knowledge of such Default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provided in </w:t>
      </w:r>
      <w:r>
        <w:rPr>
          <w:rFonts w:ascii="Times New Roman;Times;Serif" w:hAnsi="Times New Roman;Times;Serif"/>
          <w:b w:val="false"/>
          <w:i w:val="false"/>
          <w:caps w:val="false"/>
          <w:smallCaps w:val="false"/>
          <w:sz w:val="20"/>
          <w:u w:val="single"/>
        </w:rPr>
        <w:t>Section 2.11(b)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xml:space="preserve"> or as provided in </w:t>
      </w:r>
      <w:r>
        <w:rPr>
          <w:rFonts w:ascii="Times New Roman;Times;Serif" w:hAnsi="Times New Roman;Times;Serif"/>
          <w:b w:val="false"/>
          <w:i w:val="false"/>
          <w:caps w:val="false"/>
          <w:smallCaps w:val="false"/>
          <w:sz w:val="20"/>
          <w:u w:val="single"/>
        </w:rPr>
        <w:t>Section 9.02(e)</w:t>
      </w:r>
      <w:r>
        <w:rPr>
          <w:rFonts w:ascii="Times New Roman;Times;Serif" w:hAnsi="Times New Roman;Times;Serif"/>
          <w:b w:val="false"/>
          <w:i w:val="false"/>
          <w:caps w:val="false"/>
          <w:smallCaps w:val="false"/>
          <w:sz w:val="20"/>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agreement shall (i) increase the Term Loan Commitment of any Lender without the written consent of such Lender (provided that an amendment, modification, waiver or consent with respect to any condition precedent, covenant, Event of Default or Default shall not constitute an increase in the Term Loan Commitment of any Lender), (ii) reduce the principal amount of any Loan or reduce the rate of interest thereon (other than waivers or amendments with respect to the application of a default rate of interest pursuant to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xml:space="preserve">), or reduce any fees payable hereunder, without the written consent of each Lender directly and adversely affected thereby (except that any amendment or modification of the financial covenants or ratios in this Agreement (or defined terms used in the financial covenants or ratios in this Agreement) shall not constitute a reduction in the rate of interest or fees for purposes of this clause (ii)), (iii) postpone the scheduled date of payment of the principal amount of any Loan, or any interest thereon, or any fees payable hereunder, or reduce the amount of, waive or excuse any such payment, or postpone the scheduled date of expiration of any Term Loan Commitment, without the written consent of each Lender directly and adversely affected thereby (it being understood that an amendment, modification, waiver or consent with respect to any condition precedent, covenant, Event of Default or Default in each case shall not constitute such a postponement, reduction, waiver or excusal), (iv) change </w:t>
      </w:r>
      <w:r>
        <w:rPr>
          <w:rFonts w:ascii="Times New Roman;Times;Serif" w:hAnsi="Times New Roman;Times;Serif"/>
          <w:b w:val="false"/>
          <w:i w:val="false"/>
          <w:caps w:val="false"/>
          <w:smallCaps w:val="false"/>
          <w:sz w:val="20"/>
          <w:u w:val="single"/>
        </w:rPr>
        <w:t>Section 2.06(d)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in a manner that would alter the ratable reduction of Term Loan Commitments or pro rata sharing of payments required thereby, without the written consent of each Lender directly and adversely affected thereby, (v) change the payment waterfall provisions of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 xml:space="preserve"> without the written consent of each Lender, (vi) waive any condition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in respect of the making of a Term Loan without the written consent of the Required Lenders, (vii)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directly affected thereby or (viii) release the Parent from its obligations under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or limit the liability of any Additional Guarantor under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other than with respect to the release of Additional Guarantors as set forth in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on the date hereof, without the written consent of each Lender;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 such agreement shall amend, modify or otherwise affect the rights or duties of the Administrative Agent hereunder without the prior written consent of the Administrative Agent (it being understood that any change to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shall require the consent of the Administrative Agent). Notwithstanding the foregoing, (A)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and adversely affected by such amendment, waiver or other modification, and (B) as to any amendment, amendment and restatement or other modification otherwise approved in accordance with this Section, it shall not be necessary to obtain the consent or approval of any Lender that, upon giving effect to such amendment, amendment and restatement or other modification, would have no Term Loan Commitment or outstanding Loans, so long as such Lender receives payment in full of the principal of and interest on each Loan made by, and all other amounts owing to, such Lender or accrued for the account of such Lender under this Agreement and the other Loan Documents at the time such amendment, amendment and restatement or other modification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Times;Serif" w:hAnsi="Times New Roman;Times;Serif"/>
          <w:b w:val="false"/>
          <w:i w:val="false"/>
          <w:caps w:val="false"/>
          <w:smallCaps w:val="false"/>
          <w:sz w:val="20"/>
          <w:u w:val="single"/>
        </w:rPr>
        <w:t>Non-Consenting Lender</w:t>
      </w:r>
      <w:r>
        <w:rPr>
          <w:rFonts w:ascii="Times New Roman;Times;Serif" w:hAnsi="Times New Roman;Times;Serif"/>
          <w:b w:val="false"/>
          <w:i w:val="false"/>
          <w:caps w:val="false"/>
          <w:smallCaps w:val="false"/>
          <w:sz w:val="20"/>
        </w:rPr>
        <w:t xml:space="preserve">”), then the Borrower may elect to replace a Non-Consenting Lender as a Lender party to this Agreement, provided that, concurrently with such replacement, (i) another bank or other entity which is reasonably satisfactory to the Borrower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w:t>
      </w:r>
      <w:r>
        <w:rPr>
          <w:rFonts w:ascii="Times New Roman;Times;Serif" w:hAnsi="Times New Roman;Times;Serif"/>
          <w:b w:val="false"/>
          <w:i w:val="false"/>
          <w:caps w:val="false"/>
          <w:smallCaps w:val="false"/>
          <w:sz w:val="20"/>
          <w:u w:val="single"/>
        </w:rPr>
        <w:t>Sections 2.12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2.14</w:t>
      </w:r>
      <w:r>
        <w:rPr>
          <w:rFonts w:ascii="Times New Roman;Times;Serif" w:hAnsi="Times New Roman;Times;Serif"/>
          <w:b w:val="false"/>
          <w:i w:val="false"/>
          <w:caps w:val="false"/>
          <w:smallCaps w:val="false"/>
          <w:sz w:val="20"/>
        </w:rPr>
        <w:t xml:space="preserve">, and (2) an amount, if any, equal to the payment which would have been due to such Lender on the day of such replacement under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had the Loans of such Non-Consenting Lender been prepaid on such date rather than sold to the replacement Lender and (iii) such Non-Consenting Lender shall have received the outstanding principal amount of its Loans. Each party hereto agrees that (1)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(2) the Lender required to make such assignment need not be a party thereto in order for such assignment to be effective and shall be deemed to have consented to and be bound by the terms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this Agreement and any other Loan Document may be amended (or amended and restated) with the written consent of the Required Lenders, the Administrative Agent and the Borrower (x) to add one or more credit facilities to this Agreement and to permit extensions of credit from time to time outstanding thereunder and the accrued interest and fees in respect thereof to share ratably in the benefits of this Agreement and the other Loan Documents with the Term Loans and the accrued interest and fees in respect thereof and (y) to include appropriately the Lenders holding such credit facilities in any determination of the Required Lenders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9.03        </w:t>
      </w:r>
      <w:r>
        <w:rPr>
          <w:rFonts w:ascii="Times New Roman;Times;Serif" w:hAnsi="Times New Roman;Times;Serif"/>
          <w:b w:val="false"/>
          <w:i w:val="false"/>
          <w:caps w:val="false"/>
          <w:smallCaps w:val="false"/>
          <w:sz w:val="20"/>
          <w:u w:val="single"/>
        </w:rPr>
        <w:t>Expenses; Indemnity; Damage Waiver</w:t>
      </w:r>
      <w:r>
        <w:rPr>
          <w:rFonts w:ascii="Times New Roman;Times;Serif" w:hAnsi="Times New Roman;Times;Serif"/>
          <w:b w:val="false"/>
          <w:i w:val="false"/>
          <w:caps w:val="false"/>
          <w:smallCaps w:val="false"/>
          <w:sz w:val="20"/>
        </w:rPr>
        <w:t xml:space="preserve">. (a)  The Borrower shall pay (i) all reasonable, documented and invoiced out-of-pocket expenses incurred by the Administrative Agent and U.S. Bank in its capacity as an Arranger, including the reasonable, documented and invoiced fees, disbursements and other charges of one primary counsel (and one additional local counsel in each applicable jurisdiction) for the Administrative Agent, in connection with the syndication and distribution (including, without limitation, via the internet or through a service such as Intralinks) of the credit facilities provided for herein, the preparation, execution, delivery and administration of this Agreement and the other Loan Documents or any amendments, modifications or waivers of the provisions hereof or thereof (whether or not the transactions contemplated hereby or thereby shall be consummated);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advance of contacting outside counsel of the Administrative Agent regarding matters concerning the administration of this Agreement in respect of which the Administrative Agent will expect to be reimbursed by the Borrower, the Administrative Agent will notify the Borrower of its intent to contact such outside counsel and (ii) all reasonable, documented and invoiced out-of-pocket expenses incurred by the Administrative Agent or any Lender, including the reasonable fees, disbursements and other charges of one primary counsel (and one local counsel in each applicable jurisdiction) for the Administrative Agent, one additional counsel for all the Lenders other than the Administrative Agent and additional counsel as any Lender reasonably determines are necessary to avoid actual or potential conflicts of interest or the availability of different claims or defenses, in connection with the enforcement, collection or protection of its rights in connection with this Agreement and any other Loan Document at any time during a Default, including its rights under this Section, or in connection with the Loans made hereunder, including all such out-of-pocket expenses incurred during any workout, restructuring or negotiations during an Event of Default in respect of such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Loan Party shall indemnify the Administrative Agent, each Arranger and each Lender, and each Related Party of any of the foregoing Persons (each such Person being called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against, and hold each Indemnitee harmless from, any and all losses, claims, damages, liabilities, penalties and related reasonable and documented costs and expenses, including the reasonable fees, charges and disbursements of one primary counsel (and one local counsel in each applicable jurisdiction) for the Indemnitees taken as a whole and additional counsel as any Indemnitee or group of Indemnitees reasonably determines are necessary to avoid actual or potential conflicts of interest or the availability of different claims or defenses (solely to the extent the Borrower is informed in writing of such conflict or different claim or defense in advance of hiring additional counsel), as and when incurred by or asserted against any Indemnitee arising out of, in connection with, or as a result of (i) the execution or delivery of any Loan Document or any agreement or instrument contemplated thereby, or the performance by the parties hereto of their respective obligations thereunder or the consummation of the Transactions or any other transactions contemplated hereby, (ii) any Loan or the use of the proceeds therefrom,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arbitration or proceeding relating to any of the foregoing, whether or not such claim, litigation, investigation, arbitration or proceeding is brought by the Borrower or any other Loan Party or its or their respective equity holders, Affiliates, creditors or any other third Person and whether based on contract, tort or any other theory and regardless of whether any Indemnitee is a party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indemnity shall not, as to any Indemnitee, be available to the extent that such losses, claims, damages, liabilities or related expenses are determined by a court of competent jurisdiction by final and non-appealable judgment to have resulted from (a) the gross negligence, bad faith or willful misconduct of such Indemnitee or any of its Related Indemnified Persons, (b) a dispute among the Indemnitees not arising from an act or omission of the Borrower or any of its Affiliates (other than a dispute involving a claim against an Indemnitee for its acts or omissions in its capacity as an arranger, bookrunner, agent or similar role in respect of the credit facilities evidenced by this Agreement, except, with respect to this clause (b), to the extent such acts or omissions are determined by a court of competent jurisdiction by final and non-appealable judgment to have constituted the gross negligence, bad faith or willful misconduct of such Indemnitee in such capacity) or (c) such Indemnitee’s or any of its Related Indemnified Persons’ material breach of the Loan Documents (as determined pursuant to a claim asserted by the Borrower, whether as a claim, counterclaim or otherwise). This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 xml:space="preserve"> shall not apply with respect to Taxes other than any Taxes that represent losses, claims or damages arising from any non-Tax claim. For purposes of this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Related Indemnified Person</w:t>
      </w:r>
      <w:r>
        <w:rPr>
          <w:rFonts w:ascii="Times New Roman;Times;Serif" w:hAnsi="Times New Roman;Times;Serif"/>
          <w:b w:val="false"/>
          <w:i w:val="false"/>
          <w:caps w:val="false"/>
          <w:smallCaps w:val="false"/>
          <w:sz w:val="20"/>
        </w:rPr>
        <w:t xml:space="preserve">” of an Indemnitee means (1) any controlled Affiliate of such Indemnitee, (2) the respective directors, managers, officers and employees of such Indemnitee and of its controlled Affiliates and (3) the respective agents of such Indemnitee and its controlled Affiliates, in the case of this clause (3), acting at the express instructions of such Indemnitee or such controlled Affiliate;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reference to a controlled affiliate, director, manager, officer or employee in this sentence pertains to a controlled affiliate, director, manager, officer or employee involved in the arrangement, negotiation or syndication of the credit facilities evidenced by this Agreement and/or the consummation of the transactions contemplated by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extent that any Loan Party fails to pay any amount required to be paid by it to the Administrative Agent under paragraph (a) or (b) of this Section, each Lender severally agrees to pay to the Administrative Agent such Lender’s Applicable Percentage (determined as of the time that the applicable unreimbursed expense or indemnity payment is sought) of such unpaid amount (it being understood that such Loan Party’s failure to pay any such amount shall not relieve such Loan Party of any default in the payment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unreimbursed expense or indemnified loss, claim, damage, liability or related expense, as the case may be, was incurred by or asserted against the Administrative Agent in its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permitted by applicable law, no Loan Party shall assert, and each Loan Party hereby waives, any claim against any of the Administrative Agent, each Arranger and each Lender, and each Related Party of any of the foregoing Persons (each such Person being called a “</w:t>
      </w:r>
      <w:r>
        <w:rPr>
          <w:rFonts w:ascii="Times New Roman;Times;Serif" w:hAnsi="Times New Roman;Times;Serif"/>
          <w:b w:val="false"/>
          <w:i w:val="false"/>
          <w:caps w:val="false"/>
          <w:smallCaps w:val="false"/>
          <w:sz w:val="20"/>
          <w:u w:val="single"/>
        </w:rPr>
        <w:t>Lender-Related Person</w:t>
      </w:r>
      <w:r>
        <w:rPr>
          <w:rFonts w:ascii="Times New Roman;Times;Serif" w:hAnsi="Times New Roman;Times;Serif"/>
          <w:b w:val="false"/>
          <w:i w:val="false"/>
          <w:caps w:val="false"/>
          <w:smallCaps w:val="false"/>
          <w:sz w:val="20"/>
        </w:rPr>
        <w:t>”) (i) for any damages arising from the use by others of information or other materials obtained through telecommunications, electronic or other information transmission systems (including the Internet, any Approved Electronic Platform and any Approved Borrower Portal), other than for direct or actual damages determined by a court of competent jurisdiction by final and nonappealable judgment to have resulted from the gross negligence, bad faith or willful misconduct of such Lender-Related Person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amounts due under this Section shall be payable not later than 30 days after written demand therefor accompanied by a reasonably detailed calculation of the amount demanded.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9.04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(a)  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each of the Administrative Agent and the Lenders) any legal or equitable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Subject to the conditions set forth in paragraph (b)(ii) below, any Lender may assign to one or more Persons (other than an Ineligible Institution) all or a portion of its rights and obligations under this Agreement (including all or a portion of its Term Loan Commitments and the Loans at the time owing to it) with the prior written consent (such consent not to be unreasonably withheld, conditioned or delayed, it being understood that in the case of any assignment that requires the Borrower’s consent, without limiting any other factors that may be reasonable, it shall be reasonable for the Borrower to consider a proposed assignee’s right to require reimbursement for increased costs when determining whether to consent to such an assignment)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(provided that the Borrower shall be deemed to have consented to any such assignment unless it shall object thereto by written notice to the Administrative Agent within ten (10) Business Days after having received notice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of the Borrower shall be required (but notice to the Borrower, either prior to or promptly after such assignment, shall be required) for an assignment to (1) a Lender, an Affiliate of a Lender or an Approved Fund (provided further, notwithstanding the preceding clause (1), the consent of the Borrower shall be required if, after giving effect to such assignment, the assignee, collectively with its affiliated Lenders and affiliated Approved Funds, would, as a result of such assignment, hold more than fifteen percent (15%) of the aggregate amounts of Loans and unused Term Loan Commitments), or, (2) if an Event of Default under clause (a), (f) or (g)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has occurred and is continuing, any assignee;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Assignments shall be subject to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in the case of an assignment to a Lender or an Affiliate of a Lender or an Approved Fund or an assignment of the entire remaining amount of the assigning Lender’s Term Loan Commitment or Loans of any Class, the amount of the Term Loan Commitment or Loans of the assigning Lender subject to each such assignment (determined as of the date the Assignment and Assumption with respect to such assignment is delivered to the Administrative Agent) shall not be less than $1,000,000 unless each of the Borrower and the Administrative Agent otherwise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consent of the Borrower shall be required if an Event of Default under clause (a), (f) or (g)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without the prior written consent of the Administrative Agent, no assignment shall be made to a prospective assignee that the assigning Lender actually knows bears a relationship to the Borrower described in Section 108(e)(4) of the Code;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assignee shall not be the Borrower or any Subsidiary or Affiliate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this </w:t>
      </w:r>
      <w:r>
        <w:rPr>
          <w:rFonts w:ascii="Times New Roman;Times;Serif" w:hAnsi="Times New Roman;Times;Serif"/>
          <w:b w:val="false"/>
          <w:i w:val="false"/>
          <w:caps w:val="false"/>
          <w:smallCaps w:val="false"/>
          <w:sz w:val="20"/>
          <w:u w:val="single"/>
        </w:rPr>
        <w:t>Section 9.04(b)</w:t>
      </w:r>
      <w:r>
        <w:rPr>
          <w:rFonts w:ascii="Times New Roman;Times;Serif" w:hAnsi="Times New Roman;Times;Serif"/>
          <w:b w:val="false"/>
          <w:i w:val="false"/>
          <w:caps w:val="false"/>
          <w:smallCaps w:val="false"/>
          <w:sz w:val="20"/>
        </w:rPr>
        <w:t>, the term “</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Ineligible Institution</w:t>
      </w:r>
      <w:r>
        <w:rPr>
          <w:rFonts w:ascii="Times New Roman;Times;Serif" w:hAnsi="Times New Roman;Times;Serif"/>
          <w:b w:val="false"/>
          <w:i w:val="false"/>
          <w:caps w:val="false"/>
          <w:smallCaps w:val="false"/>
          <w:sz w:val="20"/>
        </w:rPr>
        <w:t>”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Ineligible Institution</w:t>
      </w:r>
      <w:r>
        <w:rPr>
          <w:rFonts w:ascii="Times New Roman;Times;Serif" w:hAnsi="Times New Roman;Times;Serif"/>
          <w:b w:val="false"/>
          <w:i w:val="false"/>
          <w:caps w:val="false"/>
          <w:smallCaps w:val="false"/>
          <w:sz w:val="20"/>
        </w:rPr>
        <w:t>” means (a) a natural person, (b) a Defaulting Lender or its Lender Parent, (c) the Parent, any of its Subsidiaries or any of its Affiliates, (d) a company, investment vehicle or trust for, or owned and operated for the primary benefit of, a natural person or relative(s) thereof or (e) a Disqualified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Times;Serif" w:hAnsi="Times New Roman;Times;Serif"/>
          <w:b w:val="false"/>
          <w:i w:val="false"/>
          <w:caps w:val="false"/>
          <w:smallCaps w:val="false"/>
          <w:sz w:val="20"/>
          <w:u w:val="single"/>
        </w:rPr>
        <w:t>Sections 2.12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9.03</w:t>
      </w:r>
      <w:r>
        <w:rPr>
          <w:rFonts w:ascii="Times New Roman;Times;Serif" w:hAnsi="Times New Roman;Times;Serif"/>
          <w:b w:val="false"/>
          <w:i w:val="false"/>
          <w:caps w:val="false"/>
          <w:smallCaps w:val="false"/>
          <w:sz w:val="20"/>
        </w:rPr>
        <w:t xml:space="preserve">). Any assignment or transfer by a Lender of rights or obligations under this Agreement that does not comply with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shall be treated for purposes of this Agreement as a sale by such Lender of a participation in such rights and obligations in accordance with paragraph (c)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Administrative Agent, acting for this purpose as a non-fiduciary agent of the Borrower, shall maintain at one of its offices a copy of each Assignment and Assumption delivered to it and a register for the recordation of the names and addresses of the Lenders, and the Term Loan Commitment of, and principal amount (and stated interest) of the Loans owing to, each Lender (including each EU Lender identified pursuant to </w:t>
      </w:r>
      <w:r>
        <w:rPr>
          <w:rFonts w:ascii="Times New Roman;Times;Serif" w:hAnsi="Times New Roman;Times;Serif"/>
          <w:b w:val="false"/>
          <w:i w:val="false"/>
          <w:caps w:val="false"/>
          <w:smallCaps w:val="false"/>
          <w:sz w:val="20"/>
          <w:u w:val="single"/>
        </w:rPr>
        <w:t>Section 2.02(f)</w:t>
      </w:r>
      <w:r>
        <w:rPr>
          <w:rFonts w:ascii="Times New Roman;Times;Serif" w:hAnsi="Times New Roman;Times;Serif"/>
          <w:b w:val="false"/>
          <w:i w:val="false"/>
          <w:caps w:val="false"/>
          <w:smallCaps w:val="false"/>
          <w:sz w:val="20"/>
        </w:rPr>
        <w:t>) pursuant to the terms hereof from time to time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entries in the Register shall be conclusive,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either the assigning Lender or the assignee shall have failed to make any payment required to be made by it pursuant to </w:t>
      </w:r>
      <w:r>
        <w:rPr>
          <w:rFonts w:ascii="Times New Roman;Times;Serif" w:hAnsi="Times New Roman;Times;Serif"/>
          <w:b w:val="false"/>
          <w:i w:val="false"/>
          <w:caps w:val="false"/>
          <w:smallCaps w:val="false"/>
          <w:sz w:val="20"/>
          <w:u w:val="single"/>
        </w:rPr>
        <w:t>Sections 2.04(b)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2.15(d)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9.03(c)</w:t>
      </w:r>
      <w:r>
        <w:rPr>
          <w:rFonts w:ascii="Times New Roman;Times;Serif" w:hAnsi="Times New Roman;Times;Serif"/>
          <w:b w:val="false"/>
          <w:i w:val="false"/>
          <w:caps w:val="false"/>
          <w:smallCaps w:val="false"/>
          <w:sz w:val="20"/>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Any Lender may, without the consent of, or notice to, the Borrower or the Administrative Agent, sell participations to one or more banks or other entities (a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other than an Ineligible Institution, in all or a portion of such Lender’s rights and/or obligations under this Agreement (including all or a portion of its Term Loan Commitment and/or the Loans owing to it); provided that (A) such Lender’s obligations under this Agreement shall remain unchanged, (B) such Lender shall remain solely responsible to the other parties hereto for the performance of such obligations, (C) the Borrower, the Administrative Agent and the other Lenders shall continue to deal solely and directly with such Lender in connection with such Lender’s rights and obligations under this Agreement and (D) without the prior written consent of the Administrative Agent, no participation shall be sold to a prospective participant that such Lender actually knows bears a relationship to the Borrower described in Section 108(e)(4) of the Code.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modification or waiver described in the first proviso to </w:t>
      </w:r>
      <w:r>
        <w:rPr>
          <w:rFonts w:ascii="Times New Roman;Times;Serif" w:hAnsi="Times New Roman;Times;Serif"/>
          <w:b w:val="false"/>
          <w:i w:val="false"/>
          <w:caps w:val="false"/>
          <w:smallCaps w:val="false"/>
          <w:sz w:val="20"/>
          <w:u w:val="single"/>
        </w:rPr>
        <w:t>Section 9.02(b)</w:t>
      </w:r>
      <w:r>
        <w:rPr>
          <w:rFonts w:ascii="Times New Roman;Times;Serif" w:hAnsi="Times New Roman;Times;Serif"/>
          <w:b w:val="false"/>
          <w:i w:val="false"/>
          <w:caps w:val="false"/>
          <w:smallCaps w:val="false"/>
          <w:sz w:val="20"/>
        </w:rPr>
        <w:t xml:space="preserve"> or in clause (i) of </w:t>
      </w:r>
      <w:r>
        <w:rPr>
          <w:rFonts w:ascii="Times New Roman;Times;Serif" w:hAnsi="Times New Roman;Times;Serif"/>
          <w:b w:val="false"/>
          <w:i w:val="false"/>
          <w:caps w:val="false"/>
          <w:smallCaps w:val="false"/>
          <w:sz w:val="20"/>
          <w:u w:val="single"/>
        </w:rPr>
        <w:t>Section 9.04(a)</w:t>
      </w:r>
      <w:r>
        <w:rPr>
          <w:rFonts w:ascii="Times New Roman;Times;Serif" w:hAnsi="Times New Roman;Times;Serif"/>
          <w:b w:val="false"/>
          <w:i w:val="false"/>
          <w:caps w:val="false"/>
          <w:smallCaps w:val="false"/>
          <w:sz w:val="20"/>
        </w:rPr>
        <w:t xml:space="preserve"> that affects such Participant. Subject to paragraph (c)(ii) of this Section, the Borrower agrees that each Participant shall be entitled to the benefits of </w:t>
      </w:r>
      <w:r>
        <w:rPr>
          <w:rFonts w:ascii="Times New Roman;Times;Serif" w:hAnsi="Times New Roman;Times;Serif"/>
          <w:b w:val="false"/>
          <w:i w:val="false"/>
          <w:caps w:val="false"/>
          <w:smallCaps w:val="false"/>
          <w:sz w:val="20"/>
          <w:u w:val="single"/>
        </w:rPr>
        <w:t>Sections 2.12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2.14</w:t>
      </w:r>
      <w:r>
        <w:rPr>
          <w:rFonts w:ascii="Times New Roman;Times;Serif" w:hAnsi="Times New Roman;Times;Serif"/>
          <w:b w:val="false"/>
          <w:i w:val="false"/>
          <w:caps w:val="false"/>
          <w:smallCaps w:val="false"/>
          <w:sz w:val="20"/>
        </w:rPr>
        <w:t xml:space="preserve"> (subject to the requirements and limitations therein, including the requirements under </w:t>
      </w:r>
      <w:r>
        <w:rPr>
          <w:rFonts w:ascii="Times New Roman;Times;Serif" w:hAnsi="Times New Roman;Times;Serif"/>
          <w:b w:val="false"/>
          <w:i w:val="false"/>
          <w:caps w:val="false"/>
          <w:smallCaps w:val="false"/>
          <w:sz w:val="20"/>
          <w:u w:val="single"/>
        </w:rPr>
        <w:t>Section 2.14(j))</w:t>
      </w:r>
      <w:r>
        <w:rPr>
          <w:rFonts w:ascii="Times New Roman;Times;Serif" w:hAnsi="Times New Roman;Times;Serif"/>
          <w:b w:val="false"/>
          <w:i w:val="false"/>
          <w:caps w:val="false"/>
          <w:smallCaps w:val="false"/>
          <w:sz w:val="20"/>
        </w:rPr>
        <w:t xml:space="preserve"> to the same extent as if it were a Lender and had acquired its interest by assignment pursuant to paragraph (b) of this Section. To the extent permitted by law, each Participant also shall be entitled to the benefits of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xml:space="preserve"> as though it were a Lender, provided such Participant agrees to be subject to </w:t>
      </w:r>
      <w:r>
        <w:rPr>
          <w:rFonts w:ascii="Times New Roman;Times;Serif" w:hAnsi="Times New Roman;Times;Serif"/>
          <w:b w:val="false"/>
          <w:i w:val="false"/>
          <w:caps w:val="false"/>
          <w:smallCaps w:val="false"/>
          <w:sz w:val="20"/>
          <w:u w:val="single"/>
        </w:rPr>
        <w:t>Section 2.15(c)</w:t>
      </w:r>
      <w:r>
        <w:rPr>
          <w:rFonts w:ascii="Times New Roman;Times;Serif" w:hAnsi="Times New Roman;Times;Serif"/>
          <w:b w:val="false"/>
          <w:i w:val="false"/>
          <w:caps w:val="false"/>
          <w:smallCaps w:val="false"/>
          <w:sz w:val="20"/>
        </w:rPr>
        <w:t>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Term Loan Commitments, Loans or its other obligations under any Loan Document) to any Person except to the extent that such disclosure is necessary to establish that such Term Loan Commitment, Loan or other obligation is in registered form under Treasury Regulations Section 5f.103-1(c) and Proposed Treasury Regulations Section 1.163-5(b)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Participant shall not be entitled to receive any greater payment under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2.14</w:t>
      </w:r>
      <w:r>
        <w:rPr>
          <w:rFonts w:ascii="Times New Roman;Times;Serif" w:hAnsi="Times New Roman;Times;Serif"/>
          <w:b w:val="false"/>
          <w:i w:val="false"/>
          <w:caps w:val="false"/>
          <w:smallCaps w:val="false"/>
          <w:sz w:val="20"/>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unless the Borrower is notified of the participation sold to such Participant and such Participant agrees, for the benefit of the Borrower, to comply with </w:t>
      </w:r>
      <w:r>
        <w:rPr>
          <w:rFonts w:ascii="Times New Roman;Times;Serif" w:hAnsi="Times New Roman;Times;Serif"/>
          <w:b w:val="false"/>
          <w:i w:val="false"/>
          <w:caps w:val="false"/>
          <w:smallCaps w:val="false"/>
          <w:sz w:val="20"/>
          <w:u w:val="single"/>
        </w:rPr>
        <w:t>Section 2.14(e)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as though it were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Lender may at any time pledge or assign a security interest in all or any portion of its rights under this Agreement to secure obligations of such Lender, including without limitation any pledge or assignment to secure obligations to a Federal Reserve Bank or any central bank having jurisdiction over such Lender, and this Section shall not apply to any such pledge or assignment of a security interest; provided that no such pledge or assignment of a security interest shall release a Lender from any of its obligations hereunder or substitute any such pledgee or assignee for such Lender as a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Disqualified Institutions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assignment or participation shall be made to any Person that was a Disqualified Institution as of the date (the “</w:t>
      </w:r>
      <w:r>
        <w:rPr>
          <w:rFonts w:ascii="Times New Roman;Times;Serif" w:hAnsi="Times New Roman;Times;Serif"/>
          <w:b w:val="false"/>
          <w:i w:val="false"/>
          <w:caps w:val="false"/>
          <w:smallCaps w:val="false"/>
          <w:sz w:val="20"/>
          <w:u w:val="single"/>
        </w:rPr>
        <w:t>Trade Date</w:t>
      </w:r>
      <w:r>
        <w:rPr>
          <w:rFonts w:ascii="Times New Roman;Times;Serif" w:hAnsi="Times New Roman;Times;Serif"/>
          <w:b w:val="false"/>
          <w:i w:val="false"/>
          <w:caps w:val="false"/>
          <w:smallCaps w:val="false"/>
          <w:sz w:val="20"/>
        </w:rPr>
        <w:t xml:space="preserve">”) on which the assigning Lender entered into a binding agreement to sell and assign or grant a participation in all or a portion of its rights and obligations under this Agreement to such Person (unless the Borrower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or Participant that becomes a Disqualified Institution after the applicable Trade Date (including as a result of the delivery of a notice pursuant to, and/or the expiration of the notice period referred to in, the definition of “Disqualified Institution”), (x) such assignee or Participant shall not retroactively be disqualified from being a Lender or Participant and (y) the execution by the Borrower of an Assignment and Assumption with respect to such assignee will not by itself result in such assignee no longer being considered a Disqualified Institution. Any assignment or participation in violation of this </w:t>
      </w:r>
      <w:r>
        <w:rPr>
          <w:rFonts w:ascii="Times New Roman;Times;Serif" w:hAnsi="Times New Roman;Times;Serif"/>
          <w:b w:val="false"/>
          <w:i w:val="false"/>
          <w:caps w:val="false"/>
          <w:smallCaps w:val="false"/>
          <w:sz w:val="20"/>
          <w:u w:val="single"/>
        </w:rPr>
        <w:t>clause (e)(i)</w:t>
      </w:r>
      <w:r>
        <w:rPr>
          <w:rFonts w:ascii="Times New Roman;Times;Serif" w:hAnsi="Times New Roman;Times;Serif"/>
          <w:b w:val="false"/>
          <w:i w:val="false"/>
          <w:caps w:val="false"/>
          <w:smallCaps w:val="false"/>
          <w:sz w:val="20"/>
        </w:rPr>
        <w:t xml:space="preserve"> shall not be void, but the other provisions of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any assignment or participation is made to any Disqualified Institution without the Borrower’s prior written consent in violation of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or if any Person becomes a Disqualified Institution after the applicable Trade Date, the Borrower may, at its sole expense and effort, upon notice to the applicable Disqualified Institution and the Administrative Agent, require such Disqualified Institution to assign, without recourse (in accordance with and subject to the restrictions contained in this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all of its interest, rights and obligations under this Agreement to one or more Persons (other than an Ineligible Institution) at the lesser of (x) the principal amount thereof and (y) the amount that such Disqualified Institution paid to acquire such interests, rights and obligations in each case plus accrued interest, accrued fees and all other amounts (other than principal amounts) payable to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anything to the contrary contained in this Agreement, Disqualified Institutions to whom an assignment or participation is made in violation of clause (i) above (A) will not have the right to (x) receive information, reports or other materials provided to Lenders by the Borrower, the Administrative Agent or any other Lender, (y) attend or participate in meetings attended by the Lenders (or any of them)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each Disqualified Institution party hereto hereby agrees (1) not to vote on such plan of reorganization, (2) if such Disqualified Institution does vote on such plan of reorganization notwithstanding the restriction in the foregoing clause (1), such vote will be deemed not to be in good faith and shall be “designated” pursuant to Section 1126(e) of the Bankruptcy Code (or any similar provision in any other applicable laws), and such vote shall not be counted in determining whether the applicable class has accepted or rejected such plan of reorganization in accordance with Section 1126(c) of the Bankruptcy Code (or any similar provision in any other applicable laws) and (3) not to contest any request by any party for a determination by the Bankruptcy Court (or other applicable court of competent jurisdiction) effectuating the foregoing clause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Administrative Agent shall have the right, and the Borrower hereby expressly authorizes the Administrative Agent, to (A) post the list of Disqualified Institutions provided by the Borrower and any updates thereto from time to time (collectively, the “</w:t>
      </w:r>
      <w:r>
        <w:rPr>
          <w:rFonts w:ascii="Times New Roman;Times;Serif" w:hAnsi="Times New Roman;Times;Serif"/>
          <w:b w:val="false"/>
          <w:i w:val="false"/>
          <w:caps w:val="false"/>
          <w:smallCaps w:val="false"/>
          <w:sz w:val="20"/>
          <w:u w:val="single"/>
        </w:rPr>
        <w:t>DQ List</w:t>
      </w:r>
      <w:r>
        <w:rPr>
          <w:rFonts w:ascii="Times New Roman;Times;Serif" w:hAnsi="Times New Roman;Times;Serif"/>
          <w:b w:val="false"/>
          <w:i w:val="false"/>
          <w:caps w:val="false"/>
          <w:smallCaps w:val="false"/>
          <w:sz w:val="20"/>
        </w:rPr>
        <w:t>”) on an Approved Electronic Platform, including that portion of such Approved Electronic Platform that is designated for “public side” Lenders and/or (B) provide the DQ List to each Lender or potential Lender requesting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by any other Person to any ‎Disqualified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9.05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in accordance with their terms as long as the principal of or any accrued interest on any Loan or any fee or any other amount payable under this Agreement or any other Loan Document is outstanding and unpaid and so long as the Term Loan Commitments have not expired or terminated. The provisions of </w:t>
      </w:r>
      <w:r>
        <w:rPr>
          <w:rFonts w:ascii="Times New Roman;Times;Serif" w:hAnsi="Times New Roman;Times;Serif"/>
          <w:b w:val="false"/>
          <w:i w:val="false"/>
          <w:caps w:val="false"/>
          <w:smallCaps w:val="false"/>
          <w:sz w:val="20"/>
          <w:u w:val="single"/>
        </w:rPr>
        <w:t>Sections 2.12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survive and remain in full force and effect regardless of the consummation of the transactions contemplated hereby, the repayment of the Loans, the expiration or termination of the Term Loan Commitments or the termination of this Agreement or any other Loan Document or any provision hereof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9.06        </w:t>
      </w:r>
      <w:r>
        <w:rPr>
          <w:rFonts w:ascii="Times New Roman;Times;Serif" w:hAnsi="Times New Roman;Times;Serif"/>
          <w:b w:val="false"/>
          <w:i w:val="false"/>
          <w:caps w:val="false"/>
          <w:smallCaps w:val="false"/>
          <w:sz w:val="20"/>
          <w:u w:val="single"/>
        </w:rPr>
        <w:t>Counterparts; Integration; Effectiveness; Electronic Execution</w:t>
      </w:r>
      <w:r>
        <w:rPr>
          <w:rFonts w:ascii="Times New Roman;Times;Serif" w:hAnsi="Times New Roman;Times;Serif"/>
          <w:b w:val="false"/>
          <w:i w:val="false"/>
          <w:caps w:val="false"/>
          <w:smallCaps w:val="false"/>
          <w:sz w:val="20"/>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thereof and supersede any and all previous agreements and understandings, oral or written, relating to the subject matter hereof and thereof. Except as provided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certificate, request, statement, disclosure or authorization related to this Agreement, any other Loan Document and/or the transactions contemplated hereby and/or thereby (each an “</w:t>
      </w:r>
      <w:r>
        <w:rPr>
          <w:rFonts w:ascii="Times New Roman;Times;Serif" w:hAnsi="Times New Roman;Times;Serif"/>
          <w:b w:val="false"/>
          <w:i w:val="false"/>
          <w:caps w:val="false"/>
          <w:smallCaps w:val="false"/>
          <w:sz w:val="20"/>
          <w:u w:val="single"/>
        </w:rPr>
        <w:t>Ancillary Document</w:t>
      </w:r>
      <w:r>
        <w:rPr>
          <w:rFonts w:ascii="Times New Roman;Times;Serif" w:hAnsi="Times New Roman;Times;Serif"/>
          <w:b w:val="false"/>
          <w:i w:val="false"/>
          <w:caps w:val="false"/>
          <w:smallCaps w:val="false"/>
          <w:sz w:val="20"/>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 and pursuant to procedures approved by it (it being understood and agreed that the Administrative Agent accepts, consents to and approves of transmission through electronic means of any Electronic Signature that is a reproduction of an image of an actual executed signature page); provided, further, without limiting the foregoing, (i) (a)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(other than any Electronic Signature actually known by the Administrative Agent or such Lender, as applicable, to be unauthorized or otherwise invalid) and without any obligation to review the appearance or form of any such Electronic Signature and (b) each Loan Party shall be entitled to rely on the Electronic Signatures of the Administrative Agent and each Lender purportedly given by or on behalf of the Administrative Agent or such Lender, as applicable, without further verification thereof (other than any Electronic Signature actually known by such Loan Party to be unauthorized or otherwise invalid) and without any obligation to review the appearance or form of any such Electronic Signatures and (ii) upon the request of the Administrative Agent or any Lender, any Electronic Signature shall be followed, as soon as reasonably practicable, by a manually executed counterpart. Without limiting the generality of the foregoing, the Loan Parties hereby (i) agree that, for all purposes, including without limitation, in connection with any workout, restructuring, enforcement of remedies, bankruptcy proceedings or litigation among the Administrative Agent, the Lenders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 any claim against any Indemnitee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other Loan Party to use any available security measures in connection with the execution, delivery or transmission of any Electronic Signature, other than any Liabilities (x) determined by a court of competent jurisdiction by final and nonappealable judgment to have resulted from the bad faith, gross negligence or willful misconduct of any Lender-Related Person or (y) that result from a claim brought by any Loan Party and/or any Subsidiary thereof against any Lender-Related Person for material breach in bad faith of this Section 9.06 if such Loan Party or such Subsidiary has obtained a final and nonappealable judgment by a court of competent jurisdiction in its favor on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9.07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9.08        </w:t>
      </w:r>
      <w:r>
        <w:rPr>
          <w:rFonts w:ascii="Times New Roman;Times;Serif" w:hAnsi="Times New Roman;Times;Serif"/>
          <w:b w:val="false"/>
          <w:i w:val="false"/>
          <w:caps w:val="false"/>
          <w:smallCaps w:val="false"/>
          <w:sz w:val="20"/>
          <w:u w:val="single"/>
        </w:rPr>
        <w:t>Right of Setoff</w:t>
      </w:r>
      <w:r>
        <w:rPr>
          <w:rFonts w:ascii="Times New Roman;Times;Serif" w:hAnsi="Times New Roman;Times;Serif"/>
          <w:b w:val="false"/>
          <w:i w:val="false"/>
          <w:caps w:val="false"/>
          <w:smallCaps w:val="false"/>
          <w:sz w:val="20"/>
        </w:rPr>
        <w:t xml:space="preserve">. If an Event of Default shall have occurred and be continuing, each Lender, and each of their respective Affiliates is hereby authorized at any time and from time to time, to the fullest extent permitted by law, to set off and apply any and all deposits (general or special, time or demand, provisional or final, but excluding deposits held in a trustee, fiduciary, agency or similar capacity or otherwise for the benefit of a third party) at any time held, and other obligations at any time owing, by such Lender or any such Affiliate, to or for the credit or the account of the Borrower against any and all of the Obligations of the Borrower now or hereafter existing under this Agreement or any other Loan Document to such Lender or its Affiliates, irrespective of whether or not such Lender or Affiliate shall have made any demand under this Agreement or any other Loan Document and although such Obligations of the Borrower may be contingent or unmatured or are owed to a branch office or Affiliate of such Lender different from the branch office or Affiliate holding such deposit or obligated on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its respective Affiliates under this Section are in addition to other rights and remedies (including other rights of setoff) that such Lender or its Affiliates may have. Each Lender agrees to notify the Borrower and the Administrative Agent promptly after any such setoff and application;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9.09        </w:t>
      </w:r>
      <w:r>
        <w:rPr>
          <w:rFonts w:ascii="Times New Roman;Times;Serif" w:hAnsi="Times New Roman;Times;Serif"/>
          <w:b w:val="false"/>
          <w:i w:val="false"/>
          <w:caps w:val="false"/>
          <w:smallCaps w:val="false"/>
          <w:sz w:val="20"/>
          <w:u w:val="single"/>
        </w:rPr>
        <w:t>Governing Law; Jurisdiction; Consent to Service of Process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construed in accordance with and governed by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Lenders and the Administrative Agent hereby irrevocably and unconditionally agrees that, notwithstanding the governing law provisions of any applicable Loan Document, any claims brought against the Administrative Agent or any of its Related Parties relating to this Agreement, any other Loan Document or the consummation or administration of the transactions contemplated hereby or thereby shall be construed in accordance with and governed by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Loan Party hereby irrevocably and unconditionally submits, for itself and its property, to only the jurisdiction of (i) the United States District Court for the Southern District of New York sitting in the Borough of Manhattan (or if such court lacks subject matter jurisdiction, the Supreme Court of the State of New York sitting in the Borough of Manhattan) and (ii) any U.S. federal or Illinois state court sitting in Chicago, Illinois, and in each case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or any Lender may otherwise have to bring any action or proceeding relating to this Agreement or any other Loan Document against any Loan Party or its properties (i) in the courts of any jurisdiction and (ii) in respect of any Loan Party incorporated in Luxembourg only, any courts having jurisdiction where the head office, central administration, centre of main interest, place of effective management, domicile and/or establishment of that Loan Party is situated or where any asset of that Loan Party is situated. Notwithstanding anything herein to the contrary, the laws of the State of Delaware shall govern in determining (x) the interpretation of a “Material Adverse Effect” (as defined in the Specified Acquisition Agreement) and whether a “Material Adverse Effect” has occurred, (y) the making and accuracy of any Specified Acquisition Agreement Representation and whether as a result of any inaccuracy thereof the Borrower or any Affiliate thereof has the right or would have the right (taking into account any applicable cure provisions) to terminate the Borrower’s or such Affiliate’s obligations (or to refuse to consummate the Specified Acquisition) under the Specified Acquisition Agreement and (z) whether the Specified Acquisition has been consummated in accordance with the terms of the Specified Acquisition Agreement (in each case, without regard to the principles of conflicts of laws thereof, to the extent that the same are not mandatorily applicable by statute and would require or permit the application of the law of another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party to this Agreement irrevocably consents to service of process in the manner provided for notices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The Parent, the Borrower and each Additional Guarantor irrevocably designates and appoints the Service of Process Agent, as its authorized agent, to accept and acknowledge on its behalf, service of any and all process which may be served in any suit, action or proceeding of the nature referred to in Section 9.09(c) in any federal or New York State court sitting in New York City. Pentair MN hereby represents, warrants and confirms that it has agreed to accept such appointment. Subject to the terms and conditions of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xml:space="preserve">, said designation and appointment shall be irrevocable by the Parent and the Borrower, until all Loans, all reimbursement obligations, interest thereon and all other amounts payable by the Borrower hereunder and under the other Loan Documents shall have been paid in full in accordance with the provisions hereof and thereof. The Parent, the Borrower and each Additional Guarantor hereby consent to process being served in any suit, action or proceeding of the nature referred to in Section 9.09(c) in any federal or New York State court sitting in New York City by service of process upon the Service of Process Agent as provided in this Section 9.09(e); provided that, to the extent lawful and possible, notice of said service upon such agent shall be mailed by registered or certified air mail, postage prepaid, return receipt requested, to the Parent, the Borrower and each Additional Guarantor at its address set forth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or to any other address of which the Borrower shall have given written notice to the Administrative Agent (with a copy thereof to the Service of Process Agent). The Parent, the Borrower and each Additional Guarantor irrevocably waive, to the fullest extent permitted by law, all claim of error by reason of any such service in such manner and agrees that such service shall be deemed in every respect effective service of process upon the Parent or the Borrower, as applicable, in any such suit, action or proceeding and shall, to the fullest extent permitted by law, be taken and held to be valid and personal service upon and personal delivery to the Parent or the Borrower, as applicable. To the extent the Parent, the Borrower and each Additional Guarantor have or hereafter may acquire any immunity from jurisdiction of any court or from any legal process (whether from service or notice, attachment prior to judgment, attachment in aid of execution of a judgment, execution or otherwise), the Parent, the Borrower and each Additional Guarantor hereby irrevocably waive such immunity in respect of its obligations under the Loan Documents. Nothing in this Agreement or any other Loan Document will affect the right of any party to this Agreement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9.10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9.11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9.12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Each of the Administrative Agent and the Lenders agrees to maintain the confidentiality of the Information (as defined below), except that Information may be disclosed (a) to its Affiliates and its and their respective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to the same extent as if they were parties hereto), (b) to the extent requested by any regulatory authority (including any self-regulatory authority, such as the National Association of Insurance Commissioners), (c) to the extent required (i) by applicable laws or regulations or (ii)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(it being understood that the DQ List may be disclosed to any assignee or Participant, or prospective assignee or Participant, in reliance on and subject to the terms of this clause (f)(i)) or (ii) any actual or prospective counterparty (or its advisors) to any swap, derivative or insurance transaction relating to the Borrower and its obligations, (g) on a confidential basis to (A) any rating agency in connection with rating the Borrower or its Subsidiaries or the credit facilities provided for herein or (B) the CUSIP Service Bureau or any similar agency in connection with the issuance and monitoring of CUSIP numbers with respect to the credit facilities provided for herein, (h) with the written consent of the Borrower or (i) to the extent such Information (A) becomes publicly available other than as a result of a breach of this Section or (B) becomes available to the Administrative Agent or any Lender on a nonconfidential basis from a source other than the Borrower or any of its Subsidiaries that the Administrative Agent or such Lender, as applicable, reasonably believes is not prohibited from disclosing such information to such party in violation of a duty of confidentiality to the Borrower or any of its Subsidiaries. In the event of disclosure pursuant to </w:t>
      </w:r>
      <w:r>
        <w:rPr>
          <w:rFonts w:ascii="Times New Roman;Times;Serif" w:hAnsi="Times New Roman;Times;Serif"/>
          <w:b w:val="false"/>
          <w:i w:val="false"/>
          <w:caps w:val="false"/>
          <w:smallCaps w:val="false"/>
          <w:sz w:val="20"/>
          <w:u w:val="single"/>
        </w:rPr>
        <w:t>clause (c)(ii)</w:t>
      </w:r>
      <w:r>
        <w:rPr>
          <w:rFonts w:ascii="Times New Roman;Times;Serif" w:hAnsi="Times New Roman;Times;Serif"/>
          <w:b w:val="false"/>
          <w:i w:val="false"/>
          <w:caps w:val="false"/>
          <w:smallCaps w:val="false"/>
          <w:sz w:val="20"/>
        </w:rPr>
        <w:t> above, the applicable disclosing Person shall, (x) to the extent not prohibited by applicable law, rule or regulation, as promptly as practicable notify the Borrower in writing of such required disclosure, (y) so furnish only that portion of the Information which such disclosing Person reasonably determines (which may be in reliance on the advice of legal counsel) it is legally required to disclose and (z) use commercially reasonable efforts to ensure that any such Information so disclosed is accorded confidential treatment. For the purposes of this Section,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means all information which is received from or on behalf of the Borrower relating to the Borrower, its Subsidiaries or Affiliates or their respective business, other than any such information that is available to the Administrative Agent or any Lender on a nonconfidential basis prior to disclosure by the Borrower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but in no event less than a reasonable degree of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nothing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shall prohibit any Person from voluntarily disclosing or providing any Information within the scope of this confidentiality provision to any governmental, regulatory or self-regulatory organization (any such entity, a “</w:t>
      </w:r>
      <w:r>
        <w:rPr>
          <w:rFonts w:ascii="Times New Roman;Times;Serif" w:hAnsi="Times New Roman;Times;Serif"/>
          <w:b w:val="false"/>
          <w:i w:val="false"/>
          <w:caps w:val="false"/>
          <w:smallCaps w:val="false"/>
          <w:sz w:val="20"/>
          <w:u w:val="single"/>
        </w:rPr>
        <w:t>Regulatory Authority</w:t>
      </w:r>
      <w:r>
        <w:rPr>
          <w:rFonts w:ascii="Times New Roman;Times;Serif" w:hAnsi="Times New Roman;Times;Serif"/>
          <w:b w:val="false"/>
          <w:i w:val="false"/>
          <w:caps w:val="false"/>
          <w:smallCaps w:val="false"/>
          <w:sz w:val="20"/>
        </w:rPr>
        <w:t xml:space="preserve">”) to the extent that any such prohibition on disclosure set forth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shall be prohibited by the laws or regulations applicable to such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LENDER ACKNOWLEDGES THAT INFORMATION AS DEFINED IN THE IMMEDIATELY PRECEDING PARAGRAPH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INFORMATION, INCLUDING REQUESTS FOR WAIVERS AND AMENDMENTS, FURNISHED BY OR ON BEHALF OF THE BORROWER OR THE ADMINISTRATIVE AGENT PURSUANT TO, OR IN THE COURSE OF ADMINISTERING, THIS AGREEMENT WILL BE SYNDICATE-LEVEL INFORMATION, WHICH MAY CONTAIN MATERIAL NON-PUBLIC INFORMATION ABOUT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AND AGREES TO UPDATE SUCH CREDIT CONTACT BY NOTICE TO THE BORROWER AND THE ADMINISTRATIVE AGENT FROM TIME TO TIME AS NECESSARY TO CAUSE THE FOREGOING REPRESENTATION TO BE TRUE AT ALL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9.13        </w:t>
      </w:r>
      <w:r>
        <w:rPr>
          <w:rFonts w:ascii="Times New Roman;Times;Serif" w:hAnsi="Times New Roman;Times;Serif"/>
          <w:b w:val="false"/>
          <w:i w:val="false"/>
          <w:caps w:val="false"/>
          <w:smallCaps w:val="false"/>
          <w:sz w:val="20"/>
          <w:u w:val="single"/>
        </w:rPr>
        <w:t>USA PATRIOT Act; Beneficial Ownership Regulation</w:t>
      </w:r>
      <w:r>
        <w:rPr>
          <w:rFonts w:ascii="Times New Roman;Times;Serif" w:hAnsi="Times New Roman;Times;Serif"/>
          <w:b w:val="false"/>
          <w:i w:val="false"/>
          <w:caps w:val="false"/>
          <w:smallCaps w:val="false"/>
          <w:sz w:val="20"/>
        </w:rPr>
        <w:t>. Each Lender that is subject to the requirements of the USA Patriot Act (Title III of Pub. L. 107-56 (signed into law October 26, 2001)) (the “</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and the requirements of the Beneficial Ownership Regulation hereby notifies each Loan Party that pursuant to the requirements of the Patriot Act and the Beneficial Ownership Regulation, it is required to obtain, verify and record information that identifies such Loan Party, which information includes the name, address and tax identification number of such Loan Party and other information that will allow such Lender to identify such Loan Party in accordance with the Patriot Act and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9.14        </w:t>
      </w:r>
      <w:r>
        <w:rPr>
          <w:rFonts w:ascii="Times New Roman;Times;Serif" w:hAnsi="Times New Roman;Times;Serif"/>
          <w:b w:val="false"/>
          <w:i w:val="false"/>
          <w:caps w:val="false"/>
          <w:smallCaps w:val="false"/>
          <w:sz w:val="20"/>
          <w:u w:val="single"/>
        </w:rPr>
        <w:t>Interest Rate Limitation</w:t>
      </w:r>
      <w:r>
        <w:rPr>
          <w:rFonts w:ascii="Times New Roman;Times;Serif" w:hAnsi="Times New Roman;Times;Serif"/>
          <w:b w:val="false"/>
          <w:i w:val="false"/>
          <w:caps w:val="false"/>
          <w:smallCaps w:val="false"/>
          <w:sz w:val="20"/>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Times;Serif" w:hAnsi="Times New Roman;Times;Serif"/>
          <w:b w:val="false"/>
          <w:i w:val="false"/>
          <w:caps w:val="false"/>
          <w:smallCaps w:val="false"/>
          <w:sz w:val="20"/>
          <w:u w:val="single"/>
        </w:rPr>
        <w:t>Charges</w:t>
      </w:r>
      <w:r>
        <w:rPr>
          <w:rFonts w:ascii="Times New Roman;Times;Serif" w:hAnsi="Times New Roman;Times;Serif"/>
          <w:b w:val="false"/>
          <w:i w:val="false"/>
          <w:caps w:val="false"/>
          <w:smallCaps w:val="false"/>
          <w:sz w:val="20"/>
        </w:rPr>
        <w:t>”), shall exceed the maximum lawful rate (the “</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9.15        </w:t>
      </w:r>
      <w:r>
        <w:rPr>
          <w:rFonts w:ascii="Times New Roman;Times;Serif" w:hAnsi="Times New Roman;Times;Serif"/>
          <w:b w:val="false"/>
          <w:i w:val="false"/>
          <w:caps w:val="false"/>
          <w:smallCaps w:val="false"/>
          <w:sz w:val="20"/>
          <w:u w:val="single"/>
        </w:rPr>
        <w:t>No Fiduciary Duty,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Loan Party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such Loan Party with respect to the Loan Documents and the transactions contemplated herein and therein and not as a financial advisor or a fiduciary to, or an agent of, such Loan Party or any other person. Each Loan Party agrees that it will not assert any claim against any Credit Party based on an alleged breach of fiduciary duty by such Credit Party in connection with this Agreement and the transactions contemplated hereby. Additionally, each Loan Party acknowledges and agrees that no Credit Party is advising such Loan Party as to any legal, tax, investment, accounting, regulatory or any other matters in any jurisdiction in connection with this Agreement, the other Loan Documents and the credit facilities evidenced hereby. Each Loan Party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any Loan Party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Loan Party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such Loan Party, its Subsidiaries and other companies with which such Loan Party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addition, each Loan Party acknowledges and agrees, and acknowledges its Subsidiaries’ understanding, that each Credit Party and its Affiliates may be providing debt financing, equity capital or other services (including financial advisory services) to other companies in respect of which such Loan Party or any of its Subsidiaries may have conflicting interests regarding the transactions described herein and otherwise. No Credit Party will use Information obtained from the Loan Party by virtue of the transactions contemplated by the Loan Documents or its other relationships with the Loan Party in connection with the performance by such Credit Party of services for other companies, and no Credit Party will furnish any such Information to other companies. Each Loan Party also acknowledges that no Credit Party has any obligation to use in connection with the transactions contemplated by the Loan Documents, or to furnish to such Loan Party or any of its Subsidiaries, confidential information obtained from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9.16        </w:t>
      </w:r>
      <w:r>
        <w:rPr>
          <w:rFonts w:ascii="Times New Roman;Times;Serif" w:hAnsi="Times New Roman;Times;Serif"/>
          <w:b w:val="false"/>
          <w:i w:val="false"/>
          <w:caps w:val="false"/>
          <w:smallCaps w:val="false"/>
          <w:sz w:val="20"/>
          <w:u w:val="single"/>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not prohibited by applicable law, rule or regulation, each Lender shall notify the Borrower and the Administrative Agent if it has become the subject of a Bail-In Action (or any case or other proceeding in which a Bail-In Action may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9.17        </w:t>
      </w:r>
      <w:r>
        <w:rPr>
          <w:rFonts w:ascii="Times New Roman;Times;Serif" w:hAnsi="Times New Roman;Times;Serif"/>
          <w:b w:val="false"/>
          <w:i w:val="false"/>
          <w:caps w:val="false"/>
          <w:smallCaps w:val="false"/>
          <w:sz w:val="20"/>
          <w:u w:val="single"/>
        </w:rPr>
        <w:t>Acknowledgement Regarding Any Supported QFCs</w:t>
      </w:r>
      <w:r>
        <w:rPr>
          <w:rFonts w:ascii="Times New Roman;Times;Serif" w:hAnsi="Times New Roman;Times;Serif"/>
          <w:b w:val="false"/>
          <w:i w:val="false"/>
          <w:caps w:val="false"/>
          <w:smallCaps w:val="false"/>
          <w:sz w:val="20"/>
        </w:rPr>
        <w:t>. To the extent that the Loan Documents provide support, through a guarantee or otherwise, for Hedging Agreements or any other agreement or instrument that is a QFC (such support “</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val="false"/>
          <w:i w:val="false"/>
          <w:caps w:val="false"/>
          <w:smallCaps w:val="false"/>
          <w:sz w:val="20"/>
          <w:u w:val="single"/>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Covered Entity that is party to a Supported QFC (each, a “</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10.01        </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induce the Lenders to extend credit to the Borrower hereunder or to any of the Parent’s Subsidiaries under Hedging Agreements and Banking Services Agreements, and for other good and valuable consideration (the receipt and sufficiency of which are hereby acknowledged) each Guarantor hereby irrevocably and unconditionally guarantees, jointly and severally, as a primary obligor and not merely as a surety, the payment when and as due, subject to the notice provisions contained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of the Obligations (other than the Obligations of the Parent) and the Specified Ancillary Obligations (collectively, the “</w:t>
      </w:r>
      <w:r>
        <w:rPr>
          <w:rFonts w:ascii="Times New Roman;Times;Serif" w:hAnsi="Times New Roman;Times;Serif"/>
          <w:b w:val="false"/>
          <w:i w:val="false"/>
          <w:caps w:val="false"/>
          <w:smallCaps w:val="false"/>
          <w:sz w:val="20"/>
          <w:u w:val="single"/>
        </w:rPr>
        <w:t>Guaranteed Obligations</w:t>
      </w:r>
      <w:r>
        <w:rPr>
          <w:rFonts w:ascii="Times New Roman;Times;Serif" w:hAnsi="Times New Roman;Times;Serif"/>
          <w:b w:val="false"/>
          <w:i w:val="false"/>
          <w:caps w:val="false"/>
          <w:smallCaps w:val="false"/>
          <w:sz w:val="20"/>
        </w:rPr>
        <w:t xml:space="preserve">”). Each Guarantor further agrees that the due and punctual payment of such Guaranteed Obligations may be extended or renewed, in whole or in part, without notice to or further assent from it, and that it will remain bound upon its guarantee hereunder notwithstanding any such extension or renewal of any such Guaranteed Obligation. For the avoidance of doubt and notwithstanding any provision hereof to the contrary, (i) the Guaranteed Obligations shall in no event be broader than the performance of the related Obligations or Specified Ancillary Obligations in accordance with their terms and (ii) nothing contained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shall affect or otherwise impair any rights (including rights of setoff or counterclaim) that the Borrower or Subsidiary may have against any holder of Guaranteed Obligation under the applicable Hedging Agreement and/or Banking Services Agreement, as applicable, by reason of any action or failure to act of such holder thereunder (including, without limitation, any breach or default of such holder under the related Hedging Agreement or Banking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Guarantor hereby expressly waives diligence, presentment to, demand of payment from and protest to any Subsidiary of any of the Guaranteed Obligations, and also waives, other than as set forth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any notice not provided for herein or under the other Loan Documents, as well as any requirement that the Administrative Agent, any Lender or other Person exhaust any right, power or remedy or proceed against any Loan Party hereunder or under any other agreement or instrument or against any other guarantor of or any security for any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obligations of each Guarantor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shall not be affected by: (a) the failure of the Administrative Agent or any Lender (or any of its Affiliates) to assert any claim or demand or to enforce any right or remedy against any Subsidiary under the provisions of this Agreement, any other Loan Document, any Hedging Agreement, any Banking Services Agreement or otherwise; (b) any extension or renewal of any of the Guaranteed Obligations; (c) any rescission, waiver, amendment, exchange, surrender or modification of, or release from, any of the terms or provisions of this Agreement, any other Loan Document, any Hedging Agreement, any Banking Services Agreement or any other agreement (other than to the extent provided for in any express, written release, amendment, modification or waiver with respect to any of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made in accordance with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(d) any default, failure or delay, willful or otherwise, in the performance of any of the Guaranteed Obligations; (e) the failure of the Administrative Agent (or any applicable Lender (or any of its Affiliates)) to take any steps to perfect and maintain any security interest in, or to preserve any rights to, any security or collateral for the Guaranteed Obligations, if any; (f) any change in the corporate, partnership or other existence, structure or ownership of any Subsidiary or any other guarantor of any of the Guaranteed Obligations; (g) the enforceability or validity of the Guaranteed Obligations or any part thereof or the genuineness, enforceability or validity of any agreement relating thereto or with respect to any collateral securing the Guaranteed Obligations or any part thereof, or any other invalidity or unenforceability relating to or against any Subsidiary or any other guarantor of any of the Guaranteed Obligations, for any reason related to this Agreement, any other Loan Document, any Hedging Agreement, any Banking Services Agreement or any provision of applicable law, decree, order or regulation of any jurisdiction purporting to prohibit the payment by such Subsidiary or any other guarantor of the Guaranteed Obligations, of any of the Guaranteed Obligations or otherwise affecting any term of any of the Guaranteed Obligations; (h) any bankruptcy or insolvency or insolvency proceeding of any Loan Party; (i) any exchange, surrender, release of any other guaranty of or security for any of the Guaranteed Obligations; (j) any other circumstance whatsoever which may constitute a legal or equitable discharge or defense of a surety or guarantor, it being the intent hereof that the obligations of each Guarantor hereunder shall be absolute and unconditional under any and all circumstances; or (k) any other act, omission or delay to do any other act which may or might in any manner or to any extent vary the risk of each Guarantor or otherwise operate as a discharge of a guarantor as a matter of law or equity or which would impair or eliminate any right of each Guarantor to subrogation.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further agrees that its agreement hereunder constitutes a guarantee of payment when due (whether or not any bankruptcy or similar proceeding shall have stayed the accrual or collection of any of the Guaranteed Obligations or operated as a discharge thereof) and not merely of collection, and waives any right to require that any resort be had by the Administrative Agent or any Lender (or any of its Affiliates) to any balance of any deposit account or credit on the books of the Administrative Agent or any Lender in favor of any Subsidiary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each Guarantor hereunder shall not be subject to any reduction, limitation, impairment or termination for any reason, and shall not be subject to any defense or set-off, counterclaim, recoupment or termination whatsoever, by reason of the invalidity, illegality or unenforceability of any of the Guaranteed Obligations, any impossibility in the performance of any of the Guaranteed Obligations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further agrees that its obligations hereunder shall constitute a continuing and irrevocable guarantee of all Guaranteed Obligations now or hereafter existing and shall continue to be effective or be reinstated, as the case may be, if at any time payment, or any part thereof, of any Guaranteed Obligation (including a payment effected through exercise of a right of setoff) is rescinded, or is or must otherwise be restored or returned by the Administrative Agent or any Lender (or any of its Affiliates) upon the insolvency, examinership, bankruptcy or reorganization of any Subsidiary or otherwise (including pursuant to any settlement entered into by a holder of Guaranteed Obligations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the foregoing and not in limitation of any other right which the Administrative Agent or any Lender (or any of its Affiliates) may have at law or in equity against any Guarantor by virtue hereof, upon the failure of any Subsidiary to pay any Guaranteed Obligation when and as the same shall become due, whether at maturity, by acceleration, after notice of prepayment or otherwise, each Guarantor hereby promises to and will, promptly but in any event within two (2) Business Days following receipt of written demand by the Administrative Agent or any Lender (or any of its Affiliates), forthwith pay, or cause to be paid, to the Administrative Agent or any Lender (or any of its Affiliates) in cash an amount equal to the unpaid principal amount of the Guaranteed Obligations then due, together with accrued and unpaid interest thereon. Each Guarantor further agrees that if payment in respect of any Guaranteed Obligation shall be due in a currency other than Dollars and/or at a place of payment other than New York, Chicago or any other Payment Office and if, by reason of any Change in Law, disruption of currency or foreign exchange markets, war or civil disturbance or other similar event, payment of such Guaranteed Obligation in such currency or at such place of payment shall be impossible or, in the reasonable judgment of the Administrative Agent or any Lender (or any of its Affiliates), disadvantageous to the Administrative Agent or any Lender (or any of such Lender’s Affiliates) in any material respect, then, at the election of the Administrative Agent, each Guarantor shall make payment of such Guaranteed Obligation in Dollars (based upon the Dollar Amount of such Guaranteed Obligation on the date of payment) and/or in New York, Chicago or any other Payment Office as is designated by the Administrative Agent or such Lender and, as a separate and independent obligation, shall indemnify the Administrative Agent and any Lender (and such Lender’s Affiliates), as applicable, against any losses or reasonable out-of-pocket expenses that it shall sustain as a result of such alternative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by any Guarantor of any sums as provided above, all rights of each Guarantor against any Subsidiary arising as a result thereof by way of right of subrogation or otherwise shall in all respects be subordinated and junior in right of payment to the prior indefeasible payment in full in cash of all the Guaranteed Obligations owed by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shall discharge or satisfy the liability of any Guarantor hereunder except the full performance and payment in cash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Guarantor represents and warrants that (a) as of the Effective Date, such Guarantor is an “eligible contract participant” as such term is defined and interpreted under the Commodity Exchange Act, and (b) on each date on which the Guaranteed Obligations include any Specified Swap Obligations, each Guarantor will be deemed to represent and warrant that such Guarantor is an “eligible contract participant” as such term is defined and interpreted under the Commodity Exchange Act. The Borrower and each Guarantor agrees to provide such funds or support as may be needed from time to time to honor all of its obligations under this Agreement and to remain an “eligible contract participant” (subject to the maximum limitation on liability that can be incurred without rendering its obligations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or otherwise under the guaranty provided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voidable under applicable law relating to fraudulent conveyance or fraudulent transfer, and not for any greater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other provision of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the amount guaranteed by each 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or, in the case of any Irish Guarantor, under section 82 or section 239 of the Irish Companies Act. In determining the limitations, if any, on the amount of any Guarantor’s obligations hereunder pursuant to the preceding sentence, it is the intention of the parties hereto that any rights of subrogation, indemnification or contribution which such Guarantor may have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any other agreement or applicable Law shall be taken into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written notice (which notice shall be in form and substance reasonably satisfactory to the Administrative Agent) of the Borrower to the Administrative Agent, an Additional Guarantor shall be automatically and immediately released from its obligations hereunder so long as (i) such Additional Guarantor is no longer a guarantor or borrower with respect to the Existing JPM Credit Agreement, (ii) no Event of Default under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is then outstanding or would result upon giving effect to such release, and (iii) no amount due and payable by such Additional Guarantor is then outstanding. The Administrative Agent may request a certificate (which certificate shall be in form and substance reasonably satisfactory to the Administrative Agent) from the Borrower certifying the foregoing at the time of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that any Guarantor shall make a payment under the guaranty provided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Guarantor Payment</w:t>
      </w:r>
      <w:r>
        <w:rPr>
          <w:rFonts w:ascii="Times New Roman;Times;Serif" w:hAnsi="Times New Roman;Times;Serif"/>
          <w:b w:val="false"/>
          <w:i w:val="false"/>
          <w:caps w:val="false"/>
          <w:smallCaps w:val="false"/>
          <w:sz w:val="20"/>
        </w:rPr>
        <w:t xml:space="preserve">”) which, taking into account all other Guarantor Payments then previously or concurrently made by any Guarantor, exceeds the amount which otherwise would have been paid by or attributable to such Guarantor if each Guarantor had paid the aggregate Guaranteed Obligations satisfied by such Guarantor Payment in the same proportion as such Guarantor’s “Allocable Amount” (as defined below) (as determined immediately prior to such Guarantor Payment) bore to the aggregate Allocable Amounts of each Guarantor as determined immediately prior to the making of such Guarantor Payment, </w:t>
      </w:r>
      <w:r>
        <w:rPr>
          <w:rFonts w:ascii="Times New Roman;Times;Serif" w:hAnsi="Times New Roman;Times;Serif"/>
          <w:b w:val="false"/>
          <w:i w:val="false"/>
          <w:caps w:val="false"/>
          <w:smallCaps w:val="false"/>
          <w:sz w:val="20"/>
          <w:u w:val="single"/>
        </w:rPr>
        <w:t>then</w:t>
      </w:r>
      <w:r>
        <w:rPr>
          <w:rFonts w:ascii="Times New Roman;Times;Serif" w:hAnsi="Times New Roman;Times;Serif"/>
          <w:b w:val="false"/>
          <w:i w:val="false"/>
          <w:caps w:val="false"/>
          <w:smallCaps w:val="false"/>
          <w:sz w:val="20"/>
        </w:rPr>
        <w:t xml:space="preserve">, following indefeasible payment in full in cash of the Guarantor Payment and the Guaranteed Obligations, termination or expiration of all Term Loan Commitments, termination of this Agreement and satisfaction of all outstanding obligations under Hedging Agreements and Banking Services Agreements, such Guarantor shall be entitled to seek and receive contribution and indemnification payments from, and be reimbursed by, each other Guarantor for the amount of such excess,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based upon their respective Allocable Amounts in effect immediately prior to such Guarantor Payment. As of any date of determination, the “</w:t>
      </w:r>
      <w:r>
        <w:rPr>
          <w:rFonts w:ascii="Times New Roman;Times;Serif" w:hAnsi="Times New Roman;Times;Serif"/>
          <w:b w:val="false"/>
          <w:i w:val="false"/>
          <w:caps w:val="false"/>
          <w:smallCaps w:val="false"/>
          <w:sz w:val="20"/>
          <w:u w:val="single"/>
        </w:rPr>
        <w:t>Allocable Amount</w:t>
      </w:r>
      <w:r>
        <w:rPr>
          <w:rFonts w:ascii="Times New Roman;Times;Serif" w:hAnsi="Times New Roman;Times;Serif"/>
          <w:b w:val="false"/>
          <w:i w:val="false"/>
          <w:caps w:val="false"/>
          <w:smallCaps w:val="false"/>
          <w:sz w:val="20"/>
        </w:rPr>
        <w:t xml:space="preserve">” of any Guarantor shall be equal to the excess of the value of the property of such Guarantor at a fair valuation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 to all payments made by the other Guarantors as of such date in a manner to maximize the amount of such contributions. This paragraph is intended only to define the relative rights of the Guarantors, and nothing set forth in this paragraph is intended to or shall impair the obligations of the Guarantors to pay any amounts as and when the same shall become due and payable in accordance with the terms of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The parties hereto acknowledge that the rights of contribution and indemnification hereunder shall constitute assets of the Guarantor or Guarantors to which such contribution and indemnification is owing. The rights of the indemnifying Guarantors against other Guarantors under this paragraph shall be exercisable upon the full and indefeasible payment of the Guaranteed Obligations in cash and the termination or expiry of the Term Loan Commitments and the termination of this Agreement and the satisfaction of all outstanding obligations under the Hedging Agreements and Banking Services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and delivered by their respective authorized representatives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5295" w:type="dxa"/>
        <w:jc w:val="left"/>
        <w:tblInd w:w="0" w:type="dxa"/>
        <w:tblLayout w:type="fixed"/>
        <w:tblCellMar>
          <w:top w:w="0" w:type="dxa"/>
          <w:left w:w="0" w:type="dxa"/>
          <w:bottom w:w="0" w:type="dxa"/>
          <w:right w:w="0" w:type="dxa"/>
        </w:tblCellMar>
      </w:tblPr>
      <w:tblGrid>
        <w:gridCol w:w="75"/>
        <w:gridCol w:w="305"/>
        <w:gridCol w:w="590"/>
        <w:gridCol w:w="4325"/>
      </w:tblGrid>
      <w:tr>
        <w:trPr/>
        <w:tc>
          <w:tcPr>
            <w:tcW w:w="75" w:type="dxa"/>
            <w:tcBorders/>
            <w:vAlign w:val="center"/>
          </w:tcPr>
          <w:p>
            <w:pPr>
              <w:pStyle w:val="TableContents"/>
              <w:bidi w:val="0"/>
              <w:spacing w:before="0" w:after="283"/>
              <w:jc w:val="left"/>
              <w:rPr/>
            </w:pPr>
            <w:r>
              <w:rPr/>
              <w:t> </w:t>
            </w:r>
          </w:p>
        </w:tc>
        <w:tc>
          <w:tcPr>
            <w:tcW w:w="5220" w:type="dxa"/>
            <w:gridSpan w:val="3"/>
            <w:tcBorders/>
            <w:vAlign w:val="center"/>
          </w:tcPr>
          <w:p>
            <w:pPr>
              <w:pStyle w:val="TableContents"/>
              <w:bidi w:val="0"/>
              <w:spacing w:before="0" w:after="283"/>
              <w:jc w:val="both"/>
              <w:rPr/>
            </w:pPr>
            <w:r>
              <w:rPr>
                <w:rFonts w:ascii="Times New Roman;Times;Serif" w:hAnsi="Times New Roman;Times;Serif"/>
                <w:caps/>
                <w:sz w:val="20"/>
              </w:rPr>
              <w:t>PENTAIR Finance S.à r.l.</w:t>
            </w:r>
            <w:r>
              <w:rPr>
                <w:sz w:val="20"/>
              </w:rPr>
              <w:t>, as the Borrower</w:t>
            </w:r>
          </w:p>
        </w:tc>
      </w:tr>
      <w:tr>
        <w:trPr/>
        <w:tc>
          <w:tcPr>
            <w:tcW w:w="75" w:type="dxa"/>
            <w:tcBorders/>
            <w:vAlign w:val="center"/>
          </w:tcPr>
          <w:p>
            <w:pPr>
              <w:pStyle w:val="TableContents"/>
              <w:bidi w:val="0"/>
              <w:spacing w:before="0" w:after="283"/>
              <w:jc w:val="left"/>
              <w:rPr/>
            </w:pPr>
            <w:r>
              <w:rPr/>
              <w:t> </w:t>
            </w:r>
          </w:p>
        </w:tc>
        <w:tc>
          <w:tcPr>
            <w:tcW w:w="5220"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491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Gina Marie Passage             </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Gina Marie Passage</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5220"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220" w:type="dxa"/>
            <w:gridSpan w:val="3"/>
            <w:tcBorders/>
            <w:vAlign w:val="center"/>
          </w:tcPr>
          <w:p>
            <w:pPr>
              <w:pStyle w:val="TableContents"/>
              <w:bidi w:val="0"/>
              <w:spacing w:before="0" w:after="283"/>
              <w:jc w:val="both"/>
              <w:rPr/>
            </w:pPr>
            <w:r>
              <w:rPr>
                <w:rFonts w:ascii="Times New Roman;Times;Serif" w:hAnsi="Times New Roman;Times;Serif"/>
                <w:caps/>
                <w:sz w:val="20"/>
              </w:rPr>
              <w:t>PENTAIR plc</w:t>
            </w:r>
            <w:r>
              <w:rPr>
                <w:sz w:val="20"/>
              </w:rPr>
              <w:t>, as the Parent</w:t>
            </w:r>
          </w:p>
        </w:tc>
      </w:tr>
      <w:tr>
        <w:trPr/>
        <w:tc>
          <w:tcPr>
            <w:tcW w:w="75" w:type="dxa"/>
            <w:tcBorders/>
            <w:vAlign w:val="center"/>
          </w:tcPr>
          <w:p>
            <w:pPr>
              <w:pStyle w:val="TableContents"/>
              <w:bidi w:val="0"/>
              <w:spacing w:before="0" w:after="283"/>
              <w:jc w:val="left"/>
              <w:rPr/>
            </w:pPr>
            <w:r>
              <w:rPr/>
              <w:t> </w:t>
            </w:r>
          </w:p>
        </w:tc>
        <w:tc>
          <w:tcPr>
            <w:tcW w:w="5220"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491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Robert P. Fishman</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Robert P. Fishman</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left"/>
              <w:rPr>
                <w:sz w:val="20"/>
              </w:rPr>
            </w:pPr>
            <w:r>
              <w:rPr>
                <w:sz w:val="20"/>
              </w:rPr>
              <w:t>Title:</w:t>
            </w:r>
          </w:p>
        </w:tc>
        <w:tc>
          <w:tcPr>
            <w:tcW w:w="4325" w:type="dxa"/>
            <w:tcBorders/>
            <w:vAlign w:val="center"/>
          </w:tcPr>
          <w:p>
            <w:pPr>
              <w:pStyle w:val="TableContents"/>
              <w:bidi w:val="0"/>
              <w:spacing w:before="0" w:after="283"/>
              <w:jc w:val="left"/>
              <w:rPr>
                <w:sz w:val="20"/>
              </w:rPr>
            </w:pPr>
            <w:r>
              <w:rPr>
                <w:sz w:val="20"/>
              </w:rPr>
              <w:t>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pPr>
            <w:r>
              <w:rPr/>
              <w:t> </w:t>
            </w:r>
          </w:p>
        </w:tc>
        <w:tc>
          <w:tcPr>
            <w:tcW w:w="491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220" w:type="dxa"/>
            <w:gridSpan w:val="3"/>
            <w:tcBorders/>
            <w:vAlign w:val="center"/>
          </w:tcPr>
          <w:p>
            <w:pPr>
              <w:pStyle w:val="TableContents"/>
              <w:bidi w:val="0"/>
              <w:spacing w:before="0" w:after="283"/>
              <w:jc w:val="left"/>
              <w:rPr/>
            </w:pPr>
            <w:r>
              <w:rPr>
                <w:rFonts w:ascii="Times New Roman;Times;Serif" w:hAnsi="Times New Roman;Times;Serif"/>
                <w:caps/>
                <w:sz w:val="20"/>
              </w:rPr>
              <w:t>PENTAIR, INC.</w:t>
            </w:r>
            <w:r>
              <w:rPr>
                <w:sz w:val="20"/>
              </w:rPr>
              <w:t>, as an Additional Guarantor</w:t>
            </w:r>
          </w:p>
        </w:tc>
      </w:tr>
      <w:tr>
        <w:trPr/>
        <w:tc>
          <w:tcPr>
            <w:tcW w:w="75" w:type="dxa"/>
            <w:tcBorders/>
            <w:vAlign w:val="center"/>
          </w:tcPr>
          <w:p>
            <w:pPr>
              <w:pStyle w:val="TableContents"/>
              <w:bidi w:val="0"/>
              <w:spacing w:before="0" w:after="283"/>
              <w:jc w:val="left"/>
              <w:rPr/>
            </w:pPr>
            <w:r>
              <w:rPr/>
              <w:t> </w:t>
            </w:r>
          </w:p>
        </w:tc>
        <w:tc>
          <w:tcPr>
            <w:tcW w:w="5220"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91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Robert P. Fishman</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Robert P. Fishman</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President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Pentair Finance S.à 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75"/>
        <w:gridCol w:w="677"/>
        <w:gridCol w:w="1311"/>
        <w:gridCol w:w="4645"/>
      </w:tblGrid>
      <w:tr>
        <w:trPr/>
        <w:tc>
          <w:tcPr>
            <w:tcW w:w="75" w:type="dxa"/>
            <w:tcBorders/>
            <w:vAlign w:val="center"/>
          </w:tcPr>
          <w:p>
            <w:pPr>
              <w:pStyle w:val="TableContents"/>
              <w:bidi w:val="0"/>
              <w:spacing w:before="0" w:after="283"/>
              <w:jc w:val="left"/>
              <w:rPr/>
            </w:pPr>
            <w:r>
              <w:rPr/>
              <w:t> </w:t>
            </w:r>
          </w:p>
        </w:tc>
        <w:tc>
          <w:tcPr>
            <w:tcW w:w="663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BANK NATIONAL ASSOCIATION, as a Lender and as Administrative Agent</w:t>
            </w:r>
          </w:p>
        </w:tc>
      </w:tr>
      <w:tr>
        <w:trPr/>
        <w:tc>
          <w:tcPr>
            <w:tcW w:w="75" w:type="dxa"/>
            <w:tcBorders/>
            <w:vAlign w:val="center"/>
          </w:tcPr>
          <w:p>
            <w:pPr>
              <w:pStyle w:val="TableContents"/>
              <w:bidi w:val="0"/>
              <w:spacing w:before="0" w:after="283"/>
              <w:jc w:val="left"/>
              <w:rPr/>
            </w:pPr>
            <w:r>
              <w:rPr/>
              <w:t> </w:t>
            </w:r>
          </w:p>
        </w:tc>
        <w:tc>
          <w:tcPr>
            <w:tcW w:w="6633"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5956"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Patrick H. McGraw</w:t>
            </w:r>
          </w:p>
        </w:tc>
      </w:tr>
      <w:tr>
        <w:trPr/>
        <w:tc>
          <w:tcPr>
            <w:tcW w:w="75"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both"/>
              <w:rPr/>
            </w:pPr>
            <w:r>
              <w:rPr/>
              <w:t> </w:t>
            </w:r>
          </w:p>
        </w:tc>
        <w:tc>
          <w:tcPr>
            <w:tcW w:w="13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4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Patrick H. McGraw</w:t>
            </w:r>
          </w:p>
        </w:tc>
      </w:tr>
      <w:tr>
        <w:trPr/>
        <w:tc>
          <w:tcPr>
            <w:tcW w:w="75"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both"/>
              <w:rPr/>
            </w:pPr>
            <w:r>
              <w:rPr/>
              <w:t> </w:t>
            </w:r>
          </w:p>
        </w:tc>
        <w:tc>
          <w:tcPr>
            <w:tcW w:w="1311" w:type="dxa"/>
            <w:tcBorders/>
            <w:vAlign w:val="center"/>
          </w:tcPr>
          <w:p>
            <w:pPr>
              <w:pStyle w:val="TableContents"/>
              <w:bidi w:val="0"/>
              <w:spacing w:before="0" w:after="283"/>
              <w:jc w:val="left"/>
              <w:rPr/>
            </w:pPr>
            <w:r>
              <w:rPr/>
              <w:t>Title:</w:t>
            </w:r>
          </w:p>
        </w:tc>
        <w:tc>
          <w:tcPr>
            <w:tcW w:w="4645" w:type="dxa"/>
            <w:tcBorders/>
            <w:vAlign w:val="center"/>
          </w:tcPr>
          <w:p>
            <w:pPr>
              <w:pStyle w:val="TableContents"/>
              <w:bidi w:val="0"/>
              <w:spacing w:before="0" w:after="283"/>
              <w:jc w:val="left"/>
              <w:rPr/>
            </w:pPr>
            <w:r>
              <w:rPr/>
              <w:t>Senior Vice President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Pentair Finance S.à 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3"/>
        <w:gridCol w:w="2480"/>
        <w:gridCol w:w="6547"/>
      </w:tblGrid>
      <w:tr>
        <w:trPr/>
        <w:tc>
          <w:tcPr>
            <w:tcW w:w="75" w:type="dxa"/>
            <w:tcBorders/>
            <w:vAlign w:val="center"/>
          </w:tcPr>
          <w:p>
            <w:pPr>
              <w:pStyle w:val="TableContents"/>
              <w:bidi w:val="0"/>
              <w:spacing w:before="0" w:after="283"/>
              <w:jc w:val="left"/>
              <w:rPr/>
            </w:pPr>
            <w:r>
              <w:rPr/>
              <w:t> </w:t>
            </w:r>
          </w:p>
        </w:tc>
        <w:tc>
          <w:tcPr>
            <w:tcW w:w="1013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 as a Lender and a Notifying Lender in order to appoint Bank of America Europe Designated Activity Company as an EU Lender</w:t>
            </w:r>
          </w:p>
        </w:tc>
      </w:tr>
      <w:tr>
        <w:trPr/>
        <w:tc>
          <w:tcPr>
            <w:tcW w:w="75" w:type="dxa"/>
            <w:tcBorders/>
            <w:vAlign w:val="center"/>
          </w:tcPr>
          <w:p>
            <w:pPr>
              <w:pStyle w:val="TableContents"/>
              <w:bidi w:val="0"/>
              <w:spacing w:before="0" w:after="283"/>
              <w:jc w:val="left"/>
              <w:rPr/>
            </w:pPr>
            <w:r>
              <w:rPr/>
              <w:t> </w:t>
            </w:r>
          </w:p>
        </w:tc>
        <w:tc>
          <w:tcPr>
            <w:tcW w:w="101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02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Contreras</w:t>
            </w:r>
          </w:p>
        </w:tc>
      </w:tr>
      <w:tr>
        <w:trPr/>
        <w:tc>
          <w:tcPr>
            <w:tcW w:w="75"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6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Contreras</w:t>
            </w:r>
          </w:p>
        </w:tc>
      </w:tr>
      <w:tr>
        <w:trPr/>
        <w:tc>
          <w:tcPr>
            <w:tcW w:w="75"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pPr>
            <w:r>
              <w:rPr/>
              <w:t> </w:t>
            </w:r>
          </w:p>
        </w:tc>
        <w:tc>
          <w:tcPr>
            <w:tcW w:w="101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13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EUROPE DESIGNATED ACTIVITY COMPANY, as an EU Lender</w:t>
            </w:r>
          </w:p>
        </w:tc>
      </w:tr>
      <w:tr>
        <w:trPr/>
        <w:tc>
          <w:tcPr>
            <w:tcW w:w="75" w:type="dxa"/>
            <w:tcBorders/>
            <w:vAlign w:val="center"/>
          </w:tcPr>
          <w:p>
            <w:pPr>
              <w:pStyle w:val="TableContents"/>
              <w:bidi w:val="0"/>
              <w:spacing w:before="0" w:after="283"/>
              <w:jc w:val="left"/>
              <w:rPr/>
            </w:pPr>
            <w:r>
              <w:rPr/>
              <w:t> </w:t>
            </w:r>
          </w:p>
        </w:tc>
        <w:tc>
          <w:tcPr>
            <w:tcW w:w="101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02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Fiona Malitsky</w:t>
            </w:r>
          </w:p>
        </w:tc>
      </w:tr>
      <w:tr>
        <w:trPr/>
        <w:tc>
          <w:tcPr>
            <w:tcW w:w="75"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6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Fiona Malitsky</w:t>
            </w:r>
          </w:p>
        </w:tc>
      </w:tr>
      <w:tr>
        <w:trPr/>
        <w:tc>
          <w:tcPr>
            <w:tcW w:w="75"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6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Pentair Finance S.à 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75"/>
        <w:gridCol w:w="725"/>
        <w:gridCol w:w="1545"/>
        <w:gridCol w:w="4363"/>
      </w:tblGrid>
      <w:tr>
        <w:trPr/>
        <w:tc>
          <w:tcPr>
            <w:tcW w:w="75" w:type="dxa"/>
            <w:tcBorders/>
            <w:vAlign w:val="center"/>
          </w:tcPr>
          <w:p>
            <w:pPr>
              <w:pStyle w:val="TableContents"/>
              <w:bidi w:val="0"/>
              <w:spacing w:before="0" w:after="283"/>
              <w:jc w:val="left"/>
              <w:rPr/>
            </w:pPr>
            <w:r>
              <w:rPr/>
              <w:t> </w:t>
            </w:r>
          </w:p>
        </w:tc>
        <w:tc>
          <w:tcPr>
            <w:tcW w:w="663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BANCO BILBAO VIZCAYA ARGENTARIA, NEW YORK BRANCH, as a Lender</w:t>
            </w:r>
          </w:p>
        </w:tc>
      </w:tr>
      <w:tr>
        <w:trPr/>
        <w:tc>
          <w:tcPr>
            <w:tcW w:w="75" w:type="dxa"/>
            <w:tcBorders/>
            <w:vAlign w:val="center"/>
          </w:tcPr>
          <w:p>
            <w:pPr>
              <w:pStyle w:val="TableContents"/>
              <w:bidi w:val="0"/>
              <w:spacing w:before="0" w:after="283"/>
              <w:jc w:val="left"/>
              <w:rPr/>
            </w:pPr>
            <w:r>
              <w:rPr/>
              <w:t> </w:t>
            </w:r>
          </w:p>
        </w:tc>
        <w:tc>
          <w:tcPr>
            <w:tcW w:w="6633"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5908"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Cara Younger</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both"/>
              <w:rPr/>
            </w:pPr>
            <w:r>
              <w:rPr/>
              <w:t> </w:t>
            </w:r>
          </w:p>
        </w:tc>
        <w:tc>
          <w:tcPr>
            <w:tcW w:w="1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43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Cara Younger</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both"/>
              <w:rPr/>
            </w:pPr>
            <w:r>
              <w:rPr/>
              <w:t> </w:t>
            </w:r>
          </w:p>
        </w:tc>
        <w:tc>
          <w:tcPr>
            <w:tcW w:w="1545" w:type="dxa"/>
            <w:tcBorders/>
            <w:vAlign w:val="center"/>
          </w:tcPr>
          <w:p>
            <w:pPr>
              <w:pStyle w:val="TableContents"/>
              <w:bidi w:val="0"/>
              <w:spacing w:before="0" w:after="283"/>
              <w:jc w:val="left"/>
              <w:rPr/>
            </w:pPr>
            <w:r>
              <w:rPr/>
              <w:t>Title:</w:t>
            </w:r>
          </w:p>
        </w:tc>
        <w:tc>
          <w:tcPr>
            <w:tcW w:w="4363" w:type="dxa"/>
            <w:tcBorders/>
            <w:vAlign w:val="center"/>
          </w:tcPr>
          <w:p>
            <w:pPr>
              <w:pStyle w:val="TableContents"/>
              <w:bidi w:val="0"/>
              <w:spacing w:before="0" w:after="283"/>
              <w:jc w:val="left"/>
              <w:rPr/>
            </w:pPr>
            <w:r>
              <w:rPr/>
              <w:t>Managing Director</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both"/>
              <w:rPr/>
            </w:pPr>
            <w:r>
              <w:rPr/>
              <w:t> </w:t>
            </w:r>
          </w:p>
        </w:tc>
        <w:tc>
          <w:tcPr>
            <w:tcW w:w="5908"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both"/>
              <w:rPr/>
            </w:pPr>
            <w:r>
              <w:rPr/>
              <w:t>By</w:t>
            </w:r>
          </w:p>
        </w:tc>
        <w:tc>
          <w:tcPr>
            <w:tcW w:w="5908" w:type="dxa"/>
            <w:gridSpan w:val="2"/>
            <w:tcBorders>
              <w:bottom w:val="single" w:sz="8" w:space="0" w:color="000000"/>
            </w:tcBorders>
            <w:tcMar>
              <w:bottom w:w="28" w:type="dxa"/>
            </w:tcMar>
            <w:vAlign w:val="center"/>
          </w:tcPr>
          <w:p>
            <w:pPr>
              <w:pStyle w:val="TableContents"/>
              <w:bidi w:val="0"/>
              <w:spacing w:before="0" w:after="283"/>
              <w:jc w:val="left"/>
              <w:rPr/>
            </w:pPr>
            <w:r>
              <w:rPr/>
              <w:t>/s/ Armen Semizian</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both"/>
              <w:rPr/>
            </w:pPr>
            <w:r>
              <w:rPr/>
              <w:t> </w:t>
            </w:r>
          </w:p>
        </w:tc>
        <w:tc>
          <w:tcPr>
            <w:tcW w:w="1545" w:type="dxa"/>
            <w:tcBorders/>
            <w:vAlign w:val="center"/>
          </w:tcPr>
          <w:p>
            <w:pPr>
              <w:pStyle w:val="TableContents"/>
              <w:bidi w:val="0"/>
              <w:spacing w:before="0" w:after="283"/>
              <w:jc w:val="left"/>
              <w:rPr/>
            </w:pPr>
            <w:r>
              <w:rPr/>
              <w:t>Name:</w:t>
            </w:r>
          </w:p>
        </w:tc>
        <w:tc>
          <w:tcPr>
            <w:tcW w:w="4363" w:type="dxa"/>
            <w:tcBorders/>
            <w:vAlign w:val="center"/>
          </w:tcPr>
          <w:p>
            <w:pPr>
              <w:pStyle w:val="TableContents"/>
              <w:bidi w:val="0"/>
              <w:spacing w:before="0" w:after="283"/>
              <w:jc w:val="left"/>
              <w:rPr/>
            </w:pPr>
            <w:r>
              <w:rPr/>
              <w:t>Armen Semizian</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both"/>
              <w:rPr/>
            </w:pPr>
            <w:r>
              <w:rPr/>
              <w:t> </w:t>
            </w:r>
          </w:p>
        </w:tc>
        <w:tc>
          <w:tcPr>
            <w:tcW w:w="1545" w:type="dxa"/>
            <w:tcBorders/>
            <w:vAlign w:val="center"/>
          </w:tcPr>
          <w:p>
            <w:pPr>
              <w:pStyle w:val="TableContents"/>
              <w:bidi w:val="0"/>
              <w:spacing w:before="0" w:after="283"/>
              <w:jc w:val="left"/>
              <w:rPr/>
            </w:pPr>
            <w:r>
              <w:rPr/>
              <w:t>Title:</w:t>
            </w:r>
          </w:p>
        </w:tc>
        <w:tc>
          <w:tcPr>
            <w:tcW w:w="4363" w:type="dxa"/>
            <w:tcBorders/>
            <w:vAlign w:val="center"/>
          </w:tcPr>
          <w:p>
            <w:pPr>
              <w:pStyle w:val="TableContents"/>
              <w:bidi w:val="0"/>
              <w:spacing w:before="0" w:after="283"/>
              <w:jc w:val="left"/>
              <w:rPr/>
            </w:pPr>
            <w:r>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Pentair Finance S.à 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643" w:type="dxa"/>
        <w:jc w:val="left"/>
        <w:tblInd w:w="0" w:type="dxa"/>
        <w:tblLayout w:type="fixed"/>
        <w:tblCellMar>
          <w:top w:w="0" w:type="dxa"/>
          <w:left w:w="0" w:type="dxa"/>
          <w:bottom w:w="0" w:type="dxa"/>
          <w:right w:w="0" w:type="dxa"/>
        </w:tblCellMar>
      </w:tblPr>
      <w:tblGrid>
        <w:gridCol w:w="75"/>
        <w:gridCol w:w="519"/>
        <w:gridCol w:w="1004"/>
        <w:gridCol w:w="4045"/>
      </w:tblGrid>
      <w:tr>
        <w:trPr/>
        <w:tc>
          <w:tcPr>
            <w:tcW w:w="75" w:type="dxa"/>
            <w:tcBorders/>
            <w:vAlign w:val="center"/>
          </w:tcPr>
          <w:p>
            <w:pPr>
              <w:pStyle w:val="TableContents"/>
              <w:bidi w:val="0"/>
              <w:spacing w:before="0" w:after="283"/>
              <w:jc w:val="left"/>
              <w:rPr/>
            </w:pPr>
            <w:r>
              <w:rPr/>
              <w:t> </w:t>
            </w:r>
          </w:p>
        </w:tc>
        <w:tc>
          <w:tcPr>
            <w:tcW w:w="556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CHINA LIMITED, LOS ANGELES BRANCH, as a Lender</w:t>
            </w:r>
          </w:p>
        </w:tc>
      </w:tr>
      <w:tr>
        <w:trPr/>
        <w:tc>
          <w:tcPr>
            <w:tcW w:w="75" w:type="dxa"/>
            <w:tcBorders/>
            <w:vAlign w:val="center"/>
          </w:tcPr>
          <w:p>
            <w:pPr>
              <w:pStyle w:val="TableContents"/>
              <w:bidi w:val="0"/>
              <w:spacing w:before="0" w:after="283"/>
              <w:jc w:val="left"/>
              <w:rPr/>
            </w:pPr>
            <w:r>
              <w:rPr/>
              <w:t> </w:t>
            </w:r>
          </w:p>
        </w:tc>
        <w:tc>
          <w:tcPr>
            <w:tcW w:w="5568"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5049"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Peng Li</w:t>
            </w:r>
          </w:p>
        </w:tc>
      </w:tr>
      <w:tr>
        <w:trPr/>
        <w:tc>
          <w:tcPr>
            <w:tcW w:w="75" w:type="dxa"/>
            <w:tcBorders/>
            <w:vAlign w:val="center"/>
          </w:tcPr>
          <w:p>
            <w:pPr>
              <w:pStyle w:val="TableContents"/>
              <w:bidi w:val="0"/>
              <w:spacing w:before="0" w:after="283"/>
              <w:jc w:val="left"/>
              <w:rPr/>
            </w:pPr>
            <w:r>
              <w:rPr/>
              <w:t> </w:t>
            </w:r>
          </w:p>
        </w:tc>
        <w:tc>
          <w:tcPr>
            <w:tcW w:w="519" w:type="dxa"/>
            <w:tcBorders/>
            <w:vAlign w:val="center"/>
          </w:tcPr>
          <w:p>
            <w:pPr>
              <w:pStyle w:val="TableContents"/>
              <w:bidi w:val="0"/>
              <w:spacing w:before="0" w:after="283"/>
              <w:jc w:val="both"/>
              <w:rPr/>
            </w:pPr>
            <w:r>
              <w:rPr/>
              <w:t> </w:t>
            </w:r>
          </w:p>
        </w:tc>
        <w:tc>
          <w:tcPr>
            <w:tcW w:w="10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4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Peng Li</w:t>
            </w:r>
          </w:p>
        </w:tc>
      </w:tr>
      <w:tr>
        <w:trPr/>
        <w:tc>
          <w:tcPr>
            <w:tcW w:w="75" w:type="dxa"/>
            <w:tcBorders/>
            <w:vAlign w:val="center"/>
          </w:tcPr>
          <w:p>
            <w:pPr>
              <w:pStyle w:val="TableContents"/>
              <w:bidi w:val="0"/>
              <w:spacing w:before="0" w:after="283"/>
              <w:jc w:val="left"/>
              <w:rPr/>
            </w:pPr>
            <w:r>
              <w:rPr/>
              <w:t> </w:t>
            </w:r>
          </w:p>
        </w:tc>
        <w:tc>
          <w:tcPr>
            <w:tcW w:w="519" w:type="dxa"/>
            <w:tcBorders/>
            <w:vAlign w:val="center"/>
          </w:tcPr>
          <w:p>
            <w:pPr>
              <w:pStyle w:val="TableContents"/>
              <w:bidi w:val="0"/>
              <w:spacing w:before="0" w:after="283"/>
              <w:jc w:val="both"/>
              <w:rPr/>
            </w:pPr>
            <w:r>
              <w:rPr/>
              <w:t> </w:t>
            </w:r>
          </w:p>
        </w:tc>
        <w:tc>
          <w:tcPr>
            <w:tcW w:w="1004" w:type="dxa"/>
            <w:tcBorders/>
            <w:vAlign w:val="center"/>
          </w:tcPr>
          <w:p>
            <w:pPr>
              <w:pStyle w:val="TableContents"/>
              <w:bidi w:val="0"/>
              <w:spacing w:before="0" w:after="283"/>
              <w:jc w:val="left"/>
              <w:rPr/>
            </w:pPr>
            <w:r>
              <w:rPr/>
              <w:t>Title:</w:t>
            </w:r>
          </w:p>
        </w:tc>
        <w:tc>
          <w:tcPr>
            <w:tcW w:w="4045" w:type="dxa"/>
            <w:tcBorders/>
            <w:vAlign w:val="center"/>
          </w:tcPr>
          <w:p>
            <w:pPr>
              <w:pStyle w:val="TableContents"/>
              <w:bidi w:val="0"/>
              <w:spacing w:before="0" w:after="283"/>
              <w:jc w:val="left"/>
              <w:rPr/>
            </w:pPr>
            <w:r>
              <w:rPr/>
              <w:t>SVP &amp; Branch Manager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Pentair Finance S.à 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75"/>
        <w:gridCol w:w="462"/>
        <w:gridCol w:w="1156"/>
        <w:gridCol w:w="2570"/>
      </w:tblGrid>
      <w:tr>
        <w:trPr/>
        <w:tc>
          <w:tcPr>
            <w:tcW w:w="75"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MONTREAL EUROPE PLC, as a Lender</w:t>
            </w:r>
          </w:p>
        </w:tc>
      </w:tr>
      <w:tr>
        <w:trPr/>
        <w:tc>
          <w:tcPr>
            <w:tcW w:w="75"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726"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Garrett Poynton</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both"/>
              <w:rPr/>
            </w:pPr>
            <w:r>
              <w:rPr/>
              <w:t> </w:t>
            </w:r>
          </w:p>
        </w:tc>
        <w:tc>
          <w:tcPr>
            <w:tcW w:w="11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2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Garrett Poynton</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both"/>
              <w:rPr/>
            </w:pPr>
            <w:r>
              <w:rPr/>
              <w:t> </w:t>
            </w:r>
          </w:p>
        </w:tc>
        <w:tc>
          <w:tcPr>
            <w:tcW w:w="1156" w:type="dxa"/>
            <w:tcBorders/>
            <w:vAlign w:val="center"/>
          </w:tcPr>
          <w:p>
            <w:pPr>
              <w:pStyle w:val="TableContents"/>
              <w:bidi w:val="0"/>
              <w:spacing w:before="0" w:after="283"/>
              <w:jc w:val="left"/>
              <w:rPr/>
            </w:pPr>
            <w:r>
              <w:rPr/>
              <w:t>Title:</w:t>
            </w:r>
          </w:p>
        </w:tc>
        <w:tc>
          <w:tcPr>
            <w:tcW w:w="2570" w:type="dxa"/>
            <w:tcBorders/>
            <w:vAlign w:val="center"/>
          </w:tcPr>
          <w:p>
            <w:pPr>
              <w:pStyle w:val="TableContents"/>
              <w:bidi w:val="0"/>
              <w:spacing w:before="0" w:after="283"/>
              <w:jc w:val="left"/>
              <w:rPr/>
            </w:pPr>
            <w:r>
              <w:rPr/>
              <w:t>CFO</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both"/>
              <w:rPr/>
            </w:pPr>
            <w:r>
              <w:rPr/>
              <w:t> </w:t>
            </w:r>
          </w:p>
        </w:tc>
        <w:tc>
          <w:tcPr>
            <w:tcW w:w="372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726"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James Linehan</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both"/>
              <w:rPr/>
            </w:pPr>
            <w:r>
              <w:rPr/>
              <w:t> </w:t>
            </w:r>
          </w:p>
        </w:tc>
        <w:tc>
          <w:tcPr>
            <w:tcW w:w="1156" w:type="dxa"/>
            <w:tcBorders/>
            <w:vAlign w:val="center"/>
          </w:tcPr>
          <w:p>
            <w:pPr>
              <w:pStyle w:val="TableContents"/>
              <w:bidi w:val="0"/>
              <w:spacing w:before="0" w:after="283"/>
              <w:jc w:val="left"/>
              <w:rPr/>
            </w:pPr>
            <w:r>
              <w:rPr/>
              <w:t>Name:</w:t>
            </w:r>
          </w:p>
        </w:tc>
        <w:tc>
          <w:tcPr>
            <w:tcW w:w="2570" w:type="dxa"/>
            <w:tcBorders/>
            <w:vAlign w:val="center"/>
          </w:tcPr>
          <w:p>
            <w:pPr>
              <w:pStyle w:val="TableContents"/>
              <w:bidi w:val="0"/>
              <w:spacing w:before="0" w:after="283"/>
              <w:jc w:val="left"/>
              <w:rPr/>
            </w:pPr>
            <w:r>
              <w:rPr/>
              <w:t>James Linehan</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both"/>
              <w:rPr/>
            </w:pPr>
            <w:r>
              <w:rPr/>
              <w:t> </w:t>
            </w:r>
          </w:p>
        </w:tc>
        <w:tc>
          <w:tcPr>
            <w:tcW w:w="1156" w:type="dxa"/>
            <w:tcBorders/>
            <w:vAlign w:val="center"/>
          </w:tcPr>
          <w:p>
            <w:pPr>
              <w:pStyle w:val="TableContents"/>
              <w:bidi w:val="0"/>
              <w:spacing w:before="0" w:after="283"/>
              <w:jc w:val="left"/>
              <w:rPr/>
            </w:pPr>
            <w:r>
              <w:rPr/>
              <w:t>Title:</w:t>
            </w:r>
          </w:p>
        </w:tc>
        <w:tc>
          <w:tcPr>
            <w:tcW w:w="2570" w:type="dxa"/>
            <w:tcBorders/>
            <w:vAlign w:val="center"/>
          </w:tcPr>
          <w:p>
            <w:pPr>
              <w:pStyle w:val="TableContents"/>
              <w:bidi w:val="0"/>
              <w:spacing w:before="0" w:after="283"/>
              <w:jc w:val="left"/>
              <w:rPr/>
            </w:pPr>
            <w:r>
              <w:rPr/>
              <w:t>Treasurer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Pentair Finance S.à 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444" w:type="dxa"/>
        <w:jc w:val="left"/>
        <w:tblInd w:w="0" w:type="dxa"/>
        <w:tblLayout w:type="fixed"/>
        <w:tblCellMar>
          <w:top w:w="0" w:type="dxa"/>
          <w:left w:w="0" w:type="dxa"/>
          <w:bottom w:w="0" w:type="dxa"/>
          <w:right w:w="0" w:type="dxa"/>
        </w:tblCellMar>
      </w:tblPr>
      <w:tblGrid>
        <w:gridCol w:w="75"/>
        <w:gridCol w:w="488"/>
        <w:gridCol w:w="944"/>
        <w:gridCol w:w="2937"/>
      </w:tblGrid>
      <w:tr>
        <w:trPr/>
        <w:tc>
          <w:tcPr>
            <w:tcW w:w="75" w:type="dxa"/>
            <w:tcBorders/>
            <w:vAlign w:val="center"/>
          </w:tcPr>
          <w:p>
            <w:pPr>
              <w:pStyle w:val="TableContents"/>
              <w:bidi w:val="0"/>
              <w:spacing w:before="0" w:after="283"/>
              <w:jc w:val="left"/>
              <w:rPr/>
            </w:pPr>
            <w:r>
              <w:rPr/>
              <w:t> </w:t>
            </w:r>
          </w:p>
        </w:tc>
        <w:tc>
          <w:tcPr>
            <w:tcW w:w="436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PNC BANK, NATIONAL ASSOCIATION, as a Lender</w:t>
            </w:r>
          </w:p>
        </w:tc>
      </w:tr>
      <w:tr>
        <w:trPr/>
        <w:tc>
          <w:tcPr>
            <w:tcW w:w="75" w:type="dxa"/>
            <w:tcBorders/>
            <w:vAlign w:val="center"/>
          </w:tcPr>
          <w:p>
            <w:pPr>
              <w:pStyle w:val="TableContents"/>
              <w:bidi w:val="0"/>
              <w:spacing w:before="0" w:after="283"/>
              <w:jc w:val="left"/>
              <w:rPr/>
            </w:pPr>
            <w:r>
              <w:rPr/>
              <w:t> </w:t>
            </w:r>
          </w:p>
        </w:tc>
        <w:tc>
          <w:tcPr>
            <w:tcW w:w="4369"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3881"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Greg Strauss</w:t>
            </w:r>
          </w:p>
        </w:tc>
      </w:tr>
      <w:tr>
        <w:trPr/>
        <w:tc>
          <w:tcPr>
            <w:tcW w:w="75"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both"/>
              <w:rPr/>
            </w:pPr>
            <w:r>
              <w:rPr/>
              <w:t> </w:t>
            </w:r>
          </w:p>
        </w:tc>
        <w:tc>
          <w:tcPr>
            <w:tcW w:w="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2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Greg Strauss</w:t>
            </w:r>
          </w:p>
        </w:tc>
      </w:tr>
      <w:tr>
        <w:trPr/>
        <w:tc>
          <w:tcPr>
            <w:tcW w:w="75"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both"/>
              <w:rPr/>
            </w:pPr>
            <w:r>
              <w:rPr/>
              <w:t> </w:t>
            </w:r>
          </w:p>
        </w:tc>
        <w:tc>
          <w:tcPr>
            <w:tcW w:w="944" w:type="dxa"/>
            <w:tcBorders/>
            <w:vAlign w:val="center"/>
          </w:tcPr>
          <w:p>
            <w:pPr>
              <w:pStyle w:val="TableContents"/>
              <w:bidi w:val="0"/>
              <w:spacing w:before="0" w:after="283"/>
              <w:jc w:val="left"/>
              <w:rPr/>
            </w:pPr>
            <w:r>
              <w:rPr/>
              <w:t>Title:</w:t>
            </w:r>
          </w:p>
        </w:tc>
        <w:tc>
          <w:tcPr>
            <w:tcW w:w="2937" w:type="dxa"/>
            <w:tcBorders/>
            <w:vAlign w:val="center"/>
          </w:tcPr>
          <w:p>
            <w:pPr>
              <w:pStyle w:val="TableContents"/>
              <w:bidi w:val="0"/>
              <w:spacing w:before="0" w:after="283"/>
              <w:jc w:val="left"/>
              <w:rPr/>
            </w:pPr>
            <w:r>
              <w:rPr/>
              <w:t>Managing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Pentair Finance S.à 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8404" w:type="dxa"/>
        <w:jc w:val="left"/>
        <w:tblInd w:w="0" w:type="dxa"/>
        <w:tblLayout w:type="fixed"/>
        <w:tblCellMar>
          <w:top w:w="0" w:type="dxa"/>
          <w:left w:w="0" w:type="dxa"/>
          <w:bottom w:w="0" w:type="dxa"/>
          <w:right w:w="0" w:type="dxa"/>
        </w:tblCellMar>
      </w:tblPr>
      <w:tblGrid>
        <w:gridCol w:w="75"/>
        <w:gridCol w:w="1050"/>
        <w:gridCol w:w="1771"/>
        <w:gridCol w:w="5508"/>
      </w:tblGrid>
      <w:tr>
        <w:trPr/>
        <w:tc>
          <w:tcPr>
            <w:tcW w:w="75" w:type="dxa"/>
            <w:tcBorders/>
            <w:vAlign w:val="center"/>
          </w:tcPr>
          <w:p>
            <w:pPr>
              <w:pStyle w:val="TableContents"/>
              <w:bidi w:val="0"/>
              <w:spacing w:before="0" w:after="283"/>
              <w:jc w:val="left"/>
              <w:rPr/>
            </w:pPr>
            <w:r>
              <w:rPr/>
              <w:t> </w:t>
            </w:r>
          </w:p>
        </w:tc>
        <w:tc>
          <w:tcPr>
            <w:tcW w:w="832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INDUSTRIAL AND COMMERCIAL BANK OF CHINA LIMITED, NEW YORK BRANCH, as a Lender</w:t>
            </w:r>
          </w:p>
        </w:tc>
      </w:tr>
      <w:tr>
        <w:trPr/>
        <w:tc>
          <w:tcPr>
            <w:tcW w:w="75" w:type="dxa"/>
            <w:tcBorders/>
            <w:vAlign w:val="center"/>
          </w:tcPr>
          <w:p>
            <w:pPr>
              <w:pStyle w:val="TableContents"/>
              <w:bidi w:val="0"/>
              <w:spacing w:before="0" w:after="283"/>
              <w:jc w:val="left"/>
              <w:rPr/>
            </w:pPr>
            <w:r>
              <w:rPr/>
              <w:t> </w:t>
            </w:r>
          </w:p>
        </w:tc>
        <w:tc>
          <w:tcPr>
            <w:tcW w:w="8329"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w:t>
            </w:r>
          </w:p>
        </w:tc>
        <w:tc>
          <w:tcPr>
            <w:tcW w:w="7279" w:type="dxa"/>
            <w:gridSpan w:val="2"/>
            <w:tcBorders>
              <w:bottom w:val="single" w:sz="8" w:space="0" w:color="000000"/>
            </w:tcBorders>
            <w:tcMar>
              <w:bottom w:w="28" w:type="dxa"/>
            </w:tcMar>
            <w:vAlign w:val="center"/>
          </w:tcPr>
          <w:p>
            <w:pPr>
              <w:pStyle w:val="TableContents"/>
              <w:bidi w:val="0"/>
              <w:spacing w:before="0" w:after="283"/>
              <w:jc w:val="both"/>
              <w:rPr/>
            </w:pPr>
            <w:r>
              <w:rPr/>
              <w:t> </w:t>
            </w:r>
            <w:r>
              <w:rPr>
                <w:rFonts w:ascii="Times New Roman;Times;Serif" w:hAnsi="Times New Roman;Times;Serif"/>
                <w:sz w:val="20"/>
              </w:rPr>
              <w:t>/s/ Christopher M Samms</w:t>
            </w:r>
          </w:p>
        </w:tc>
      </w:tr>
      <w:tr>
        <w:trPr/>
        <w:tc>
          <w:tcPr>
            <w:tcW w:w="7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both"/>
              <w:rPr/>
            </w:pPr>
            <w:r>
              <w:rPr/>
              <w:t> </w:t>
            </w:r>
          </w:p>
        </w:tc>
        <w:tc>
          <w:tcPr>
            <w:tcW w:w="17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55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Christopher M Samms</w:t>
            </w:r>
          </w:p>
        </w:tc>
      </w:tr>
      <w:tr>
        <w:trPr/>
        <w:tc>
          <w:tcPr>
            <w:tcW w:w="7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both"/>
              <w:rPr/>
            </w:pPr>
            <w:r>
              <w:rPr/>
              <w:t> </w:t>
            </w:r>
          </w:p>
        </w:tc>
        <w:tc>
          <w:tcPr>
            <w:tcW w:w="1771" w:type="dxa"/>
            <w:tcBorders/>
            <w:vAlign w:val="center"/>
          </w:tcPr>
          <w:p>
            <w:pPr>
              <w:pStyle w:val="TableContents"/>
              <w:bidi w:val="0"/>
              <w:spacing w:before="0" w:after="283"/>
              <w:jc w:val="left"/>
              <w:rPr/>
            </w:pPr>
            <w:r>
              <w:rPr/>
              <w:t>Title:</w:t>
            </w:r>
          </w:p>
        </w:tc>
        <w:tc>
          <w:tcPr>
            <w:tcW w:w="5508" w:type="dxa"/>
            <w:tcBorders/>
            <w:vAlign w:val="center"/>
          </w:tcPr>
          <w:p>
            <w:pPr>
              <w:pStyle w:val="TableContents"/>
              <w:bidi w:val="0"/>
              <w:spacing w:before="0" w:after="283"/>
              <w:jc w:val="left"/>
              <w:rPr/>
            </w:pPr>
            <w:r>
              <w:rPr/>
              <w:t>Director</w:t>
            </w:r>
          </w:p>
        </w:tc>
      </w:tr>
      <w:tr>
        <w:trPr/>
        <w:tc>
          <w:tcPr>
            <w:tcW w:w="7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both"/>
              <w:rPr/>
            </w:pPr>
            <w:r>
              <w:rPr/>
              <w:t> </w:t>
            </w:r>
          </w:p>
        </w:tc>
        <w:tc>
          <w:tcPr>
            <w:tcW w:w="1771" w:type="dxa"/>
            <w:tcBorders/>
            <w:vAlign w:val="center"/>
          </w:tcPr>
          <w:p>
            <w:pPr>
              <w:pStyle w:val="TableContents"/>
              <w:bidi w:val="0"/>
              <w:spacing w:before="0" w:after="283"/>
              <w:jc w:val="left"/>
              <w:rPr/>
            </w:pPr>
            <w:r>
              <w:rPr/>
              <w:t> </w:t>
            </w:r>
          </w:p>
        </w:tc>
        <w:tc>
          <w:tcPr>
            <w:tcW w:w="55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7279"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Pinyen Shih</w:t>
            </w:r>
          </w:p>
        </w:tc>
      </w:tr>
      <w:tr>
        <w:trPr/>
        <w:tc>
          <w:tcPr>
            <w:tcW w:w="7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both"/>
              <w:rPr/>
            </w:pPr>
            <w:r>
              <w:rPr/>
              <w:t> </w:t>
            </w:r>
          </w:p>
        </w:tc>
        <w:tc>
          <w:tcPr>
            <w:tcW w:w="17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55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Pinyen Shih</w:t>
            </w:r>
          </w:p>
        </w:tc>
      </w:tr>
      <w:tr>
        <w:trPr/>
        <w:tc>
          <w:tcPr>
            <w:tcW w:w="7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both"/>
              <w:rPr/>
            </w:pPr>
            <w:r>
              <w:rPr/>
              <w:t> </w:t>
            </w:r>
          </w:p>
        </w:tc>
        <w:tc>
          <w:tcPr>
            <w:tcW w:w="17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w:t>
            </w:r>
          </w:p>
        </w:tc>
        <w:tc>
          <w:tcPr>
            <w:tcW w:w="55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Pentair Finance S.à 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75"/>
        <w:gridCol w:w="326"/>
        <w:gridCol w:w="631"/>
        <w:gridCol w:w="4086"/>
      </w:tblGrid>
      <w:tr>
        <w:trPr/>
        <w:tc>
          <w:tcPr>
            <w:tcW w:w="75" w:type="dxa"/>
            <w:tcBorders/>
            <w:vAlign w:val="center"/>
          </w:tcPr>
          <w:p>
            <w:pPr>
              <w:pStyle w:val="TableContents"/>
              <w:bidi w:val="0"/>
              <w:spacing w:before="0" w:after="283"/>
              <w:jc w:val="left"/>
              <w:rPr/>
            </w:pPr>
            <w:r>
              <w:rPr/>
              <w:t> </w:t>
            </w:r>
          </w:p>
        </w:tc>
        <w:tc>
          <w:tcPr>
            <w:tcW w:w="504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BANK OF INDIA, NEW YORK BRANCH, as a Lender</w:t>
            </w:r>
          </w:p>
        </w:tc>
      </w:tr>
      <w:tr>
        <w:trPr/>
        <w:tc>
          <w:tcPr>
            <w:tcW w:w="75" w:type="dxa"/>
            <w:tcBorders/>
            <w:vAlign w:val="center"/>
          </w:tcPr>
          <w:p>
            <w:pPr>
              <w:pStyle w:val="TableContents"/>
              <w:bidi w:val="0"/>
              <w:spacing w:before="0" w:after="283"/>
              <w:jc w:val="left"/>
              <w:rPr/>
            </w:pPr>
            <w:r>
              <w:rPr/>
              <w:t> </w:t>
            </w:r>
          </w:p>
        </w:tc>
        <w:tc>
          <w:tcPr>
            <w:tcW w:w="5043"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4717"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Devendra Panwar</w:t>
            </w:r>
          </w:p>
        </w:tc>
      </w:tr>
      <w:tr>
        <w:trPr/>
        <w:tc>
          <w:tcPr>
            <w:tcW w:w="75"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both"/>
              <w:rPr/>
            </w:pPr>
            <w:r>
              <w:rPr/>
              <w:t> </w:t>
            </w:r>
          </w:p>
        </w:tc>
        <w:tc>
          <w:tcPr>
            <w:tcW w:w="6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40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Devendra Panwar</w:t>
            </w:r>
          </w:p>
        </w:tc>
      </w:tr>
      <w:tr>
        <w:trPr/>
        <w:tc>
          <w:tcPr>
            <w:tcW w:w="75"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both"/>
              <w:rPr/>
            </w:pPr>
            <w:r>
              <w:rPr/>
              <w:t> </w:t>
            </w:r>
          </w:p>
        </w:tc>
        <w:tc>
          <w:tcPr>
            <w:tcW w:w="631" w:type="dxa"/>
            <w:tcBorders/>
            <w:vAlign w:val="center"/>
          </w:tcPr>
          <w:p>
            <w:pPr>
              <w:pStyle w:val="TableContents"/>
              <w:bidi w:val="0"/>
              <w:spacing w:before="0" w:after="283"/>
              <w:jc w:val="left"/>
              <w:rPr/>
            </w:pPr>
            <w:r>
              <w:rPr/>
              <w:t>Title:</w:t>
            </w:r>
          </w:p>
        </w:tc>
        <w:tc>
          <w:tcPr>
            <w:tcW w:w="4086" w:type="dxa"/>
            <w:tcBorders/>
            <w:vAlign w:val="center"/>
          </w:tcPr>
          <w:p>
            <w:pPr>
              <w:pStyle w:val="TableContents"/>
              <w:bidi w:val="0"/>
              <w:spacing w:before="0" w:after="283"/>
              <w:jc w:val="left"/>
              <w:rPr/>
            </w:pPr>
            <w:r>
              <w:rPr/>
              <w:t>Vice President and Head (Syndications)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Pentair Finance S.à 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75"/>
        <w:gridCol w:w="681"/>
        <w:gridCol w:w="1318"/>
        <w:gridCol w:w="5174"/>
      </w:tblGrid>
      <w:tr>
        <w:trPr/>
        <w:tc>
          <w:tcPr>
            <w:tcW w:w="75" w:type="dxa"/>
            <w:tcBorders/>
            <w:vAlign w:val="center"/>
          </w:tcPr>
          <w:p>
            <w:pPr>
              <w:pStyle w:val="TableContents"/>
              <w:bidi w:val="0"/>
              <w:spacing w:before="0" w:after="283"/>
              <w:jc w:val="left"/>
              <w:rPr/>
            </w:pPr>
            <w:r>
              <w:rPr/>
              <w:t> </w:t>
            </w:r>
          </w:p>
        </w:tc>
        <w:tc>
          <w:tcPr>
            <w:tcW w:w="717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 CITIC BANK INTERNATIONAL LIMITED, NEW YORK BRANCH, as a Lender</w:t>
            </w:r>
          </w:p>
        </w:tc>
      </w:tr>
      <w:tr>
        <w:trPr/>
        <w:tc>
          <w:tcPr>
            <w:tcW w:w="75" w:type="dxa"/>
            <w:tcBorders/>
            <w:vAlign w:val="center"/>
          </w:tcPr>
          <w:p>
            <w:pPr>
              <w:pStyle w:val="TableContents"/>
              <w:bidi w:val="0"/>
              <w:spacing w:before="0" w:after="283"/>
              <w:jc w:val="left"/>
              <w:rPr/>
            </w:pPr>
            <w:r>
              <w:rPr/>
              <w:t> </w:t>
            </w:r>
          </w:p>
        </w:tc>
        <w:tc>
          <w:tcPr>
            <w:tcW w:w="7173"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6492"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Qing Hong</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both"/>
              <w:rPr/>
            </w:pPr>
            <w:r>
              <w:rPr/>
              <w:t> </w:t>
            </w:r>
          </w:p>
        </w:tc>
        <w:tc>
          <w:tcPr>
            <w:tcW w:w="13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51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Qing Hong</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both"/>
              <w:rPr/>
            </w:pPr>
            <w:r>
              <w:rPr/>
              <w:t> </w:t>
            </w:r>
          </w:p>
        </w:tc>
        <w:tc>
          <w:tcPr>
            <w:tcW w:w="1318" w:type="dxa"/>
            <w:tcBorders/>
            <w:vAlign w:val="center"/>
          </w:tcPr>
          <w:p>
            <w:pPr>
              <w:pStyle w:val="TableContents"/>
              <w:bidi w:val="0"/>
              <w:spacing w:before="0" w:after="283"/>
              <w:jc w:val="left"/>
              <w:rPr/>
            </w:pPr>
            <w:r>
              <w:rPr/>
              <w:t>Title:</w:t>
            </w:r>
          </w:p>
        </w:tc>
        <w:tc>
          <w:tcPr>
            <w:tcW w:w="5174" w:type="dxa"/>
            <w:tcBorders/>
            <w:vAlign w:val="center"/>
          </w:tcPr>
          <w:p>
            <w:pPr>
              <w:pStyle w:val="TableContents"/>
              <w:bidi w:val="0"/>
              <w:spacing w:before="0" w:after="283"/>
              <w:jc w:val="left"/>
              <w:rPr/>
            </w:pPr>
            <w:r>
              <w:rPr/>
              <w:t>GM &amp; Branch Manager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Pentair Finance S.à 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94" w:type="dxa"/>
        <w:jc w:val="left"/>
        <w:tblInd w:w="0" w:type="dxa"/>
        <w:tblLayout w:type="fixed"/>
        <w:tblCellMar>
          <w:top w:w="0" w:type="dxa"/>
          <w:left w:w="0" w:type="dxa"/>
          <w:bottom w:w="0" w:type="dxa"/>
          <w:right w:w="0" w:type="dxa"/>
        </w:tblCellMar>
      </w:tblPr>
      <w:tblGrid>
        <w:gridCol w:w="75"/>
        <w:gridCol w:w="581"/>
        <w:gridCol w:w="1039"/>
        <w:gridCol w:w="3499"/>
      </w:tblGrid>
      <w:tr>
        <w:trPr/>
        <w:tc>
          <w:tcPr>
            <w:tcW w:w="75" w:type="dxa"/>
            <w:tcBorders/>
            <w:vAlign w:val="center"/>
          </w:tcPr>
          <w:p>
            <w:pPr>
              <w:pStyle w:val="TableContents"/>
              <w:bidi w:val="0"/>
              <w:spacing w:before="0" w:after="283"/>
              <w:jc w:val="left"/>
              <w:rPr/>
            </w:pPr>
            <w:r>
              <w:rPr/>
              <w:t> </w:t>
            </w:r>
          </w:p>
        </w:tc>
        <w:tc>
          <w:tcPr>
            <w:tcW w:w="511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SUMITOMO MITSUI BANKING CORPORATION, as a Lender</w:t>
            </w:r>
          </w:p>
        </w:tc>
      </w:tr>
      <w:tr>
        <w:trPr/>
        <w:tc>
          <w:tcPr>
            <w:tcW w:w="75" w:type="dxa"/>
            <w:tcBorders/>
            <w:vAlign w:val="center"/>
          </w:tcPr>
          <w:p>
            <w:pPr>
              <w:pStyle w:val="TableContents"/>
              <w:bidi w:val="0"/>
              <w:spacing w:before="0" w:after="283"/>
              <w:jc w:val="left"/>
              <w:rPr/>
            </w:pPr>
            <w:r>
              <w:rPr/>
              <w:t> </w:t>
            </w:r>
          </w:p>
        </w:tc>
        <w:tc>
          <w:tcPr>
            <w:tcW w:w="5119"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4538"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Mary Harold</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both"/>
              <w:rPr/>
            </w:pPr>
            <w:r>
              <w:rPr/>
              <w:t> </w:t>
            </w:r>
          </w:p>
        </w:tc>
        <w:tc>
          <w:tcPr>
            <w:tcW w:w="10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4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Mary Harold </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both"/>
              <w:rPr/>
            </w:pPr>
            <w:r>
              <w:rPr/>
              <w:t> </w:t>
            </w:r>
          </w:p>
        </w:tc>
        <w:tc>
          <w:tcPr>
            <w:tcW w:w="1039" w:type="dxa"/>
            <w:tcBorders/>
            <w:vAlign w:val="center"/>
          </w:tcPr>
          <w:p>
            <w:pPr>
              <w:pStyle w:val="TableContents"/>
              <w:bidi w:val="0"/>
              <w:spacing w:before="0" w:after="283"/>
              <w:jc w:val="left"/>
              <w:rPr/>
            </w:pPr>
            <w:r>
              <w:rPr/>
              <w:t>Title:</w:t>
            </w:r>
          </w:p>
        </w:tc>
        <w:tc>
          <w:tcPr>
            <w:tcW w:w="3499" w:type="dxa"/>
            <w:tcBorders/>
            <w:vAlign w:val="center"/>
          </w:tcPr>
          <w:p>
            <w:pPr>
              <w:pStyle w:val="TableContents"/>
              <w:bidi w:val="0"/>
              <w:spacing w:before="0" w:after="283"/>
              <w:jc w:val="left"/>
              <w:rPr/>
            </w:pPr>
            <w:r>
              <w:rPr/>
              <w:t>Managing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Pentair Finance S.à 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8989" w:type="dxa"/>
        <w:jc w:val="left"/>
        <w:tblInd w:w="0" w:type="dxa"/>
        <w:tblLayout w:type="fixed"/>
        <w:tblCellMar>
          <w:top w:w="0" w:type="dxa"/>
          <w:left w:w="0" w:type="dxa"/>
          <w:bottom w:w="0" w:type="dxa"/>
          <w:right w:w="0" w:type="dxa"/>
        </w:tblCellMar>
      </w:tblPr>
      <w:tblGrid>
        <w:gridCol w:w="75"/>
        <w:gridCol w:w="482"/>
        <w:gridCol w:w="932"/>
        <w:gridCol w:w="7500"/>
      </w:tblGrid>
      <w:tr>
        <w:trPr/>
        <w:tc>
          <w:tcPr>
            <w:tcW w:w="75" w:type="dxa"/>
            <w:tcBorders/>
            <w:vAlign w:val="center"/>
          </w:tcPr>
          <w:p>
            <w:pPr>
              <w:pStyle w:val="TableContents"/>
              <w:bidi w:val="0"/>
              <w:spacing w:before="0" w:after="283"/>
              <w:jc w:val="left"/>
              <w:rPr/>
            </w:pPr>
            <w:r>
              <w:rPr/>
              <w:t> </w:t>
            </w:r>
          </w:p>
        </w:tc>
        <w:tc>
          <w:tcPr>
            <w:tcW w:w="891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MEGA INTERNATIONAL COMMERCIAL BANK CO., LIMITED, SILICON VALLEY BRANCH, as a Lender</w:t>
            </w:r>
          </w:p>
        </w:tc>
      </w:tr>
      <w:tr>
        <w:trPr/>
        <w:tc>
          <w:tcPr>
            <w:tcW w:w="75" w:type="dxa"/>
            <w:tcBorders/>
            <w:vAlign w:val="center"/>
          </w:tcPr>
          <w:p>
            <w:pPr>
              <w:pStyle w:val="TableContents"/>
              <w:bidi w:val="0"/>
              <w:spacing w:before="0" w:after="283"/>
              <w:jc w:val="left"/>
              <w:rPr/>
            </w:pPr>
            <w:r>
              <w:rPr/>
              <w:t> </w:t>
            </w:r>
          </w:p>
        </w:tc>
        <w:tc>
          <w:tcPr>
            <w:tcW w:w="8914"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8432"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Pei Chen Wang</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both"/>
              <w:rPr/>
            </w:pPr>
            <w:r>
              <w:rPr/>
              <w:t> </w:t>
            </w:r>
          </w:p>
        </w:tc>
        <w:tc>
          <w:tcPr>
            <w:tcW w:w="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7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PEI CHEN WANG</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both"/>
              <w:rPr/>
            </w:pPr>
            <w:r>
              <w:rPr/>
              <w:t> </w:t>
            </w:r>
          </w:p>
        </w:tc>
        <w:tc>
          <w:tcPr>
            <w:tcW w:w="932" w:type="dxa"/>
            <w:tcBorders/>
            <w:vAlign w:val="center"/>
          </w:tcPr>
          <w:p>
            <w:pPr>
              <w:pStyle w:val="TableContents"/>
              <w:bidi w:val="0"/>
              <w:spacing w:before="0" w:after="283"/>
              <w:jc w:val="left"/>
              <w:rPr/>
            </w:pPr>
            <w:r>
              <w:rPr/>
              <w:t>Title:</w:t>
            </w:r>
          </w:p>
        </w:tc>
        <w:tc>
          <w:tcPr>
            <w:tcW w:w="7500" w:type="dxa"/>
            <w:tcBorders/>
            <w:vAlign w:val="center"/>
          </w:tcPr>
          <w:p>
            <w:pPr>
              <w:pStyle w:val="TableContents"/>
              <w:bidi w:val="0"/>
              <w:spacing w:before="0" w:after="283"/>
              <w:jc w:val="left"/>
              <w:rPr/>
            </w:pPr>
            <w:r>
              <w:rPr/>
              <w:t>VICE PRESIDENT &amp; GENERAL MANAGER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Pentair Finance S.à 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385" w:type="dxa"/>
        <w:jc w:val="left"/>
        <w:tblInd w:w="0" w:type="dxa"/>
        <w:tblLayout w:type="fixed"/>
        <w:tblCellMar>
          <w:top w:w="0" w:type="dxa"/>
          <w:left w:w="0" w:type="dxa"/>
          <w:bottom w:w="0" w:type="dxa"/>
          <w:right w:w="0" w:type="dxa"/>
        </w:tblCellMar>
      </w:tblPr>
      <w:tblGrid>
        <w:gridCol w:w="75"/>
        <w:gridCol w:w="305"/>
        <w:gridCol w:w="590"/>
        <w:gridCol w:w="4415"/>
      </w:tblGrid>
      <w:tr>
        <w:trPr/>
        <w:tc>
          <w:tcPr>
            <w:tcW w:w="75" w:type="dxa"/>
            <w:tcBorders/>
            <w:vAlign w:val="center"/>
          </w:tcPr>
          <w:p>
            <w:pPr>
              <w:pStyle w:val="TableContents"/>
              <w:bidi w:val="0"/>
              <w:spacing w:before="0" w:after="283"/>
              <w:jc w:val="left"/>
              <w:rPr/>
            </w:pPr>
            <w:r>
              <w:rPr/>
              <w:t> </w:t>
            </w:r>
          </w:p>
        </w:tc>
        <w:tc>
          <w:tcPr>
            <w:tcW w:w="531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AGRICULTURAL BANK OF CHINA LIMITED, as a Lender</w:t>
            </w:r>
          </w:p>
        </w:tc>
      </w:tr>
      <w:tr>
        <w:trPr/>
        <w:tc>
          <w:tcPr>
            <w:tcW w:w="75" w:type="dxa"/>
            <w:tcBorders/>
            <w:vAlign w:val="center"/>
          </w:tcPr>
          <w:p>
            <w:pPr>
              <w:pStyle w:val="TableContents"/>
              <w:bidi w:val="0"/>
              <w:spacing w:before="0" w:after="283"/>
              <w:jc w:val="left"/>
              <w:rPr/>
            </w:pPr>
            <w:r>
              <w:rPr/>
              <w:t> </w:t>
            </w:r>
          </w:p>
        </w:tc>
        <w:tc>
          <w:tcPr>
            <w:tcW w:w="5310"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500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Nelson Chou</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4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Nelson Chou</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left"/>
              <w:rPr/>
            </w:pPr>
            <w:r>
              <w:rPr/>
              <w:t>Title:</w:t>
            </w:r>
          </w:p>
        </w:tc>
        <w:tc>
          <w:tcPr>
            <w:tcW w:w="4415" w:type="dxa"/>
            <w:tcBorders/>
            <w:vAlign w:val="center"/>
          </w:tcPr>
          <w:p>
            <w:pPr>
              <w:pStyle w:val="TableContents"/>
              <w:bidi w:val="0"/>
              <w:spacing w:before="0" w:after="283"/>
              <w:jc w:val="left"/>
              <w:rPr/>
            </w:pPr>
            <w:r>
              <w:rPr/>
              <w:t>SVP, Head of Corporate Banking Department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Pentair Finance S.à 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69260</Words>
  <Characters>365043</Characters>
  <CharactersWithSpaces>438083</CharactersWithSpaces>
  <Paragraphs>2885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