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23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17145"/>
                    </a:xfrm>
                    <a:prstGeom prst="rect">
                      <a:avLst/>
                    </a:prstGeom>
                    <a:noFill/>
                  </pic:spPr>
                </pic:pic>
              </a:graphicData>
            </a:graphic>
          </wp:anchor>
        </w:drawing>
        <w:t>UNITED STATES</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April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88265</wp:posOffset>
            </wp:positionV>
            <wp:extent cx="17659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38"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2460" w:type="dxa"/>
            <w:vAlign w:val="bottom"/>
          </w:tcPr>
          <w:p>
            <w:pPr>
              <w:jc w:val="center"/>
              <w:ind w:right="65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160" w:type="dxa"/>
            <w:vAlign w:val="bottom"/>
          </w:tcPr>
          <w:p>
            <w:pPr>
              <w:jc w:val="center"/>
              <w:ind w:left="1104"/>
              <w:spacing w:after="0"/>
              <w:rPr>
                <w:sz w:val="20"/>
                <w:szCs w:val="20"/>
                <w:color w:val="auto"/>
              </w:rPr>
            </w:pPr>
            <w:r>
              <w:rPr>
                <w:rFonts w:ascii="Times New Roman" w:cs="Times New Roman" w:eastAsia="Times New Roman" w:hAnsi="Times New Roman"/>
                <w:sz w:val="18"/>
                <w:szCs w:val="18"/>
                <w:b w:val="1"/>
                <w:bCs w:val="1"/>
                <w:color w:val="auto"/>
                <w:w w:val="99"/>
              </w:rPr>
              <w:t>001-11625</w:t>
            </w:r>
          </w:p>
        </w:tc>
        <w:tc>
          <w:tcPr>
            <w:tcW w:w="3320" w:type="dxa"/>
            <w:vAlign w:val="bottom"/>
          </w:tcPr>
          <w:p>
            <w:pPr>
              <w:jc w:val="center"/>
              <w:ind w:left="2184"/>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220"/>
        </w:trPr>
        <w:tc>
          <w:tcPr>
            <w:tcW w:w="2460" w:type="dxa"/>
            <w:vAlign w:val="bottom"/>
          </w:tcPr>
          <w:p>
            <w:pPr>
              <w:jc w:val="center"/>
              <w:ind w:right="65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16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(Commission</w:t>
            </w:r>
          </w:p>
        </w:tc>
        <w:tc>
          <w:tcPr>
            <w:tcW w:w="3320" w:type="dxa"/>
            <w:vAlign w:val="bottom"/>
          </w:tcPr>
          <w:p>
            <w:pPr>
              <w:jc w:val="center"/>
              <w:ind w:left="218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460" w:type="dxa"/>
            <w:vAlign w:val="bottom"/>
          </w:tcPr>
          <w:p>
            <w:pPr>
              <w:jc w:val="center"/>
              <w:ind w:right="65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160" w:type="dxa"/>
            <w:vAlign w:val="bottom"/>
          </w:tcPr>
          <w:p>
            <w:pPr>
              <w:jc w:val="center"/>
              <w:ind w:left="1124"/>
              <w:spacing w:after="0"/>
              <w:rPr>
                <w:sz w:val="20"/>
                <w:szCs w:val="20"/>
                <w:color w:val="auto"/>
              </w:rPr>
            </w:pPr>
            <w:r>
              <w:rPr>
                <w:rFonts w:ascii="Times New Roman" w:cs="Times New Roman" w:eastAsia="Times New Roman" w:hAnsi="Times New Roman"/>
                <w:sz w:val="14"/>
                <w:szCs w:val="14"/>
                <w:color w:val="auto"/>
              </w:rPr>
              <w:t>File No.)</w:t>
            </w:r>
          </w:p>
        </w:tc>
        <w:tc>
          <w:tcPr>
            <w:tcW w:w="3320" w:type="dxa"/>
            <w:vAlign w:val="bottom"/>
          </w:tcPr>
          <w:p>
            <w:pPr>
              <w:jc w:val="center"/>
              <w:ind w:left="216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631"/>
        </w:trPr>
        <w:tc>
          <w:tcPr>
            <w:tcW w:w="8940" w:type="dxa"/>
            <w:vAlign w:val="bottom"/>
            <w:gridSpan w:val="3"/>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w w:val="99"/>
              </w:rPr>
              <w:t>Regal House, 70 London Road, Twickenham, London, TW13QS United Kingdom</w:t>
            </w:r>
          </w:p>
        </w:tc>
      </w:tr>
      <w:tr>
        <w:trPr>
          <w:trHeight w:val="193"/>
        </w:trPr>
        <w:tc>
          <w:tcPr>
            <w:tcW w:w="2460" w:type="dxa"/>
            <w:vAlign w:val="bottom"/>
          </w:tcPr>
          <w:p>
            <w:pPr>
              <w:spacing w:after="0"/>
              <w:rPr>
                <w:sz w:val="16"/>
                <w:szCs w:val="16"/>
                <w:color w:val="auto"/>
              </w:rPr>
            </w:pPr>
          </w:p>
        </w:tc>
        <w:tc>
          <w:tcPr>
            <w:tcW w:w="31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364" w:lineRule="exact"/>
        <w:rPr>
          <w:sz w:val="24"/>
          <w:szCs w:val="24"/>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40" w:firstLine="26"/>
        <w:spacing w:after="0" w:line="399" w:lineRule="auto"/>
        <w:tabs>
          <w:tab w:leader="none" w:pos="65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0" w:type="dxa"/>
        <w:tblCellMar>
          <w:top w:w="0" w:type="dxa"/>
          <w:left w:w="0" w:type="dxa"/>
          <w:bottom w:w="0" w:type="dxa"/>
          <w:right w:w="0" w:type="dxa"/>
        </w:tblCellMar>
      </w:tblPr>
      <w:tr>
        <w:trPr>
          <w:trHeight w:val="234"/>
        </w:trPr>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PNR</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28" w:lineRule="exact"/>
        <w:rPr>
          <w:sz w:val="24"/>
          <w:szCs w:val="24"/>
          <w:color w:val="auto"/>
        </w:rPr>
      </w:pPr>
    </w:p>
    <w:p>
      <w:pPr>
        <w:spacing w:after="0" w:line="25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(17 CFR 230.405) or Rule 12b-2 of the Exchange Act (17 CFR 240.12b-2).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144" w:lineRule="exact"/>
        <w:rPr>
          <w:sz w:val="24"/>
          <w:szCs w:val="24"/>
          <w:color w:val="auto"/>
        </w:rPr>
      </w:pPr>
    </w:p>
    <w:p>
      <w:pPr>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234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24, 2026, Jerome O. Pedretti, the Executive Vice President and Chief Executive Officer, Pool of Pentair plc (the “Company”), elected to resign from the Company effective as of July 1, 2026. On April 28, 2026, the Company announced it was eliminating the role of Chief Executive Officer, Pool. In conjunction with this change, Mr. Pedretti’s resignation will entitle him to severance benefits according to the terms of the Pentair plc Executive Officer Severance Plan, subject to the conditions therein. On April 28, 2026, the Company also announced that it appointed De’Mon L. Wiggins, the current Executive Vice President and President, Flow and Water Solutions of the Company, as the Company’s Executive Vice President and President, Flow, Water Solutions and Pool, effective as of April 28, 2026.</w:t>
      </w:r>
    </w:p>
    <w:p>
      <w:pPr>
        <w:spacing w:after="0" w:line="19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94" w:lineRule="exact"/>
        <w:rPr>
          <w:sz w:val="20"/>
          <w:szCs w:val="20"/>
          <w:color w:val="auto"/>
        </w:rPr>
      </w:pPr>
    </w:p>
    <w:p>
      <w:pPr>
        <w:ind w:left="580" w:right="7420" w:hanging="248"/>
        <w:spacing w:after="0" w:line="375" w:lineRule="auto"/>
        <w:tabs>
          <w:tab w:leader="none" w:pos="5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 Not applicable.</w:t>
      </w:r>
    </w:p>
    <w:p>
      <w:pPr>
        <w:spacing w:after="0" w:line="1" w:lineRule="exact"/>
        <w:rPr>
          <w:rFonts w:ascii="Times New Roman" w:cs="Times New Roman" w:eastAsia="Times New Roman" w:hAnsi="Times New Roman"/>
          <w:sz w:val="18"/>
          <w:szCs w:val="18"/>
          <w:color w:val="auto"/>
        </w:rPr>
      </w:pPr>
    </w:p>
    <w:p>
      <w:pPr>
        <w:ind w:left="580" w:right="8260" w:hanging="248"/>
        <w:spacing w:after="0" w:line="375" w:lineRule="auto"/>
        <w:tabs>
          <w:tab w:leader="none" w:pos="5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Not applicable.</w:t>
      </w:r>
    </w:p>
    <w:p>
      <w:pPr>
        <w:spacing w:after="0" w:line="1" w:lineRule="exact"/>
        <w:rPr>
          <w:rFonts w:ascii="Times New Roman" w:cs="Times New Roman" w:eastAsia="Times New Roman" w:hAnsi="Times New Roman"/>
          <w:sz w:val="18"/>
          <w:szCs w:val="18"/>
          <w:color w:val="auto"/>
        </w:rPr>
      </w:pPr>
    </w:p>
    <w:p>
      <w:pPr>
        <w:ind w:left="580" w:right="8600" w:hanging="248"/>
        <w:spacing w:after="0" w:line="397" w:lineRule="auto"/>
        <w:tabs>
          <w:tab w:leader="none" w:pos="58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Shell Company Transactions Not applicable.</w:t>
      </w:r>
    </w:p>
    <w:p>
      <w:pPr>
        <w:spacing w:after="0" w:line="1" w:lineRule="exact"/>
        <w:rPr>
          <w:rFonts w:ascii="Times New Roman" w:cs="Times New Roman" w:eastAsia="Times New Roman" w:hAnsi="Times New Roman"/>
          <w:sz w:val="17"/>
          <w:szCs w:val="17"/>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1" w:lineRule="exact"/>
        <w:rPr>
          <w:sz w:val="20"/>
          <w:szCs w:val="20"/>
          <w:color w:val="auto"/>
        </w:rPr>
      </w:pPr>
    </w:p>
    <w:p>
      <w:pPr>
        <w:ind w:left="960"/>
        <w:spacing w:after="0"/>
        <w:tabs>
          <w:tab w:leader="none" w:pos="17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3" w:lineRule="exact"/>
        <w:rPr>
          <w:sz w:val="20"/>
          <w:szCs w:val="20"/>
          <w:color w:val="auto"/>
        </w:rPr>
      </w:pPr>
    </w:p>
    <w:p>
      <w:pPr>
        <w:ind w:left="1760" w:hanging="665"/>
        <w:spacing w:after="0"/>
        <w:tabs>
          <w:tab w:leader="none" w:pos="1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April 28, 2026.</w:t>
      </w:r>
    </w:p>
    <w:p>
      <w:pPr>
        <w:spacing w:after="0" w:line="6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By /s/ Lance T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54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Lance T Bonner</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2026-04-28T06:10:14Z</dcterms:created>
  <dcterms:modified xsi:type="dcterms:W3CDTF">2026-04-28T06:10:14Z</dcterms:modified>
</cp:coreProperties>
</file>