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1203325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1160780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83"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49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71" w:lineRule="exact"/>
        <w:rPr>
          <w:sz w:val="24"/>
          <w:szCs w:val="24"/>
          <w:color w:val="auto"/>
        </w:rPr>
      </w:pPr>
    </w:p>
    <w:p>
      <w:pPr>
        <w:ind w:left="4734"/>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294" w:lineRule="exact"/>
        <w:rPr>
          <w:sz w:val="24"/>
          <w:szCs w:val="24"/>
          <w:color w:val="auto"/>
        </w:rPr>
      </w:pPr>
    </w:p>
    <w:p>
      <w:pPr>
        <w:ind w:left="1094" w:hanging="1094"/>
        <w:spacing w:after="0"/>
        <w:tabs>
          <w:tab w:leader="none" w:pos="109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200" w:lineRule="exact"/>
        <w:rPr>
          <w:sz w:val="24"/>
          <w:szCs w:val="24"/>
          <w:color w:val="auto"/>
        </w:rPr>
      </w:pPr>
    </w:p>
    <w:p>
      <w:pPr>
        <w:spacing w:after="0" w:line="309" w:lineRule="exact"/>
        <w:rPr>
          <w:sz w:val="24"/>
          <w:szCs w:val="24"/>
          <w:color w:val="auto"/>
        </w:rPr>
      </w:pPr>
    </w:p>
    <w:p>
      <w:pPr>
        <w:ind w:left="4074"/>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71" w:lineRule="exact"/>
        <w:rPr>
          <w:sz w:val="24"/>
          <w:szCs w:val="24"/>
          <w:color w:val="auto"/>
        </w:rPr>
      </w:pPr>
    </w:p>
    <w:p>
      <w:pPr>
        <w:ind w:left="5454"/>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74" w:lineRule="exact"/>
        <w:rPr>
          <w:sz w:val="24"/>
          <w:szCs w:val="24"/>
          <w:color w:val="auto"/>
        </w:rPr>
      </w:pPr>
    </w:p>
    <w:p>
      <w:pPr>
        <w:ind w:left="1094" w:hanging="1094"/>
        <w:spacing w:after="0"/>
        <w:tabs>
          <w:tab w:leader="none" w:pos="1094"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15(d) OF THE SECURITIES EXCHANGE ACT OF 1934</w:t>
      </w:r>
    </w:p>
    <w:p>
      <w:pPr>
        <w:spacing w:after="0" w:line="296"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Commission file number 001-11625</w:t>
      </w:r>
    </w:p>
    <w:p>
      <w:pPr>
        <w:spacing w:after="0" w:line="200" w:lineRule="exact"/>
        <w:rPr>
          <w:sz w:val="24"/>
          <w:szCs w:val="24"/>
          <w:color w:val="auto"/>
        </w:rPr>
      </w:pPr>
    </w:p>
    <w:p>
      <w:pPr>
        <w:spacing w:after="0" w:line="259" w:lineRule="exact"/>
        <w:rPr>
          <w:sz w:val="24"/>
          <w:szCs w:val="24"/>
          <w:color w:val="auto"/>
        </w:rPr>
      </w:pPr>
    </w:p>
    <w:p>
      <w:pPr>
        <w:ind w:left="1094" w:hanging="1094"/>
        <w:spacing w:after="0"/>
        <w:tabs>
          <w:tab w:leader="none" w:pos="10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52"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22"/>
          <w:szCs w:val="22"/>
          <w:b w:val="1"/>
          <w:bCs w:val="1"/>
          <w:color w:val="auto"/>
        </w:rPr>
        <w:t>Pentair, Inc. Retirement Savings and Stock Incentive Plan</w:t>
      </w:r>
    </w:p>
    <w:p>
      <w:pPr>
        <w:spacing w:after="0" w:line="33"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Pentair, Inc.</w:t>
      </w:r>
    </w:p>
    <w:p>
      <w:pPr>
        <w:spacing w:after="0" w:line="11"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5500 Wayzata Boulevard, Suite 900</w:t>
      </w:r>
    </w:p>
    <w:p>
      <w:pPr>
        <w:spacing w:after="0" w:line="9"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Golden Valley, Minnesota 55416</w:t>
      </w:r>
    </w:p>
    <w:p>
      <w:pPr>
        <w:spacing w:after="0" w:line="315" w:lineRule="exact"/>
        <w:rPr>
          <w:sz w:val="24"/>
          <w:szCs w:val="24"/>
          <w:color w:val="auto"/>
        </w:rPr>
      </w:pPr>
    </w:p>
    <w:p>
      <w:pPr>
        <w:ind w:left="1094" w:hanging="1094"/>
        <w:spacing w:after="0"/>
        <w:tabs>
          <w:tab w:leader="none" w:pos="10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52"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22"/>
          <w:szCs w:val="22"/>
          <w:b w:val="1"/>
          <w:bCs w:val="1"/>
          <w:color w:val="auto"/>
        </w:rPr>
        <w:t>Pentair plc</w:t>
      </w:r>
    </w:p>
    <w:p>
      <w:pPr>
        <w:spacing w:after="0" w:line="33"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Regal House, 70 London Road</w:t>
      </w:r>
    </w:p>
    <w:p>
      <w:pPr>
        <w:spacing w:after="0" w:line="11"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Twickenham, London, TW13QS</w:t>
      </w:r>
    </w:p>
    <w:p>
      <w:pPr>
        <w:spacing w:after="0" w:line="9"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833120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PENTAIR, INC. RETIREMENT SAVINGS AND STOCK INCENTIVE PLAN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942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7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9"/>
        </w:trPr>
        <w:tc>
          <w:tcPr>
            <w:tcW w:w="58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620" w:type="dxa"/>
            <w:vAlign w:val="bottom"/>
            <w:gridSpan w:val="3"/>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9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3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9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4880" w:type="dxa"/>
            <w:vAlign w:val="bottom"/>
            <w:gridSpan w:val="4"/>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SUPPLEMENTAL SCHEDULE FURNISHED PURSUANT TO THE REQUIREMENTS OF FORM 5500 —</w:t>
            </w:r>
          </w:p>
        </w:tc>
        <w:tc>
          <w:tcPr>
            <w:tcW w:w="142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3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61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Form 5500, Schedule H, Part IV Line 4i — Schedule of Assets (Held at End of Year)</w:t>
            </w: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bl>
    <w:p>
      <w:pPr>
        <w:spacing w:after="0" w:line="238" w:lineRule="exact"/>
        <w:rPr>
          <w:sz w:val="20"/>
          <w:szCs w:val="20"/>
          <w:color w:val="auto"/>
        </w:rPr>
      </w:pPr>
    </w:p>
    <w:p>
      <w:pPr>
        <w:ind w:left="340" w:right="1960"/>
        <w:spacing w:after="0" w:line="226" w:lineRule="auto"/>
        <w:rPr>
          <w:sz w:val="20"/>
          <w:szCs w:val="20"/>
          <w:color w:val="auto"/>
        </w:rPr>
      </w:pPr>
      <w:r>
        <w:rPr>
          <w:rFonts w:ascii="Times New Roman" w:cs="Times New Roman" w:eastAsia="Times New Roman" w:hAnsi="Times New Roman"/>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887730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Pentair, Inc. Retirement Savings and Stock Incentive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Pentair, Inc. Retirement Savings and Stock Incentive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Schedule</w:t>
      </w:r>
    </w:p>
    <w:p>
      <w:pPr>
        <w:spacing w:after="0" w:line="14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Plan since at least 2002; however, an earlier year could not be reliably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1247775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 w:name="page4"/>
    <w:bookmarkEnd w:id="3"/>
    <w:p>
      <w:pPr>
        <w:ind w:left="2600"/>
        <w:spacing w:after="0"/>
        <w:rPr>
          <w:sz w:val="20"/>
          <w:szCs w:val="20"/>
          <w:color w:val="auto"/>
        </w:rPr>
      </w:pPr>
      <w:r>
        <w:rPr>
          <w:rFonts w:ascii="Times New Roman" w:cs="Times New Roman" w:eastAsia="Times New Roman" w:hAnsi="Times New Roman"/>
          <w:sz w:val="18"/>
          <w:szCs w:val="18"/>
          <w:b w:val="1"/>
          <w:bCs w:val="1"/>
          <w:color w:val="auto"/>
        </w:rPr>
        <w:t>PENTAIR, INC. RETIREMENT SAVINGS AND STOCK INCENTIVE PLAN</w:t>
      </w:r>
    </w:p>
    <w:p>
      <w:pPr>
        <w:spacing w:after="0" w:line="10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8,839,784</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8,719,479</w:t>
            </w: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contributions receivable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704,583</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Employer contributions receivable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360,384</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receivables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9,904,751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8,719,479</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Investments — at fair value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992,149,624</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901,232,118</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1,002,054,375</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909,951,597</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1,002,054,375</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909,951,597</w:t>
            </w: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96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PENTAIR, INC. RETIREMENT SAVINGS AND STOCK INCENTIVE PLAN</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88"/>
        </w:trPr>
        <w:tc>
          <w:tcPr>
            <w:tcW w:w="96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STATEMENT OF CHANGES IN NET ASSETS AVAILABLE FOR BENEFITS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8"/>
        </w:trPr>
        <w:tc>
          <w:tcPr>
            <w:tcW w:w="964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1"/>
        </w:trPr>
        <w:tc>
          <w:tcPr>
            <w:tcW w:w="9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37,132,244</w:t>
            </w:r>
          </w:p>
        </w:tc>
      </w:tr>
      <w:tr>
        <w:trPr>
          <w:trHeight w:val="229"/>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18,902,307</w:t>
            </w:r>
          </w:p>
        </w:tc>
      </w:tr>
      <w:tr>
        <w:trPr>
          <w:trHeight w:val="229"/>
        </w:trPr>
        <w:tc>
          <w:tcPr>
            <w:tcW w:w="9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Rollover</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8,070,321</w:t>
            </w:r>
          </w:p>
        </w:tc>
      </w:tr>
      <w:tr>
        <w:trPr>
          <w:trHeight w:val="223"/>
        </w:trPr>
        <w:tc>
          <w:tcPr>
            <w:tcW w:w="9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contributions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64,104,872</w:t>
            </w:r>
          </w:p>
        </w:tc>
      </w:tr>
      <w:tr>
        <w:trPr>
          <w:trHeight w:val="270"/>
        </w:trPr>
        <w:tc>
          <w:tcPr>
            <w:tcW w:w="9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dividend and other income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5,369,275</w:t>
            </w:r>
          </w:p>
        </w:tc>
      </w:tr>
      <w:tr>
        <w:trPr>
          <w:trHeight w:val="229"/>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appreciation in the fair value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145,366,848</w:t>
            </w:r>
          </w:p>
        </w:tc>
      </w:tr>
      <w:tr>
        <w:trPr>
          <w:trHeight w:val="223"/>
        </w:trPr>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investment income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150,736,123</w:t>
            </w:r>
          </w:p>
        </w:tc>
      </w:tr>
      <w:tr>
        <w:trPr>
          <w:trHeight w:val="270"/>
        </w:trPr>
        <w:tc>
          <w:tcPr>
            <w:tcW w:w="9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122,293,368</w:t>
            </w:r>
          </w:p>
        </w:tc>
      </w:tr>
      <w:tr>
        <w:trPr>
          <w:trHeight w:val="230"/>
        </w:trPr>
        <w:tc>
          <w:tcPr>
            <w:tcW w:w="9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Administrative expenses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444,849</w:t>
            </w:r>
          </w:p>
        </w:tc>
      </w:tr>
      <w:tr>
        <w:trPr>
          <w:trHeight w:val="223"/>
        </w:trPr>
        <w:tc>
          <w:tcPr>
            <w:tcW w:w="9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deductions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122,738,217</w:t>
            </w:r>
          </w:p>
        </w:tc>
      </w:tr>
      <w:tr>
        <w:trPr>
          <w:trHeight w:val="250"/>
        </w:trPr>
        <w:tc>
          <w:tcPr>
            <w:tcW w:w="9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92,102,778</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 Beginning of year</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909,951,597</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1,002,054,375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Inc. Retirement Savings and Stock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2025 and 2024,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Pentair, Inc. Retirement Savings and Stock Incentive Plan (the “Plan”) provides only general information. Participants should refer to the Plan document for a more complete description of the Plan.</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General information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a defined contribution profit-sharing plan with a cash or deferred arrangement described in Internal Revenue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(“IRC”) Section 401(k) and an employee stock ownership plan (“ESOP”) component of the stock-bonus type. With certain exceptions, the Plan covers employees of Pentair, Inc. (the “Company”) and its U.S. subsidiaries. The Company is a subsidiary of Pentair plc (“Pentair”) and is the Plan sponsor as well as Plan Administrator. Fidelity Management Trust Company (“Fidelity”) is trustee of the Plan. The Plan is subject to the provisions of the Employee Retirement Income Security Act of 1974, as amended (“ERISA”).</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Participation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for full- and part-time employees may commence effective with the date of hire, provided the employee is at least age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pre-tax and Roth contributions are subject to a maximum of 50% compensation, and an additional after-tax contribution to a maximum of 15% compensation, for a combined limit of 65% of compensation. Employee contributions are also subject to the IRC 402(g) limitation of $23,500 in 2025 provided that employees who will be age 50 or older are permitted to make additional catch-up contributions to the Plan up to the IRC limitation of $7,500.</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has an automatic enrollment feature for new employees at a deferral rate of 5% of eligible compensation with an automatic annual increase of 1% of eligible compensation per year until the participant reaches a deferral rate of 10%. Employees may opt-out of automatic enrollment and automatic annual increase at any time.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contributions for most participants are matched at the rate of 100% of the first 5% of eligible compensation that is contributed to the Plan by a participant and are made in the form of cash.</w:t>
      </w:r>
    </w:p>
    <w:p>
      <w:pPr>
        <w:spacing w:after="0" w:line="11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Participant accounts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accounts are maintained for each Plan participant. Each participant’s account is credited with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the Company’s matching contributions and Plan earnings, and charged with withdrawals and allocations of Plan losses and administrative expenses. The benefit to which a participant is entitled under the Plan is the benefit that can be provided from the participant’s vested account.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direct the investment of their contributions into various investment options offered by the Plan and may change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transfer amounts between funds daily. In the event a participant fails to direct the investment, the participant is deemed to have elected to invest the participant’s contributions in the default investment option designated by the Plan Administrator. The Plan currently offers various investment alternatives to Plan participants, consisting of common shares of Pentair, mutual funds, common/collective trusts and stable value funds. Investment management fees are charged against 401(k) trust earnings prior to the allocation of earnings.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Notes receivable from participants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for any reason are allowed under the Plan. The interest rate charged is prime rate plus 1% at the time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borrowed. The maximum maturity of the loans is five years (15 years for loans to purchase a primary residence). The minimum loan amount is $1,000, and the maximum is the lesser of 50% of the vested account balance, not including employer contributions, or $50,000. Due to transfers of notes receivable from participants related to plan mergers in prior years, certain loans outstanding as of December 31, 2025 and 2024, may carry an original maturity greater than 15 years and bear interest at rates higher than the prime rate plus 1%. As of December 31, 2025, participant loans have maturities through 2045 at interest rates ranging from 4.25% to 9.75%.</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Refund of excess contributions </w:t>
      </w:r>
      <w:r>
        <w:rPr>
          <w:rFonts w:ascii="Times New Roman" w:cs="Times New Roman" w:eastAsia="Times New Roman" w:hAnsi="Times New Roman"/>
          <w:sz w:val="18"/>
          <w:szCs w:val="18"/>
          <w:color w:val="auto"/>
        </w:rPr>
        <w:t>— Amounts payable to participants for contributions in excess of amounts allowed by the Internal Revenue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(“IRS”) are recorded as a liability with a corresponding reduction to contributions. Excess contributions are remitted to applicable participants in the subsequent plan year. There were no excess contributions related to the plan years ended December 31, 2025 and 2024.</w:t>
      </w:r>
    </w:p>
    <w:p>
      <w:pPr>
        <w:spacing w:after="0" w:line="1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pre-tax elective deferral, after-tax and Roth contributions are immediately 100% vested. The Company’s matching contributions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generally are 100% vested after 12 months of service.</w:t>
      </w:r>
    </w:p>
    <w:p>
      <w:pPr>
        <w:spacing w:after="0" w:line="1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Forfeitures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Nonvested account balances of terminated employees are forfeited. Forfeitures under the Plan may be used to pay administrative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otherwise owed by the Company or may be applied towards the payment of the Company’s future contributions. As of December 31, 2025 and 2024, forfeited nonvested accounts were $372,890 and $485,699,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Inc. Retirement Savings and Stock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2025 and 2024, and for the year ended December 31, 2025</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$405,350 was used to reduce employer contributions as a result of the forfeited nonvested accounts.</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Administrative expenses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expenses of the Plan are paid in part by the Plan sponsor and in part by the participants (as deductions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accounts) as provided in the Plan document.</w:t>
      </w:r>
    </w:p>
    <w:p>
      <w:pPr>
        <w:spacing w:after="0" w:line="10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Payment of benefits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severance from service for any reason, a participant may elect to receive a lump-sum amount equal to the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vested interest in his or her account. Some participants can also elect annual installments over a term-certain period. Payment is made in cash, although participants may elect to receive common shares of Pentair from their ESOP account.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Withdrawals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who are actively employed may take a withdrawal from their after-tax and rollover accounts at any time, from all vested</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(other than the ESOP account) once the participant is age 59 1/2, and from all vested accounts if the participant is disabled. Hardship withdrawals from a participant’s pre-tax and Roth contribution accounts are available for immediate and heavy financial need up to the amount necessary to satisfy the need, plus taxes due on the withdrawal. Hardship withdrawals and age 59 1/2 withdrawals can occur any time with a maximum of two per calendar year. In addition, participants on military leave may take a withdrawal of the amounts in their pre-tax and Roth contribution accounts.</w:t>
      </w:r>
    </w:p>
    <w:p>
      <w:pPr>
        <w:spacing w:after="0" w:line="23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January 1, 2026, the Plan extended coverage to include current employees of G &amp; F Manufacturing, LLC and Hydra-Stop LLC.</w:t>
      </w:r>
    </w:p>
    <w:p>
      <w:pPr>
        <w:spacing w:after="0" w:line="203"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financial statements of the Plan have been prepared on the accrual basis of accounting and in accordance with accounting principles generally accepted in the United States of America (“GAAP”).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changes therein and disclosure of contingent assets and liabilities. Actual results could differ from those estimates.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and income recognition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provides various investment options to its participants, including common shares of Pentair, mutual funds, common/collective trusts and stable value funds. Investment securities, in general, are exposed to various risks, such as interest rate risk, credit risk and overall market volatility. Market risks include global events which could impact the value of investment securities, such as a pandemic or international conflict.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Plan’s investments are stated at fair value. Accounting guidance related to fair value measurements, which establishes a single authoritative definition of fair value, sets a framework for measuring fair value, and requires additional disclosures about fair value measurements (see Note 3). Purchases and sales of securities are recorded on a trade-date basis. Interest income is recorded on the accrual basis. Dividends are recorded on the ex-dividend date. Net appreciation and depreciation in the fair value of investments includes gains and losses in investments sold during the year as well as appreciation and depreciation of the investments held at year end.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balance plus any accrued but unpaid interest. Delinquent participant loans are recorded as distributions based on the terms of the Plan document.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and employer matching contributions are recorded in the period in which the employee contributions are withheld from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of benefits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payments to participants are recorded when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Inc. Retirement Savings and Stock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2025 and 2024, and for the year ended December 31, 2025</w:t>
      </w:r>
    </w:p>
    <w:p>
      <w:pPr>
        <w:spacing w:after="0" w:line="200" w:lineRule="exact"/>
        <w:rPr>
          <w:sz w:val="20"/>
          <w:szCs w:val="20"/>
          <w:color w:val="auto"/>
        </w:rPr>
      </w:pPr>
    </w:p>
    <w:p>
      <w:pPr>
        <w:spacing w:after="0" w:line="300"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The Plan’s estimates of fair value for financial assets are based on the framework established in the fair value accounting guidance. Fair value is the price that would be received by the Plan for an asset or paid by the Plan to transfer a liability (an exit price) in an orderly transaction between market participants on the measurement date in the Plan’s principal or most advantageous market for the asset or liability. 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three levels of inputs within the fair value hierarchy are defined as follows: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Quoted prices (unadjusted) for identical assets or liabilities in active markets that the Plan has the ability to access.</w:t>
      </w:r>
    </w:p>
    <w:p>
      <w:pPr>
        <w:spacing w:after="0" w:line="171"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w:t>
      </w:r>
    </w:p>
    <w:p>
      <w:pPr>
        <w:spacing w:after="0" w:line="104" w:lineRule="exact"/>
        <w:rPr>
          <w:sz w:val="20"/>
          <w:szCs w:val="20"/>
          <w:color w:val="auto"/>
        </w:rPr>
      </w:pPr>
    </w:p>
    <w:p>
      <w:pPr>
        <w:ind w:left="660" w:right="78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Significant unobservable inputs that reflect the Plan’s own assumptions about the assumptions that market participants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 pricing an asset or liability.</w:t>
      </w:r>
    </w:p>
    <w:p>
      <w:pPr>
        <w:spacing w:after="0" w:line="1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some cases, a valuation technique used to measure fair value may include inputs from multiple levels of the fair value hierarchy. The lowest level of significant input determines the placement of the entire fair value measurement in the hierarchy.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investments are measured at fair value on a recurring basis in the statements of net assets available for benefits. The following methods and assumptions were used to estimate the fair values:</w:t>
      </w:r>
    </w:p>
    <w:p>
      <w:pPr>
        <w:spacing w:after="0" w:line="1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Mutual funds, common stock and other investments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investments are classified as Level 1 and consist of various publicly-traded mutual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and interest-bearing cash. Mutual funds and common stock are valued at quoted market prices and are actively traded. Interest-bearing cash, primarily consisting of publicly traded money-market funds, is valued at cost plus accrued interest.</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Common/collective trusts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investments consist of various collective investment trust funds. The underlying investments in these collective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trust funds primarily include intermediate and long-term debt securities, corporate debt securities, equity securities and fixed income securities. The overall fair value of the common/collective trusts are valued at the net asset value (“NAV”) as a practical expedient, which is based on the fair value of the underlying securities owned by the fund less liabilities and divided by the number of shares outstanding. Participant transactions may occur daily and there are no unfunded commitments, redemption restrictions or notice period requirements.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Stable value fund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provides participants a stable value investment option managed by Fidelity. The Managed Income Portfolio II Fund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Fidelity Group for Employee Benefit Plans (the “Fund”) also invests in synthetic guaranteed investment contracts and is a portfolio of financial instruments. The Fund is valued using NAV as a practical expedient to estimate fair value. The redemption frequency is daily and there are no unfunded commitments, or redemption restrictions. There is no redemption notice period for the individual participant level; however, there is up to a 12-month redemption notice period for the Plan level.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Plan’s investments measured at fair value on a recurring basis and their respective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4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Pentair common stock</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50,460,578</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50,460,578</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cash</w:t>
            </w:r>
          </w:p>
        </w:tc>
        <w:tc>
          <w:tcPr>
            <w:tcW w:w="3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318,195</w:t>
            </w:r>
          </w:p>
        </w:tc>
        <w:tc>
          <w:tcPr>
            <w:tcW w:w="380" w:type="dxa"/>
            <w:vAlign w:val="bottom"/>
          </w:tcPr>
          <w:p>
            <w:pPr>
              <w:spacing w:after="0"/>
              <w:rPr>
                <w:sz w:val="19"/>
                <w:szCs w:val="19"/>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318,195</w:t>
            </w:r>
          </w:p>
        </w:tc>
      </w:tr>
      <w:tr>
        <w:trPr>
          <w:trHeight w:val="230"/>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98,734,400</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98,734,400</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investments in fair value hierarchy</w:t>
            </w:r>
          </w:p>
        </w:tc>
        <w:tc>
          <w:tcPr>
            <w:tcW w:w="3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149,513,173</w:t>
            </w:r>
          </w:p>
        </w:tc>
        <w:tc>
          <w:tcPr>
            <w:tcW w:w="380" w:type="dxa"/>
            <w:vAlign w:val="bottom"/>
          </w:tcPr>
          <w:p>
            <w:pPr>
              <w:spacing w:after="0"/>
              <w:rPr>
                <w:sz w:val="19"/>
                <w:szCs w:val="19"/>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149,513,173</w:t>
            </w:r>
          </w:p>
        </w:tc>
      </w:tr>
      <w:tr>
        <w:trPr>
          <w:trHeight w:val="230"/>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valued at NAV</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842,636,451</w:t>
            </w:r>
          </w:p>
        </w:tc>
      </w:tr>
      <w:tr>
        <w:trPr>
          <w:trHeight w:val="223"/>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149,513,173</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992,149,624</w:t>
            </w:r>
          </w:p>
        </w:tc>
      </w:tr>
      <w:tr>
        <w:trPr>
          <w:trHeight w:val="21"/>
        </w:trPr>
        <w:tc>
          <w:tcPr>
            <w:tcW w:w="4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Inc. Retirement Savings and Stock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2025 and 2024, and for the year ended December 31, 2025</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4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Pentair common stock</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54,118,380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54,118,380</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cash</w:t>
            </w:r>
          </w:p>
        </w:tc>
        <w:tc>
          <w:tcPr>
            <w:tcW w:w="3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187,320</w:t>
            </w:r>
          </w:p>
        </w:tc>
        <w:tc>
          <w:tcPr>
            <w:tcW w:w="380" w:type="dxa"/>
            <w:vAlign w:val="bottom"/>
          </w:tcPr>
          <w:p>
            <w:pPr>
              <w:spacing w:after="0"/>
              <w:rPr>
                <w:sz w:val="19"/>
                <w:szCs w:val="19"/>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187,320</w:t>
            </w:r>
          </w:p>
        </w:tc>
      </w:tr>
      <w:tr>
        <w:trPr>
          <w:trHeight w:val="23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90,570,746</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90,570,746</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investments in fair value hierarchy</w:t>
            </w:r>
          </w:p>
        </w:tc>
        <w:tc>
          <w:tcPr>
            <w:tcW w:w="3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144,876,446</w:t>
            </w:r>
          </w:p>
        </w:tc>
        <w:tc>
          <w:tcPr>
            <w:tcW w:w="380" w:type="dxa"/>
            <w:vAlign w:val="bottom"/>
          </w:tcPr>
          <w:p>
            <w:pPr>
              <w:spacing w:after="0"/>
              <w:rPr>
                <w:sz w:val="19"/>
                <w:szCs w:val="19"/>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144,876,446</w:t>
            </w:r>
          </w:p>
        </w:tc>
      </w:tr>
      <w:tr>
        <w:trPr>
          <w:trHeight w:val="23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valued at NAV</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756,355,672</w:t>
            </w:r>
          </w:p>
        </w:tc>
      </w:tr>
      <w:tr>
        <w:trPr>
          <w:trHeight w:val="22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144,876,446</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901,232,118</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INCOME TAX STATUS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IRS has determined and informed the Company by a letter dated August 27, 2015, that the Plan was designed in accordance with applicable regulations of the IRC. The Plan has been amended since receiving the determination letter. However, the Company and Plan management believe that the Plan is currently designed and operated in compliance with the applicable requirements of the IRC, and the Plan continues to be tax-exempt. Therefore, no provision for income taxes has been included in the Plan’s financial statements.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 The Plan administrator believes it is no longer subject to income tax examinations for years prior to 2022.</w:t>
      </w:r>
    </w:p>
    <w:p>
      <w:pPr>
        <w:spacing w:after="0" w:line="230"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EXEMPT PARTY-IN-INTEREST TRANSACTIONS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Certain Plan investments are managed by Fidelity, the trustee as defined by the Plan. These transactions qualify as exempt party-in-interest transactions. Fees paid for investment management services were included as a reduction of the return earned on each fund. </w:t>
      </w:r>
      <w:r>
        <w:rPr>
          <w:rFonts w:ascii="Times New Roman" w:cs="Times New Roman" w:eastAsia="Times New Roman" w:hAnsi="Times New Roman"/>
          <w:sz w:val="16"/>
          <w:szCs w:val="16"/>
          <w:color w:val="auto"/>
        </w:rPr>
        <w:t>T</w:t>
      </w:r>
      <w:r>
        <w:rPr>
          <w:rFonts w:ascii="Times New Roman" w:cs="Times New Roman" w:eastAsia="Times New Roman" w:hAnsi="Times New Roman"/>
          <w:sz w:val="18"/>
          <w:szCs w:val="18"/>
          <w:color w:val="auto"/>
        </w:rPr>
        <w:t>he Plan has a revenue-sharing agreement whereby participant revenue credits (“PRCs”) are generated from certain investment managers for services provided to the Plan. The PRCs are allocated to the participants who invest in certain funds which offsets the participants’ administrative fee.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Plan held 484,506 and 537,704 shares, respectively, of common stock of Pentair, the parent of the Company, with a cost basis of $14,763,333 and $16,182,590, respectively. During the year ended December 31, 2025, the Plan recorded dividend income of $507,608 with respect to the common stock of Pentair.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loans also qualify as party-in-interest transactions and amounted to $8,839,784 and $8,719,479 at December 31, 2025 and 2024, respectively.</w:t>
      </w:r>
    </w:p>
    <w:p>
      <w:pPr>
        <w:spacing w:after="0" w:line="275"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under the Plan to discontinue its contributions at any time and to terminate the Plan subject to the provisions set forth in ERISA. In the event the Plan is terminated, participants would become 100% vested in their accounts.</w:t>
      </w:r>
    </w:p>
    <w:p>
      <w:pPr>
        <w:spacing w:after="0" w:line="212"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FINANCIAL STATEMENTS TO FORM 5500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reconciliation of net assets available for benefits per the financial statements to the Form 5500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2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1,002,054,375</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909,951,597</w:t>
            </w:r>
          </w:p>
        </w:tc>
      </w:tr>
      <w:tr>
        <w:trPr>
          <w:trHeight w:val="230"/>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Cumulative deemed distributions of participant loans</w:t>
            </w:r>
          </w:p>
        </w:tc>
        <w:tc>
          <w:tcPr>
            <w:tcW w:w="2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(239,318)</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(227,488)</w:t>
            </w:r>
          </w:p>
        </w:tc>
      </w:tr>
      <w:tr>
        <w:trPr>
          <w:trHeight w:val="248"/>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Form 5500</w:t>
            </w:r>
          </w:p>
        </w:tc>
        <w:tc>
          <w:tcPr>
            <w:tcW w:w="2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1,001,815,057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909,724,109</w:t>
            </w:r>
          </w:p>
        </w:tc>
      </w:tr>
      <w:tr>
        <w:trPr>
          <w:trHeight w:val="20"/>
        </w:trPr>
        <w:tc>
          <w:tcPr>
            <w:tcW w:w="6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Inc. Retirement Savings and Stock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2025 and 2024, and for the year ended December 31, 2025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reconciliation of notes receivable from participants per the financial statements to the Form 5500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 per the financial statements</w:t>
            </w:r>
          </w:p>
        </w:tc>
        <w:tc>
          <w:tcPr>
            <w:tcW w:w="2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8,839,784</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8,719,479</w:t>
            </w:r>
          </w:p>
        </w:tc>
      </w:tr>
      <w:tr>
        <w:trPr>
          <w:trHeight w:val="229"/>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Cumulative deemed distributions of participant loans</w:t>
            </w:r>
          </w:p>
        </w:tc>
        <w:tc>
          <w:tcPr>
            <w:tcW w:w="20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(239,318)</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(227,488)</w:t>
            </w:r>
          </w:p>
        </w:tc>
      </w:tr>
      <w:tr>
        <w:trPr>
          <w:trHeight w:val="248"/>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 per Form 5500</w:t>
            </w:r>
          </w:p>
        </w:tc>
        <w:tc>
          <w:tcPr>
            <w:tcW w:w="20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8,600,466</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8,491,991</w:t>
            </w:r>
          </w:p>
        </w:tc>
      </w:tr>
      <w:tr>
        <w:trPr>
          <w:trHeight w:val="20"/>
        </w:trPr>
        <w:tc>
          <w:tcPr>
            <w:tcW w:w="6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For the year ended December 31, 2025, reconciliation of the change in net assets available for benefits per the financial statements to the Form 5500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assets available for benefits per the financial statements</w:t>
            </w:r>
          </w:p>
        </w:tc>
        <w:tc>
          <w:tcPr>
            <w:tcW w:w="2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92,102,778</w:t>
            </w:r>
          </w:p>
        </w:tc>
      </w:tr>
      <w:tr>
        <w:trPr>
          <w:trHeight w:val="229"/>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Change in cumulative deemed distributions of participant loans</w:t>
            </w:r>
          </w:p>
        </w:tc>
        <w:tc>
          <w:tcPr>
            <w:tcW w:w="2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(11,830)</w:t>
            </w:r>
          </w:p>
        </w:tc>
      </w:tr>
      <w:tr>
        <w:trPr>
          <w:trHeight w:val="248"/>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assets available for benefits per Form 5500</w:t>
            </w:r>
          </w:p>
        </w:tc>
        <w:tc>
          <w:tcPr>
            <w:tcW w:w="26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92,090,948</w:t>
            </w:r>
          </w:p>
        </w:tc>
      </w:tr>
      <w:tr>
        <w:trPr>
          <w:trHeight w:val="20"/>
        </w:trPr>
        <w:tc>
          <w:tcPr>
            <w:tcW w:w="736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reconciliation of net investment income per the financial statements to the Form 5500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income per the financial statements</w:t>
            </w:r>
          </w:p>
        </w:tc>
        <w:tc>
          <w:tcPr>
            <w:tcW w:w="3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150,736,123</w:t>
            </w:r>
          </w:p>
        </w:tc>
      </w:tr>
      <w:tr>
        <w:trPr>
          <w:trHeight w:val="229"/>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Interest on deemed distributions of participant loans</w:t>
            </w:r>
          </w:p>
        </w:tc>
        <w:tc>
          <w:tcPr>
            <w:tcW w:w="30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(15,795)</w:t>
            </w:r>
          </w:p>
        </w:tc>
      </w:tr>
      <w:tr>
        <w:trPr>
          <w:trHeight w:val="248"/>
        </w:trPr>
        <w:tc>
          <w:tcPr>
            <w:tcW w:w="6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income per Form 5500</w:t>
            </w:r>
          </w:p>
        </w:tc>
        <w:tc>
          <w:tcPr>
            <w:tcW w:w="3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150,720,328</w:t>
            </w:r>
          </w:p>
        </w:tc>
      </w:tr>
      <w:tr>
        <w:trPr>
          <w:trHeight w:val="20"/>
        </w:trPr>
        <w:tc>
          <w:tcPr>
            <w:tcW w:w="692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reconciliation of benefits paid to participants per the financial statements to the Form 5500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participants per the financial statements</w:t>
            </w:r>
          </w:p>
        </w:tc>
        <w:tc>
          <w:tcPr>
            <w:tcW w:w="3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122,293,368</w:t>
            </w:r>
          </w:p>
        </w:tc>
      </w:tr>
      <w:tr>
        <w:trPr>
          <w:trHeight w:val="229"/>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Deemed distributions of participant loans</w:t>
            </w:r>
          </w:p>
        </w:tc>
        <w:tc>
          <w:tcPr>
            <w:tcW w:w="3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48"/>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participants per Form 5500</w:t>
            </w:r>
          </w:p>
        </w:tc>
        <w:tc>
          <w:tcPr>
            <w:tcW w:w="3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122,289,403</w:t>
            </w:r>
          </w:p>
        </w:tc>
      </w:tr>
      <w:tr>
        <w:trPr>
          <w:trHeight w:val="20"/>
        </w:trPr>
        <w:tc>
          <w:tcPr>
            <w:tcW w:w="684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SUPPLEMENTAL SCHEDULE FURNISHED PURSUANT TO THE</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REQUIREMENTS OF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PENTAIR, INC. RETIREMENT SAVINGS AND STOCK INCENTIVE PLAN</w:t>
            </w:r>
          </w:p>
        </w:tc>
        <w:tc>
          <w:tcPr>
            <w:tcW w:w="1140" w:type="dxa"/>
            <w:vAlign w:val="bottom"/>
          </w:tcPr>
          <w:p>
            <w:pPr>
              <w:spacing w:after="0"/>
              <w:rPr>
                <w:sz w:val="18"/>
                <w:szCs w:val="18"/>
                <w:color w:val="auto"/>
              </w:rPr>
            </w:pPr>
          </w:p>
        </w:tc>
        <w:tc>
          <w:tcPr>
            <w:tcW w:w="22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(EIN: 41-0907434)</w:t>
            </w:r>
          </w:p>
        </w:tc>
      </w:tr>
      <w:tr>
        <w:trPr>
          <w:trHeight w:val="216"/>
        </w:trPr>
        <w:tc>
          <w:tcPr>
            <w:tcW w:w="7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(Plan #002)</w:t>
            </w:r>
          </w:p>
        </w:tc>
      </w:tr>
      <w:tr>
        <w:trPr>
          <w:trHeight w:val="222"/>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FORM 5500, SCHEDULE H, PART IV LINE 4i — SCHEDULE OF ASSETS (HELD AT END OF YEAR)</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70"/>
        </w:trPr>
        <w:tc>
          <w:tcPr>
            <w:tcW w:w="7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Current</w:t>
            </w:r>
          </w:p>
        </w:tc>
      </w:tr>
      <w:tr>
        <w:trPr>
          <w:trHeight w:val="219"/>
        </w:trPr>
        <w:tc>
          <w:tcPr>
            <w:tcW w:w="788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1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7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COMMON/COLLECTIVE TRUSTS:</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Vanguard Target Retirement Income Fund</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8,282,690</w:t>
            </w:r>
          </w:p>
        </w:tc>
      </w:tr>
      <w:tr>
        <w:trPr>
          <w:trHeight w:val="21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Vanguard Target Retirement 2020 Fund</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13,869,724</w:t>
            </w:r>
          </w:p>
        </w:tc>
      </w:tr>
      <w:tr>
        <w:trPr>
          <w:trHeight w:val="21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Vanguard Target Retirement 2025 Fund</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34,838,597</w:t>
            </w:r>
          </w:p>
        </w:tc>
      </w:tr>
      <w:tr>
        <w:trPr>
          <w:trHeight w:val="21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Vanguard Target Retirement 2030 Fund</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76,500,138</w:t>
            </w:r>
          </w:p>
        </w:tc>
      </w:tr>
      <w:tr>
        <w:trPr>
          <w:trHeight w:val="21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Vanguard Target Retirement 2035 Fund</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88,787,245</w:t>
            </w:r>
          </w:p>
        </w:tc>
      </w:tr>
      <w:tr>
        <w:trPr>
          <w:trHeight w:val="21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Vanguard Target Retirement 2040 Fund</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53,727,712</w:t>
            </w:r>
          </w:p>
        </w:tc>
      </w:tr>
      <w:tr>
        <w:trPr>
          <w:trHeight w:val="21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Vanguard Target Retirement 2045 Fund</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55,982,741</w:t>
            </w:r>
          </w:p>
        </w:tc>
      </w:tr>
      <w:tr>
        <w:trPr>
          <w:trHeight w:val="21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Vanguard Target Retirement 2050 Fund</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51,844,577</w:t>
            </w:r>
          </w:p>
        </w:tc>
      </w:tr>
      <w:tr>
        <w:trPr>
          <w:trHeight w:val="21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Vanguard Target Retirement 2055 Fund</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34,757,933</w:t>
            </w:r>
          </w:p>
        </w:tc>
      </w:tr>
      <w:tr>
        <w:trPr>
          <w:trHeight w:val="21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Vanguard Target Retirement 2060 Fund</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24,143,356</w:t>
            </w:r>
          </w:p>
        </w:tc>
      </w:tr>
      <w:tr>
        <w:trPr>
          <w:trHeight w:val="21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Vanguard Target Retirement 2065 Fund</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7,441,356</w:t>
            </w:r>
          </w:p>
        </w:tc>
      </w:tr>
      <w:tr>
        <w:trPr>
          <w:trHeight w:val="21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Vanguard Target Retirement 2070 Fund</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1,710,006</w:t>
            </w:r>
          </w:p>
        </w:tc>
      </w:tr>
      <w:tr>
        <w:trPr>
          <w:trHeight w:val="216"/>
        </w:trPr>
        <w:tc>
          <w:tcPr>
            <w:tcW w:w="788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Fidelity Growth Company </w:t>
            </w:r>
            <w:r>
              <w:rPr>
                <w:rFonts w:ascii="Times New Roman" w:cs="Times New Roman" w:eastAsia="Times New Roman" w:hAnsi="Times New Roman"/>
                <w:sz w:val="21"/>
                <w:szCs w:val="21"/>
                <w:color w:val="auto"/>
                <w:vertAlign w:val="superscript"/>
              </w:rPr>
              <w:t>(1)</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196,798,535</w:t>
            </w: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RT L&amp;G RUSSELL 3000</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111,419,115</w:t>
            </w:r>
          </w:p>
        </w:tc>
      </w:tr>
      <w:tr>
        <w:trPr>
          <w:trHeight w:val="21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RT L&amp;G MSCI EAFE A</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4,858,545</w:t>
            </w:r>
          </w:p>
        </w:tc>
      </w:tr>
      <w:tr>
        <w:trPr>
          <w:trHeight w:val="21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BlackRock Total Return L Series</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8,639,360</w:t>
            </w:r>
          </w:p>
        </w:tc>
      </w:tr>
      <w:tr>
        <w:trPr>
          <w:trHeight w:val="21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Loomis Small Cap Growth</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21,898,757</w:t>
            </w:r>
          </w:p>
        </w:tc>
      </w:tr>
      <w:tr>
        <w:trPr>
          <w:trHeight w:val="216"/>
        </w:trPr>
        <w:tc>
          <w:tcPr>
            <w:tcW w:w="7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Street Real Asset Non-Lending Series Fund Class C</w:t>
            </w:r>
          </w:p>
        </w:tc>
        <w:tc>
          <w:tcPr>
            <w:tcW w:w="1140" w:type="dxa"/>
            <w:vAlign w:val="bottom"/>
            <w:tcBorders>
              <w:bottom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759,718</w:t>
            </w:r>
          </w:p>
        </w:tc>
      </w:tr>
      <w:tr>
        <w:trPr>
          <w:trHeight w:val="210"/>
        </w:trPr>
        <w:tc>
          <w:tcPr>
            <w:tcW w:w="7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Total common collective trusts</w:t>
            </w: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796,260,105</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FUNDS:</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Oakmark Fund</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44,794,505</w:t>
            </w:r>
          </w:p>
        </w:tc>
      </w:tr>
      <w:tr>
        <w:trPr>
          <w:trHeight w:val="21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Dodge &amp; Cox International Stock Fund Class X</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21,908,381</w:t>
            </w:r>
          </w:p>
        </w:tc>
      </w:tr>
      <w:tr>
        <w:trPr>
          <w:trHeight w:val="216"/>
        </w:trPr>
        <w:tc>
          <w:tcPr>
            <w:tcW w:w="788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Fidelity US Bond Index </w:t>
            </w:r>
            <w:r>
              <w:rPr>
                <w:rFonts w:ascii="Times New Roman" w:cs="Times New Roman" w:eastAsia="Times New Roman" w:hAnsi="Times New Roman"/>
                <w:sz w:val="21"/>
                <w:szCs w:val="21"/>
                <w:color w:val="auto"/>
                <w:vertAlign w:val="superscript"/>
              </w:rPr>
              <w:t>(1)</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7,796,581</w:t>
            </w: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Victory Integrity Small Cap Value Fund R6</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12,192,271</w:t>
            </w:r>
          </w:p>
        </w:tc>
      </w:tr>
      <w:tr>
        <w:trPr>
          <w:trHeight w:val="213"/>
        </w:trPr>
        <w:tc>
          <w:tcPr>
            <w:tcW w:w="7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Vanguard International Growth Fund Adm</w:t>
            </w:r>
          </w:p>
        </w:tc>
        <w:tc>
          <w:tcPr>
            <w:tcW w:w="11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12,042,662</w:t>
            </w:r>
          </w:p>
        </w:tc>
      </w:tr>
      <w:tr>
        <w:trPr>
          <w:trHeight w:val="210"/>
        </w:trPr>
        <w:tc>
          <w:tcPr>
            <w:tcW w:w="78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mutual funds</w:t>
            </w: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98,734,400</w:t>
            </w:r>
          </w:p>
        </w:tc>
      </w:tr>
      <w:tr>
        <w:trPr>
          <w:trHeight w:val="21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CASH</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Vanguard Federal Money Market</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52,525</w:t>
            </w:r>
          </w:p>
        </w:tc>
      </w:tr>
      <w:tr>
        <w:trPr>
          <w:trHeight w:val="213"/>
        </w:trPr>
        <w:tc>
          <w:tcPr>
            <w:tcW w:w="7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Vanguard Cash Reserves Federal Money Market</w:t>
            </w:r>
          </w:p>
        </w:tc>
        <w:tc>
          <w:tcPr>
            <w:tcW w:w="11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265,670</w:t>
            </w:r>
          </w:p>
        </w:tc>
      </w:tr>
      <w:tr>
        <w:trPr>
          <w:trHeight w:val="209"/>
        </w:trPr>
        <w:tc>
          <w:tcPr>
            <w:tcW w:w="78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interest-bearing cash</w:t>
            </w: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318,195</w:t>
            </w:r>
          </w:p>
        </w:tc>
      </w:tr>
      <w:tr>
        <w:trPr>
          <w:trHeight w:val="212"/>
        </w:trPr>
        <w:tc>
          <w:tcPr>
            <w:tcW w:w="788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PENTAIR COMMON STOCK </w:t>
            </w:r>
            <w:r>
              <w:rPr>
                <w:rFonts w:ascii="Times New Roman" w:cs="Times New Roman" w:eastAsia="Times New Roman" w:hAnsi="Times New Roman"/>
                <w:sz w:val="21"/>
                <w:szCs w:val="21"/>
                <w:color w:val="auto"/>
                <w:vertAlign w:val="superscript"/>
              </w:rPr>
              <w:t>(1)</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50,460,578</w:t>
            </w: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STABLE VALUE FUND</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788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Fidelity Managed Income Portfolio II, CL 4 </w:t>
            </w:r>
            <w:r>
              <w:rPr>
                <w:rFonts w:ascii="Times New Roman" w:cs="Times New Roman" w:eastAsia="Times New Roman" w:hAnsi="Times New Roman"/>
                <w:sz w:val="21"/>
                <w:szCs w:val="21"/>
                <w:color w:val="auto"/>
                <w:vertAlign w:val="superscript"/>
              </w:rPr>
              <w:t>(1)</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46,376,346</w:t>
            </w:r>
          </w:p>
        </w:tc>
      </w:tr>
      <w:tr>
        <w:trPr>
          <w:trHeight w:val="216"/>
        </w:trPr>
        <w:tc>
          <w:tcPr>
            <w:tcW w:w="7880" w:type="dxa"/>
            <w:vAlign w:val="bottom"/>
            <w:tcBorders>
              <w:bottom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NOTES RECEIVABLE FROM PARTICIPANTS, NET OF $239,318 IN DEEMED DISTRIBUTIONS </w:t>
            </w:r>
            <w:r>
              <w:rPr>
                <w:rFonts w:ascii="Times New Roman" w:cs="Times New Roman" w:eastAsia="Times New Roman" w:hAnsi="Times New Roman"/>
                <w:sz w:val="21"/>
                <w:szCs w:val="21"/>
                <w:color w:val="auto"/>
                <w:vertAlign w:val="superscript"/>
              </w:rPr>
              <w:t>(1) (2)</w:t>
            </w: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8,600,466</w:t>
            </w:r>
          </w:p>
        </w:tc>
      </w:tr>
      <w:tr>
        <w:trPr>
          <w:trHeight w:val="207"/>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1,000,750,090</w:t>
            </w:r>
          </w:p>
        </w:tc>
      </w:tr>
      <w:tr>
        <w:trPr>
          <w:trHeight w:val="23"/>
        </w:trPr>
        <w:tc>
          <w:tcPr>
            <w:tcW w:w="7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95" w:lineRule="exact"/>
        <w:rPr>
          <w:sz w:val="20"/>
          <w:szCs w:val="20"/>
          <w:color w:val="auto"/>
        </w:rPr>
      </w:pPr>
    </w:p>
    <w:p>
      <w:pPr>
        <w:ind w:left="640" w:hanging="389"/>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Party-in-interest.</w:t>
      </w:r>
    </w:p>
    <w:p>
      <w:pPr>
        <w:spacing w:after="0" w:line="1" w:lineRule="exact"/>
        <w:rPr>
          <w:rFonts w:ascii="Times New Roman" w:cs="Times New Roman" w:eastAsia="Times New Roman" w:hAnsi="Times New Roman"/>
          <w:sz w:val="23"/>
          <w:szCs w:val="23"/>
          <w:color w:val="auto"/>
          <w:vertAlign w:val="superscript"/>
        </w:rPr>
      </w:pPr>
    </w:p>
    <w:p>
      <w:pPr>
        <w:ind w:left="640" w:hanging="389"/>
        <w:spacing w:after="0" w:line="194" w:lineRule="auto"/>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rates range from 4.25% to 9.75%. Maturity dates range from 2026 to 2045.</w:t>
      </w:r>
    </w:p>
    <w:p>
      <w:pPr>
        <w:spacing w:after="0" w:line="144" w:lineRule="exact"/>
        <w:rPr>
          <w:sz w:val="20"/>
          <w:szCs w:val="20"/>
          <w:color w:val="auto"/>
        </w:rPr>
      </w:pPr>
    </w:p>
    <w:p>
      <w:pPr>
        <w:ind w:left="5540" w:right="3560" w:hanging="5289"/>
        <w:spacing w:after="0" w:line="970" w:lineRule="auto"/>
        <w:tabs>
          <w:tab w:leader="none" w:pos="5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therefore, is not included.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2" w:name="page13"/>
    <w:bookmarkEnd w:id="12"/>
    <w:p>
      <w:pPr>
        <w:ind w:left="43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 w:lineRule="exact"/>
        <w:rPr>
          <w:sz w:val="20"/>
          <w:szCs w:val="20"/>
          <w:color w:val="auto"/>
        </w:rPr>
      </w:pPr>
    </w:p>
    <w:p>
      <w:pPr>
        <w:ind w:left="1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4445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b w:val="1"/>
          <w:bCs w:val="1"/>
          <w:u w:val="single" w:color="auto"/>
          <w:color w:val="0000FF"/>
        </w:rPr>
        <w:t>23.1</w:t>
      </w:r>
      <w:r>
        <w:rPr>
          <w:sz w:val="20"/>
          <w:szCs w:val="20"/>
          <w:color w:val="auto"/>
        </w:rPr>
        <w:tab/>
      </w:r>
      <w:r>
        <w:rPr>
          <w:rFonts w:ascii="Times New Roman" w:cs="Times New Roman" w:eastAsia="Times New Roman" w:hAnsi="Times New Roman"/>
          <w:sz w:val="17"/>
          <w:szCs w:val="17"/>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19"/>
          </w:cols>
          <w:pgMar w:left="940" w:top="1278" w:right="1440" w:bottom="1440" w:gutter="0" w:footer="0" w:header="0"/>
        </w:sectPr>
      </w:pPr>
    </w:p>
    <w:bookmarkStart w:id="13" w:name="page14"/>
    <w:bookmarkEnd w:id="1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Pentair, Inc., who administers the Pentair, Inc. Retirement Savings and Stock Incentive Plan, as amended, has duly caused this annual report to be signed on its behalf by the undersigned, hereunto duly authorized, on June 18, 2026.</w:t>
      </w:r>
    </w:p>
    <w:p>
      <w:pPr>
        <w:spacing w:after="0" w:line="16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Pentair, Inc. Retirement Savings and Stock Incentive Plan</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Pentair, Inc.</w:t>
      </w:r>
    </w:p>
    <w:p>
      <w:pPr>
        <w:spacing w:after="0" w:line="28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Nicholas J. Brazis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Nicholas J. Brazis</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1035" w:right="55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333-184152 on Form S-8 of our report dated June 18, 2026, relating to the financial statements and supplemental schedule of Pentair, Inc. Retirement Savings and Stock Incentive Plan, appearing in this Annual Report on Form 11-K for the year ended December 31,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upperLetter"/>
      <w:start w:val="1"/>
    </w:lvl>
  </w:abstractNum>
  <w:abstractNum w:abstractNumId="3">
    <w:nsid w:val="515F007C"/>
    <w:multiLevelType w:val="hybridMultilevel"/>
    <w:lvl w:ilvl="0">
      <w:lvlJc w:val="left"/>
      <w:lvlText w:val="%1:"/>
      <w:numFmt w:val="upperLetter"/>
      <w:start w:val="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2026-06-18T16:17:53Z</dcterms:created>
  <dcterms:modified xsi:type="dcterms:W3CDTF">2026-06-18T16:17:53Z</dcterms:modified>
</cp:coreProperties>
</file>