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520700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37"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jc w:val="center"/>
        <w:ind w:left="4300" w:right="1400" w:hanging="4274"/>
        <w:spacing w:after="0" w:line="391" w:lineRule="auto"/>
        <w:tabs>
          <w:tab w:leader="none" w:pos="112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-21590</wp:posOffset>
            </wp:positionV>
            <wp:extent cx="196278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Borders>
              <w:bottom w:val="single" w:sz="8" w:color="auto"/>
            </w:tcBorders>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1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98-1141328</w:t>
            </w:r>
          </w:p>
        </w:tc>
      </w:tr>
      <w:tr>
        <w:trPr>
          <w:trHeight w:val="228"/>
        </w:trPr>
        <w:tc>
          <w:tcPr>
            <w:tcW w:w="5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22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9"/>
        </w:trPr>
        <w:tc>
          <w:tcPr>
            <w:tcW w:w="43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Regal House, 70 London Road,</w:t>
            </w:r>
          </w:p>
        </w:tc>
        <w:tc>
          <w:tcPr>
            <w:tcW w:w="1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Twickenham,</w:t>
            </w:r>
          </w:p>
        </w:tc>
        <w:tc>
          <w:tcPr>
            <w:tcW w:w="1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London,  TW13QS</w:t>
            </w:r>
          </w:p>
        </w:tc>
        <w:tc>
          <w:tcPr>
            <w:tcW w:w="3360" w:type="dxa"/>
            <w:vAlign w:val="bottom"/>
            <w:tcBorders>
              <w:bottom w:val="single" w:sz="8" w:color="auto"/>
            </w:tcBorders>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United Kingdom</w:t>
            </w:r>
          </w:p>
        </w:tc>
      </w:tr>
      <w:tr>
        <w:trPr>
          <w:trHeight w:val="228"/>
        </w:trPr>
        <w:tc>
          <w:tcPr>
            <w:tcW w:w="7680" w:type="dxa"/>
            <w:vAlign w:val="bottom"/>
            <w:gridSpan w:val="3"/>
          </w:tcPr>
          <w:p>
            <w:pPr>
              <w:ind w:left="3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60" w:type="dxa"/>
            <w:vAlign w:val="bottom"/>
          </w:tcPr>
          <w:p>
            <w:pPr>
              <w:spacing w:after="0"/>
              <w:rPr>
                <w:sz w:val="19"/>
                <w:szCs w:val="19"/>
                <w:color w:val="auto"/>
              </w:rPr>
            </w:pPr>
          </w:p>
        </w:tc>
      </w:tr>
    </w:tbl>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37"/>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PNR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9" w:lineRule="exact"/>
        <w:rPr>
          <w:sz w:val="24"/>
          <w:szCs w:val="24"/>
          <w:color w:val="auto"/>
        </w:rPr>
      </w:pPr>
    </w:p>
    <w:p>
      <w:pPr>
        <w:ind w:right="2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20" w:type="dxa"/>
            <w:vAlign w:val="bottom"/>
          </w:tcPr>
          <w:p>
            <w:pPr>
              <w:spacing w:after="0"/>
              <w:rPr>
                <w:sz w:val="18"/>
                <w:szCs w:val="18"/>
                <w:color w:val="auto"/>
              </w:rPr>
            </w:pP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980" w:type="dxa"/>
            <w:vAlign w:val="bottom"/>
            <w:vMerge w:val="restart"/>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1820" w:type="dxa"/>
            <w:vAlign w:val="bottom"/>
          </w:tcPr>
          <w:p>
            <w:pPr>
              <w:spacing w:after="0"/>
              <w:rPr>
                <w:sz w:val="18"/>
                <w:szCs w:val="18"/>
                <w:color w:val="auto"/>
              </w:rPr>
            </w:pP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6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0" w:type="dxa"/>
            <w:vAlign w:val="bottom"/>
            <w:vMerge w:val="continue"/>
          </w:tcPr>
          <w:p>
            <w:pPr>
              <w:spacing w:after="0"/>
              <w:rPr>
                <w:sz w:val="22"/>
                <w:szCs w:val="22"/>
                <w:color w:val="auto"/>
              </w:rPr>
            </w:pPr>
          </w:p>
        </w:tc>
        <w:tc>
          <w:tcPr>
            <w:tcW w:w="1980" w:type="dxa"/>
            <w:vAlign w:val="bottom"/>
            <w:vMerge w:val="continue"/>
          </w:tcPr>
          <w:p>
            <w:pPr>
              <w:spacing w:after="0"/>
              <w:rPr>
                <w:sz w:val="22"/>
                <w:szCs w:val="22"/>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Non-accelerated filer</w:t>
            </w:r>
          </w:p>
        </w:tc>
        <w:tc>
          <w:tcPr>
            <w:tcW w:w="4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4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2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30, 2022, 164,459,912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19685</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1620" w:type="dxa"/>
            <w:vAlign w:val="bottom"/>
            <w:gridSpan w:val="2"/>
          </w:tcPr>
          <w:p>
            <w:pPr>
              <w:spacing w:after="0"/>
              <w:rPr>
                <w:sz w:val="22"/>
                <w:szCs w:val="22"/>
                <w:color w:val="auto"/>
              </w:rPr>
            </w:pP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40" w:type="dxa"/>
            <w:vAlign w:val="bottom"/>
          </w:tcPr>
          <w:p>
            <w:pPr>
              <w:spacing w:after="0"/>
              <w:rPr>
                <w:sz w:val="22"/>
                <w:szCs w:val="22"/>
                <w:color w:val="auto"/>
              </w:rPr>
            </w:pPr>
          </w:p>
        </w:tc>
        <w:tc>
          <w:tcPr>
            <w:tcW w:w="57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620" w:type="dxa"/>
            <w:vAlign w:val="bottom"/>
            <w:gridSpan w:val="2"/>
          </w:tcPr>
          <w:p>
            <w:pPr>
              <w:spacing w:after="0"/>
              <w:rPr>
                <w:sz w:val="22"/>
                <w:szCs w:val="22"/>
                <w:color w:val="auto"/>
              </w:rPr>
            </w:pP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w:t>
            </w: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4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160" w:type="dxa"/>
            <w:vAlign w:val="bottom"/>
            <w:gridSpan w:val="4"/>
          </w:tcPr>
          <w:p>
            <w:pPr>
              <w:spacing w:after="0"/>
              <w:rPr>
                <w:sz w:val="22"/>
                <w:szCs w:val="22"/>
                <w:color w:val="auto"/>
              </w:rPr>
            </w:pP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w w:val="88"/>
              </w:rPr>
              <w:t>22</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4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6"/>
          </w:tcPr>
          <w:p>
            <w:pPr>
              <w:spacing w:after="0"/>
              <w:rPr>
                <w:sz w:val="22"/>
                <w:szCs w:val="22"/>
                <w:color w:val="auto"/>
              </w:rPr>
            </w:pPr>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gridSpan w:val="2"/>
          </w:tcPr>
          <w:p>
            <w:pPr>
              <w:spacing w:after="0"/>
              <w:rPr>
                <w:sz w:val="22"/>
                <w:szCs w:val="22"/>
                <w:color w:val="auto"/>
              </w:rPr>
            </w:pPr>
          </w:p>
        </w:tc>
        <w:tc>
          <w:tcPr>
            <w:tcW w:w="6020" w:type="dxa"/>
            <w:vAlign w:val="bottom"/>
            <w:gridSpan w:val="10"/>
          </w:tcPr>
          <w:p>
            <w:pPr>
              <w:spacing w:after="0"/>
              <w:rPr>
                <w:sz w:val="22"/>
                <w:szCs w:val="22"/>
                <w:color w:val="auto"/>
              </w:rPr>
            </w:pP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0" w:type="dxa"/>
            <w:vAlign w:val="bottom"/>
            <w:gridSpan w:val="9"/>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700" w:type="dxa"/>
            <w:vAlign w:val="bottom"/>
            <w:gridSpan w:val="12"/>
          </w:tcPr>
          <w:p>
            <w:pPr>
              <w:spacing w:after="0"/>
              <w:rPr>
                <w:sz w:val="22"/>
                <w:szCs w:val="22"/>
                <w:color w:val="auto"/>
              </w:rPr>
            </w:pPr>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58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6580" w:type="dxa"/>
            <w:vAlign w:val="bottom"/>
            <w:gridSpan w:val="13"/>
          </w:tcPr>
          <w:p>
            <w:pPr>
              <w:spacing w:after="0"/>
              <w:rPr>
                <w:sz w:val="22"/>
                <w:szCs w:val="22"/>
                <w:color w:val="auto"/>
              </w:rPr>
            </w:pPr>
          </w:p>
        </w:tc>
        <w:tc>
          <w:tcPr>
            <w:tcW w:w="10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8"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gridSpan w:val="3"/>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520" w:type="dxa"/>
            <w:vAlign w:val="bottom"/>
            <w:gridSpan w:val="3"/>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40" w:type="dxa"/>
            <w:vAlign w:val="bottom"/>
            <w:gridSpan w:val="8"/>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 (Unaudited)</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2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63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152.9</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132.1</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270.5</w:t>
            </w: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260.7</w:t>
            </w:r>
          </w:p>
        </w:tc>
        <w:tc>
          <w:tcPr>
            <w:tcW w:w="0" w:type="dxa"/>
            <w:vAlign w:val="bottom"/>
          </w:tcPr>
          <w:p>
            <w:pPr>
              <w:spacing w:after="0"/>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Changes in market value of derivative financial instruments, net of tax</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 (loss) per ordinary share</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300" w:type="dxa"/>
            <w:vAlign w:val="bottom"/>
          </w:tcPr>
          <w:p>
            <w:pPr>
              <w:spacing w:after="0"/>
              <w:rPr>
                <w:sz w:val="17"/>
                <w:szCs w:val="17"/>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allowances of $12.3 and $9.1, respectively</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3,091.2</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4,753.6</w:t>
            </w: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shd w:val="clear" w:color="auto" w:fill="CCEEFF"/>
          </w:tcPr>
          <w:p>
            <w:pPr>
              <w:ind w:left="47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Ordinary shares $0.01 par value, 426.0 authorized, 164.5 and 165.1 issued at June 30, 2022 and December 31,</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2021, respectively</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4,753.6</w:t>
            </w: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14"/>
                <w:szCs w:val="14"/>
                <w:color w:val="auto"/>
              </w:rPr>
            </w:pPr>
          </w:p>
        </w:tc>
        <w:tc>
          <w:tcPr>
            <w:tcW w:w="130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4"/>
                <w:szCs w:val="14"/>
                <w:color w:val="auto"/>
              </w:rPr>
            </w:pPr>
          </w:p>
        </w:tc>
        <w:tc>
          <w:tcPr>
            <w:tcW w:w="130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76"/>
        </w:trPr>
        <w:tc>
          <w:tcPr>
            <w:tcW w:w="800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from continuing operations to net cash provided by (used for)</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activities of continuing operations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bridge financing fees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effects of business acquisitions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net investment hedges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borrowings of revolving long-term debt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employees, net of shares withheld</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Receipts (payments) upon the maturity of cross currency swaps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2"/>
                <w:szCs w:val="12"/>
                <w:color w:val="auto"/>
              </w:rPr>
            </w:pPr>
          </w:p>
        </w:tc>
        <w:tc>
          <w:tcPr>
            <w:tcW w:w="182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10"/>
              <w:spacing w:after="0" w:line="149"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200" w:type="dxa"/>
            <w:vAlign w:val="bottom"/>
          </w:tcPr>
          <w:p>
            <w:pPr>
              <w:spacing w:after="0"/>
              <w:rPr>
                <w:sz w:val="12"/>
                <w:szCs w:val="12"/>
                <w:color w:val="auto"/>
              </w:rPr>
            </w:pPr>
          </w:p>
        </w:tc>
        <w:tc>
          <w:tcPr>
            <w:tcW w:w="1040" w:type="dxa"/>
            <w:vAlign w:val="bottom"/>
          </w:tcPr>
          <w:p>
            <w:pPr>
              <w:jc w:val="right"/>
              <w:ind w:right="190"/>
              <w:spacing w:after="0" w:line="149"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200" w:type="dxa"/>
            <w:vAlign w:val="bottom"/>
          </w:tcPr>
          <w:p>
            <w:pPr>
              <w:spacing w:after="0"/>
              <w:rPr>
                <w:sz w:val="12"/>
                <w:szCs w:val="12"/>
                <w:color w:val="auto"/>
              </w:rPr>
            </w:pPr>
          </w:p>
        </w:tc>
        <w:tc>
          <w:tcPr>
            <w:tcW w:w="1400" w:type="dxa"/>
            <w:vAlign w:val="bottom"/>
          </w:tcPr>
          <w:p>
            <w:pPr>
              <w:jc w:val="center"/>
              <w:ind w:right="110"/>
              <w:spacing w:after="0" w:line="149" w:lineRule="exact"/>
              <w:rPr>
                <w:sz w:val="20"/>
                <w:szCs w:val="20"/>
                <w:color w:val="auto"/>
              </w:rPr>
            </w:pPr>
            <w:r>
              <w:rPr>
                <w:rFonts w:ascii="Times New Roman" w:cs="Times New Roman" w:eastAsia="Times New Roman" w:hAnsi="Times New Roman"/>
                <w:sz w:val="17"/>
                <w:szCs w:val="17"/>
                <w:b w:val="1"/>
                <w:bCs w:val="1"/>
                <w:color w:val="auto"/>
              </w:rPr>
              <w:t>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$0.21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$0.21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110"/>
              <w:spacing w:after="0" w:line="156"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200" w:type="dxa"/>
            <w:vAlign w:val="bottom"/>
          </w:tcPr>
          <w:p>
            <w:pPr>
              <w:spacing w:after="0"/>
              <w:rPr>
                <w:sz w:val="14"/>
                <w:szCs w:val="14"/>
                <w:color w:val="auto"/>
              </w:rPr>
            </w:pPr>
          </w:p>
        </w:tc>
        <w:tc>
          <w:tcPr>
            <w:tcW w:w="1040" w:type="dxa"/>
            <w:vAlign w:val="bottom"/>
          </w:tcPr>
          <w:p>
            <w:pPr>
              <w:jc w:val="right"/>
              <w:ind w:right="19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4"/>
                <w:szCs w:val="14"/>
                <w:color w:val="auto"/>
              </w:rPr>
            </w:pPr>
          </w:p>
        </w:tc>
        <w:tc>
          <w:tcPr>
            <w:tcW w:w="1400" w:type="dxa"/>
            <w:vAlign w:val="bottom"/>
          </w:tcPr>
          <w:p>
            <w:pPr>
              <w:jc w:val="center"/>
              <w:ind w:right="110"/>
              <w:spacing w:after="0" w:line="15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$0.20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2,193.8</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$0.20 per share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Responsibility for Interim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2021.</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2020, the World Health Organization declared the novel coronavirus 2019 (“COVID-19”) a global pandemic. The COVID-19 pandemic has had and may continue to have an unfavorable impact on certain parts of our business. The broader implications of the COVID-19 pandemic on our business, financial condition and results of operations remain uncertain and will depend on certain developments, including the duration and severity of the COVID-19 pandemic, the impact of virus variants, the effectiveness of vaccinations, the COVID-19 pandemic’s impact on our customers and suppliers and the range of governmental and community reactions to the pandemic. We may continue to experience reduced customer demand in certain parts of our business, impacts to our operations, or constrained labor and/or supply that could materially and adversely impact our business, financial condition, results of operations, liquidity and cash flows in future periods.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ends on December 31. We report our interim quarterly periods on a calendar quarter basis.</w:t>
      </w:r>
    </w:p>
    <w:p>
      <w:pPr>
        <w:spacing w:after="0" w:line="24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15 for revenue disaggregated by segment.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net sales information, based on geographic destination of the sale,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7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Developing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Developed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Consolidated net sales</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1,064.2</w:t>
            </w:r>
          </w:p>
        </w:tc>
        <w:tc>
          <w:tcPr>
            <w:tcW w:w="3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941.1</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2,063.8</w:t>
            </w:r>
          </w:p>
        </w:tc>
        <w:tc>
          <w:tcPr>
            <w:tcW w:w="3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1,807.0</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80" w:hanging="154"/>
        <w:spacing w:after="0"/>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Developing includes China, Eastern Europe, Latin America, the Middle East and Southeast Asia.</w:t>
      </w:r>
    </w:p>
    <w:p>
      <w:pPr>
        <w:spacing w:after="0" w:line="23" w:lineRule="exact"/>
        <w:rPr>
          <w:rFonts w:ascii="Times New Roman" w:cs="Times New Roman" w:eastAsia="Times New Roman" w:hAnsi="Times New Roman"/>
          <w:sz w:val="19"/>
          <w:szCs w:val="19"/>
          <w:color w:val="auto"/>
          <w:vertAlign w:val="superscript"/>
        </w:rPr>
      </w:pPr>
    </w:p>
    <w:p>
      <w:pPr>
        <w:ind w:left="200" w:hanging="174"/>
        <w:spacing w:after="0" w:line="182" w:lineRule="auto"/>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Developed includes Australia, Canada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Vertical net sales information was as follows: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7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June 30, 2022, we had $92.2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7"/>
                <w:szCs w:val="17"/>
                <w:color w:val="auto"/>
              </w:rPr>
            </w:pPr>
          </w:p>
        </w:tc>
        <w:tc>
          <w:tcPr>
            <w:tcW w:w="14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auto"/>
            </w:tcBorders>
            <w:vMerge w:val="continue"/>
          </w:tcPr>
          <w:p>
            <w:pPr>
              <w:spacing w:after="0"/>
              <w:rPr>
                <w:sz w:val="21"/>
                <w:szCs w:val="21"/>
                <w:color w:val="auto"/>
              </w:rPr>
            </w:pPr>
          </w:p>
        </w:tc>
        <w:tc>
          <w:tcPr>
            <w:tcW w:w="2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 assets</w:t>
            </w:r>
          </w:p>
        </w:tc>
        <w:tc>
          <w:tcPr>
            <w:tcW w:w="24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$13.8 million change in net contract liabilities from December 31, 2021 to June 30, 2022 was primarily the result of timing of milestone payments and the recognition of $1.1 million of impairment losses on our contract assets in the first quarter of 2022 related to our exit of business activity in Russia. Approximately 80% of our contract liabilities at December 31, 2021 were recognized in revenue in the first half of 2022.</w:t>
      </w:r>
    </w:p>
    <w:p>
      <w:pPr>
        <w:spacing w:after="0" w:line="19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4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7"/>
          <w:szCs w:val="17"/>
          <w:color w:val="auto"/>
        </w:rPr>
        <w:t>On March 2, 2022, as part of our Consumer Solutions reporting segment, we entered into a definitive agreement with Welbilt, Inc. (“Welbilt”) to acquire the issued and outstanding equity securities of certain subsidiaries of Welbilt and certain other assets, rights, and properties, and assume certain liabilities, comprising Welbilt’s Manitowoc Ice business (“Manitowoc Ice”), for an aggregate purchase price of $1.6 billion, subject to customary adjustments contemplated by the definitive agreement. We expect to fund the purchase price for the acquisition with borrowings under our term loan facility and net proceeds from the issuance of our 2032 senior notes, together with cash on hand and/or borrowings under our revolving credit facility. We expect to close our Manitowoc Ice acquisition on or around July 28, 2022, subject to customary closing conditions set forth in the definitive agreement.</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as part of both of our Consumer Solutions and Industrial &amp; Flow Technologies reporting segments, we completed the acquisition of Pleatco Holdings, LLC and related entities for $256.9 million in cash, net of cash acquired and working capital true-ups. The excess of purchase price over tangible net assets acquired has been preliminarily allocated to goodwill in the amount of $140.1 million, $136.5 million of which is expected to be deductible for income tax purposes. Identifiable intangible assets acquired consisted of $97.9 million of definite-lived customer relationships with an estimated useful life of 17 years.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2021, as part of our Consumer Solutions reporting segment, we completed the acquisition of Ken’s Beverage, Inc. for $82.2 million in cash, net of cash acquired and working capital true-ups. The excess of purchase price over tangible net assets acquired has been allocated to goodwill in the amount of $28.3 million, all of which is expected to be deductible for income tax purposes. Identifiable intangible assets acquired consisted of $38.0 million of definite-lived customer relationships with an estimated useful life of 22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impact of these acquisitions is not material.</w:t>
      </w:r>
    </w:p>
    <w:p>
      <w:pPr>
        <w:spacing w:after="0" w:line="24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for the three and six months ended June 30, 2022 and 2021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6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4"/>
                <w:szCs w:val="14"/>
                <w:color w:val="auto"/>
              </w:rPr>
            </w:pPr>
          </w:p>
        </w:tc>
        <w:tc>
          <w:tcPr>
            <w:tcW w:w="124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14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1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2022, we issued our annual share-based compensation grants under the Pentair plc 2020 Share and Incentive Plan to eligible employees. The total number of awards issued was approximately 0.6 million, of which 0.3 million were restricted stock units (“RSUs”), 0.2 million were stock options and 0.1 million were performance share units (“PSUs”). The weighted-average grant date fair value of the RSUs, stock options and PSUs issued was $60.78, $17.92, and $68.28, respectively.</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5220" w:type="dxa"/>
            <w:vAlign w:val="bottom"/>
          </w:tcPr>
          <w:p>
            <w:pPr>
              <w:jc w:val="right"/>
              <w:ind w:right="590"/>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41"/>
        </w:trPr>
        <w:tc>
          <w:tcPr>
            <w:tcW w:w="602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Annual Grant</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29.60 %</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United States (“U.S.”) Treasury Department yield curve in effect at the time of grant.</w:t>
      </w:r>
    </w:p>
    <w:p>
      <w:pPr>
        <w:spacing w:after="0" w:line="210"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Transformation Program</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we initiated and continued execution of actions aimed at reducing our fixed cost structure and realigning our business associated with restructuring and the Transformation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Restructuring and transformation-related costs within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Condensed Consolidated Statements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Income included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Initiatives</w:t>
            </w: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1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restructuring costs </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Transformation Program</w:t>
            </w: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3"/>
                <w:szCs w:val="23"/>
                <w:color w:val="auto"/>
                <w:vertAlign w:val="superscript"/>
              </w:rPr>
              <w:t>(2)</w:t>
            </w: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18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hanging="174"/>
        <w:spacing w:after="0" w:line="21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restructuring costs primarily consist of asset impairment and various contract termination costs.</w:t>
      </w:r>
    </w:p>
    <w:p>
      <w:pPr>
        <w:spacing w:after="0" w:line="50"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Transformation costs primarily consist of professional services and project management and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transformation costs by reportable segment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4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Pr>
          <w:p>
            <w:pPr>
              <w:spacing w:after="0"/>
              <w:rPr>
                <w:sz w:val="15"/>
                <w:szCs w:val="15"/>
                <w:color w:val="auto"/>
              </w:rPr>
            </w:pP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15"/>
                <w:szCs w:val="15"/>
                <w:color w:val="auto"/>
              </w:rPr>
            </w:pPr>
          </w:p>
        </w:tc>
        <w:tc>
          <w:tcPr>
            <w:tcW w:w="11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Solutions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1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&amp; Flow Technologies</w:t>
            </w:r>
          </w:p>
        </w:tc>
        <w:tc>
          <w:tcPr>
            <w:tcW w:w="1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10.6</w:t>
            </w:r>
          </w:p>
        </w:tc>
        <w:tc>
          <w:tcPr>
            <w:tcW w:w="1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1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13.6</w:t>
            </w: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 xml:space="preserve">Activity related to accrued severance and related costs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Condensed Consolidated Balance Sheets is summarized as follows for the six months ended June 30, 2022:</w:t>
      </w:r>
    </w:p>
    <w:tbl>
      <w:tblPr>
        <w:tblLayout w:type="fixed"/>
        <w:tblInd w:w="0" w:type="dxa"/>
        <w:tblCellMar>
          <w:top w:w="0" w:type="dxa"/>
          <w:left w:w="0" w:type="dxa"/>
          <w:bottom w:w="0" w:type="dxa"/>
          <w:right w:w="0" w:type="dxa"/>
        </w:tblCellMar>
      </w:tblPr>
      <w:tr>
        <w:trPr>
          <w:trHeight w:val="186"/>
        </w:trPr>
        <w:tc>
          <w:tcPr>
            <w:tcW w:w="5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90"/>
              <w:spacing w:after="0" w:line="186"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4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2"/>
                <w:szCs w:val="22"/>
                <w:color w:val="auto"/>
              </w:rPr>
            </w:pPr>
          </w:p>
        </w:tc>
        <w:tc>
          <w:tcPr>
            <w:tcW w:w="27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270.5</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Borders>
              <w:bottom w:val="single" w:sz="8" w:color="auto"/>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153.0</w:t>
            </w:r>
          </w:p>
        </w:tc>
        <w:tc>
          <w:tcPr>
            <w:tcW w:w="30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271.5</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175"/>
        </w:trPr>
        <w:tc>
          <w:tcPr>
            <w:tcW w:w="5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Dilutive impact of stock options, restricted stock units and</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166.0</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ordinary share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4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bottom w:val="single" w:sz="8" w:color="auto"/>
            </w:tcBorders>
          </w:tcPr>
          <w:p>
            <w:pPr>
              <w:spacing w:after="0" w:line="20" w:lineRule="exact"/>
              <w:rPr>
                <w:sz w:val="1"/>
                <w:szCs w:val="1"/>
                <w:color w:val="auto"/>
              </w:rPr>
            </w:pPr>
          </w:p>
        </w:tc>
        <w:tc>
          <w:tcPr>
            <w:tcW w:w="4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4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14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7"/>
                <w:szCs w:val="17"/>
                <w:b w:val="1"/>
                <w:bCs w:val="1"/>
                <w:color w:val="auto"/>
              </w:rPr>
              <w:t>Anti-dilutive stock options excluded from the calculation of</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our allowance for credit losses is summarized as follows for the six months ended June 30,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180" w:type="dxa"/>
            <w:vAlign w:val="bottom"/>
          </w:tcPr>
          <w:p>
            <w:pPr>
              <w:spacing w:after="0"/>
              <w:rPr>
                <w:sz w:val="17"/>
                <w:szCs w:val="17"/>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3800" w:type="dxa"/>
            <w:vAlign w:val="bottom"/>
            <w:tcBorders>
              <w:bottom w:val="single" w:sz="8" w:color="auto"/>
            </w:tcBorders>
            <w:vMerge w:val="continue"/>
          </w:tcPr>
          <w:p>
            <w:pPr>
              <w:spacing w:after="0"/>
              <w:rPr>
                <w:sz w:val="21"/>
                <w:szCs w:val="21"/>
                <w:color w:val="auto"/>
              </w:rPr>
            </w:pPr>
          </w:p>
        </w:tc>
        <w:tc>
          <w:tcPr>
            <w:tcW w:w="6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6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6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6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6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
        </w:trPr>
        <w:tc>
          <w:tcPr>
            <w:tcW w:w="3800" w:type="dxa"/>
            <w:vAlign w:val="bottom"/>
            <w:tcBorders>
              <w:bottom w:val="single" w:sz="8" w:color="auto"/>
            </w:tcBorders>
          </w:tcPr>
          <w:p>
            <w:pPr>
              <w:spacing w:after="0" w:line="20" w:lineRule="exact"/>
              <w:rPr>
                <w:sz w:val="1"/>
                <w:szCs w:val="1"/>
                <w:color w:val="auto"/>
              </w:rPr>
            </w:pPr>
          </w:p>
        </w:tc>
        <w:tc>
          <w:tcPr>
            <w:tcW w:w="6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800" w:type="dxa"/>
            <w:vAlign w:val="bottom"/>
          </w:tcPr>
          <w:p>
            <w:pPr>
              <w:spacing w:after="0"/>
              <w:rPr>
                <w:sz w:val="24"/>
                <w:szCs w:val="24"/>
                <w:color w:val="auto"/>
              </w:rPr>
            </w:pPr>
          </w:p>
        </w:tc>
        <w:tc>
          <w:tcPr>
            <w:tcW w:w="6180" w:type="dxa"/>
            <w:vAlign w:val="bottom"/>
          </w:tcPr>
          <w:p>
            <w:pPr>
              <w:jc w:val="right"/>
              <w:ind w:right="417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6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Balance Sheet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420" w:type="dxa"/>
            <w:vAlign w:val="bottom"/>
            <w:tcBorders>
              <w:bottom w:val="single" w:sz="8" w:color="auto"/>
            </w:tcBorders>
            <w:vMerge w:val="continue"/>
          </w:tcPr>
          <w:p>
            <w:pPr>
              <w:spacing w:after="0"/>
              <w:rPr>
                <w:sz w:val="18"/>
                <w:szCs w:val="18"/>
                <w:color w:val="auto"/>
              </w:rPr>
            </w:pPr>
          </w:p>
        </w:tc>
        <w:tc>
          <w:tcPr>
            <w:tcW w:w="3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36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3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366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3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in excess of billings</w:t>
            </w:r>
          </w:p>
        </w:tc>
        <w:tc>
          <w:tcPr>
            <w:tcW w:w="366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3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current assets</w:t>
            </w:r>
          </w:p>
        </w:tc>
        <w:tc>
          <w:tcPr>
            <w:tcW w:w="366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36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965.9</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3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661.6</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655.9</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366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3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lease assets</w:t>
            </w:r>
          </w:p>
        </w:tc>
        <w:tc>
          <w:tcPr>
            <w:tcW w:w="366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contract assets</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366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payable</w:t>
            </w:r>
          </w:p>
        </w:tc>
        <w:tc>
          <w:tcPr>
            <w:tcW w:w="36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warranty</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rebates and incentives</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freight</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Billings in excess of cost</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lease liability</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restructuring</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366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liabilities</w:t>
            </w:r>
          </w:p>
        </w:tc>
        <w:tc>
          <w:tcPr>
            <w:tcW w:w="3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lease liability</w:t>
            </w:r>
          </w:p>
        </w:tc>
        <w:tc>
          <w:tcPr>
            <w:tcW w:w="366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Self-insurance liabilities</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plan liabilities</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contract liabilities</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366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Identifiable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360" w:type="dxa"/>
            <w:vAlign w:val="bottom"/>
          </w:tcPr>
          <w:p>
            <w:pPr>
              <w:spacing w:after="0"/>
              <w:rPr>
                <w:sz w:val="17"/>
                <w:szCs w:val="17"/>
                <w:color w:val="auto"/>
              </w:rPr>
            </w:pPr>
          </w:p>
        </w:tc>
        <w:tc>
          <w:tcPr>
            <w:tcW w:w="14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184"/>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540" w:type="dxa"/>
            <w:vAlign w:val="bottom"/>
          </w:tcPr>
          <w:p>
            <w:pPr>
              <w:jc w:val="center"/>
              <w:ind w:left="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Accounting</w:t>
            </w:r>
          </w:p>
        </w:tc>
        <w:tc>
          <w:tcPr>
            <w:tcW w:w="360" w:type="dxa"/>
            <w:vAlign w:val="bottom"/>
          </w:tcPr>
          <w:p>
            <w:pPr>
              <w:spacing w:after="0"/>
              <w:rPr>
                <w:sz w:val="16"/>
                <w:szCs w:val="16"/>
                <w:color w:val="auto"/>
              </w:rPr>
            </w:pPr>
          </w:p>
        </w:tc>
        <w:tc>
          <w:tcPr>
            <w:tcW w:w="1440" w:type="dxa"/>
            <w:vAlign w:val="bottom"/>
          </w:tcPr>
          <w:p>
            <w:pPr>
              <w:jc w:val="center"/>
              <w:ind w:left="39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currency</w:t>
            </w: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5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Solutions</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54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1,713.1</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Industrial &amp; Flow Technologies</w:t>
            </w: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154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4"/>
                <w:szCs w:val="14"/>
                <w:color w:val="auto"/>
              </w:rPr>
            </w:pPr>
          </w:p>
        </w:tc>
        <w:tc>
          <w:tcPr>
            <w:tcW w:w="1220" w:type="dxa"/>
            <w:vAlign w:val="bottom"/>
          </w:tcPr>
          <w:p>
            <w:pPr>
              <w:jc w:val="center"/>
              <w:ind w:right="70"/>
              <w:spacing w:after="0" w:line="17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4"/>
                <w:szCs w:val="14"/>
                <w:color w:val="auto"/>
              </w:rPr>
            </w:pPr>
          </w:p>
        </w:tc>
        <w:tc>
          <w:tcPr>
            <w:tcW w:w="1240" w:type="dxa"/>
            <w:vAlign w:val="bottom"/>
          </w:tcPr>
          <w:p>
            <w:pPr>
              <w:jc w:val="center"/>
              <w:ind w:right="50"/>
              <w:spacing w:after="0" w:line="17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9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 and patents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definite-life intangibles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Identifiable intangible asset amortization expense was $6.3 million for both the three months ended June 30, 2022 and 2021 and $12.9 million and $13.4 million for the six months ended June 30, 2022 and 2021,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identifiable intangible assets during the remainder of 2022 and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Q3-Q4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8"/>
        </w:trPr>
        <w:tc>
          <w:tcPr>
            <w:tcW w:w="4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2027</w:t>
            </w: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46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and the average interest rates on debt outstanding were as follows: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Average interest rate as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48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vMerge w:val="continue"/>
          </w:tcPr>
          <w:p>
            <w:pPr>
              <w:spacing w:after="0"/>
              <w:rPr>
                <w:sz w:val="21"/>
                <w:szCs w:val="21"/>
                <w:color w:val="auto"/>
              </w:rPr>
            </w:pPr>
          </w:p>
        </w:tc>
        <w:tc>
          <w:tcPr>
            <w:tcW w:w="27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of June 30, 2022</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7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2.300%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27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3.030%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7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3.150%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7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4.650%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7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4.500%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discounts</w:t>
            </w:r>
          </w:p>
        </w:tc>
        <w:tc>
          <w:tcPr>
            <w:tcW w:w="27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debt</w:t>
            </w:r>
          </w:p>
        </w:tc>
        <w:tc>
          <w:tcPr>
            <w:tcW w:w="27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911.5</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894.1</w:t>
            </w:r>
          </w:p>
        </w:tc>
        <w:tc>
          <w:tcPr>
            <w:tcW w:w="0" w:type="dxa"/>
            <w:vAlign w:val="bottom"/>
          </w:tcPr>
          <w:p>
            <w:pPr>
              <w:spacing w:after="0"/>
              <w:rPr>
                <w:sz w:val="1"/>
                <w:szCs w:val="1"/>
                <w:color w:val="auto"/>
              </w:rPr>
            </w:pPr>
          </w:p>
        </w:tc>
      </w:tr>
    </w:tbl>
    <w:p>
      <w:pPr>
        <w:ind w:left="200" w:hanging="174"/>
        <w:spacing w:after="0" w:line="224" w:lineRule="auto"/>
        <w:tabs>
          <w:tab w:leader="none" w:pos="2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which was amended and restated in December 2021,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adjusted base rate, the London interbank offered rate, the euro interbank offered rate or the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total availability under the Senior Credit Facility was $685.0 million. In addition, PFSA has the option to request to increase the revolving credit facility and/or enter into one or more additional tranches of term loans in an aggregate amount of up to $300.0 million, subject to customary conditions, including the commitment of the participating lenders.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definitive agreement to acquire Manitowoc Ice, Pentair and PFSA entered into a commitment letter, dated March 2, 2022 (the “Commitment Letter”), pursuant to which, among other things, the lenders have committed to provide debt financing for the acquisition of Manitowoc Ice, consisting of a senior unsecured bridge facility of $1.6 billion (the “Bridge Facility”), on the terms and subject to the conditions set forth in the Commitment Letter. The Bridge Facility will be subject to mandatory reduction and prepayment for 100% of the net cash proceeds from the issuance of any debt and other of our securities, other specified events and the Term Loan Facility (as defined below), subject to certain exceptions.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in contemplation of the acquisition of Manitowoc Ice, Pentair and PFSA entered into a Loan Agreement among PFSA, as borrower, Pentair, as guarantor, and the lenders and agents party thereto, providing for a five-year $600.0 million senior unsecured term loan facility (the “Term Loan Facility”). On June 30, 2022, the Term Loan Facility was amended to increase the facility by $400.0 million to an aggregate principal amount of $1.0 billion. PFSA and Pentair intend to borrow the full $1.0 billion aggregate principal amount available under the Term Loan Facility to finance a portion of the purchase price in the Manitowoc Ice acquisition and to pay related fees and expenses.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the commitments under the Term Loan Facility have replaced a corresponding amount of the commitments in respect of the Bridge Facility in accordance with the terms of the Commitment Letter. As a result, the remaining commitment under the Bridge Facility was $600.0 million as of June 30, 2022. No borrowings or loans were outstanding under the Bridge Facility or the Term Loan Facility as of June 30, 2022.</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2022, in contemplation of the acquisition of Manitowoc Ice, Pentair, as guarantor, and PFSA, as issuer, completed a public offering of $400.0 million aggregate principal amount of 5.900% Senior Notes due 2032 (“2032 Senior Notes”). PFSA and Pentair intend to use the net proceeds from the issuance of the 2032 Senior Notes to finance a portion of the purchase price in the Manitowoc Ice acquisition and to pay related fees and expenses.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2032 Senior Notes have replaced a corresponding amount of the commitments in respect of the Bridge Facility in accordance with the terms of the Commitment Letter. On July 8, 2022, Pentair and PFSA voluntarily eliminated the remaining $200.0 million of commitments under the Bridge Facility. As a result, there are no remaining commitments under the Bridge Facility.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$21.5 million, of which there were no outstanding borrowings at June 30, 2022. Borrowings under these credit facilities bear interest at variable rates.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$88.3 million of fixed rate senior notes maturing in the next twelve months. We classified this debt as long-term as of June 30, 2022 as we have the intent and ability to refinance such obligation on a long-term basis under the Senior Credit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outstanding, excluding unamortized issuance costs and discounts, at June 30, 2022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Q3-Q4</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8"/>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debt obligation maturities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r>
    </w:tbl>
    <w:p>
      <w:pPr>
        <w:spacing w:after="0" w:line="302" w:lineRule="exact"/>
        <w:rPr>
          <w:sz w:val="20"/>
          <w:szCs w:val="20"/>
          <w:color w:val="auto"/>
        </w:rPr>
      </w:pPr>
    </w:p>
    <w:p>
      <w:pPr>
        <w:ind w:right="7640" w:firstLine="8"/>
        <w:spacing w:after="0" w:line="263" w:lineRule="auto"/>
        <w:tabs>
          <w:tab w:leader="none" w:pos="633"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Derivatives and Financial Instruments </w:t>
      </w:r>
      <w:r>
        <w:rPr>
          <w:rFonts w:ascii="Times New Roman" w:cs="Times New Roman" w:eastAsia="Times New Roman" w:hAnsi="Times New Roman"/>
          <w:sz w:val="18"/>
          <w:szCs w:val="18"/>
          <w:b w:val="1"/>
          <w:bCs w:val="1"/>
          <w:i w:val="1"/>
          <w:iCs w:val="1"/>
          <w:color w:val="auto"/>
        </w:rPr>
        <w:t>Derivative financial instruments</w:t>
      </w: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and December 31, 2021, we had outstanding foreign currency derivative contracts with gross notional U.S. dollar equivalent amounts of $8.4 million and $14.7 million, respectively. The impact of these contracts on the Condensed Consolidated Statements of Operations and Comprehensive Income was not material for any period presented.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Currency Swaps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At June 30, 2022 and December 31, 2021, we had outstanding cross currency swap agreements with a combined notional amount of $736.3 million and $794.4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gains of $36.5 million and $7.3 million at June 30, 2022 and December 31, 2021, respectively,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June 2022, we terminated two of our cross currency swap agreements, resulting in total net cash received of $9.0 million, of which $8.8 million is included within investing activities and $0.2 million is included within financing activities on the Consolidated Statement of Cash Flows. We entered new cross currency swaps with a combined notional amount of $320.0 million to replace the terminated cross currency swap agreements.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January 2021, one of our cross currency swap agreements which was accounted for as a cash flow hedge matured, resulting in a net cash payment of $14.7 million. The net cash payment is included within financing activities on the Condensed Consolidated Statements of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580" w:hanging="741"/>
        <w:spacing w:after="0" w:line="237" w:lineRule="auto"/>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6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Valuation is based upon other unobservable inputs that are significant to the fair value measurement.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values of each class of financial instruments:</w:t>
      </w:r>
    </w:p>
    <w:p>
      <w:pPr>
        <w:spacing w:after="0" w:line="151" w:lineRule="exact"/>
        <w:rPr>
          <w:sz w:val="20"/>
          <w:szCs w:val="20"/>
          <w:color w:val="auto"/>
        </w:rPr>
      </w:pPr>
    </w:p>
    <w:p>
      <w:pPr>
        <w:ind w:left="460" w:hanging="331"/>
        <w:spacing w:after="0" w:line="284" w:lineRule="auto"/>
        <w:tabs>
          <w:tab w:leader="none" w:pos="4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short-term financial instruments (cash and cash equivalents, accounts and notes receivable, accounts and notes payable and variable-rate debt)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amount approximates fair value because of the short maturity period;</w:t>
      </w:r>
    </w:p>
    <w:p>
      <w:pPr>
        <w:spacing w:after="0" w:line="104" w:lineRule="exact"/>
        <w:rPr>
          <w:rFonts w:ascii="Times New Roman" w:cs="Times New Roman" w:eastAsia="Times New Roman" w:hAnsi="Times New Roman"/>
          <w:sz w:val="18"/>
          <w:szCs w:val="18"/>
          <w:i w:val="1"/>
          <w:iCs w:val="1"/>
          <w:color w:val="auto"/>
        </w:rPr>
      </w:pPr>
    </w:p>
    <w:p>
      <w:pPr>
        <w:ind w:left="500" w:hanging="330"/>
        <w:spacing w:after="0" w:line="284" w:lineRule="auto"/>
        <w:tabs>
          <w:tab w:leader="none" w:pos="4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fixed-rate debt, including current maturities </w:t>
      </w:r>
      <w:r>
        <w:rPr>
          <w:rFonts w:ascii="Times New Roman" w:cs="Times New Roman" w:eastAsia="Times New Roman" w:hAnsi="Times New Roman"/>
          <w:sz w:val="18"/>
          <w:szCs w:val="18"/>
          <w:color w:val="auto"/>
        </w:rPr>
        <w:t>— fair value is based on market quotes available for issuance of debt with similar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inputs that are classified as Level 2 in the valuation hierarchy defined by the accounting guidance;</w:t>
      </w:r>
    </w:p>
    <w:p>
      <w:pPr>
        <w:spacing w:after="0" w:line="104" w:lineRule="exact"/>
        <w:rPr>
          <w:rFonts w:ascii="Times New Roman" w:cs="Times New Roman" w:eastAsia="Times New Roman" w:hAnsi="Times New Roman"/>
          <w:sz w:val="18"/>
          <w:szCs w:val="18"/>
          <w:color w:val="auto"/>
        </w:rPr>
      </w:pPr>
    </w:p>
    <w:p>
      <w:pPr>
        <w:jc w:val="both"/>
        <w:ind w:left="500" w:right="20" w:hanging="330"/>
        <w:spacing w:after="0" w:line="267" w:lineRule="auto"/>
        <w:tabs>
          <w:tab w:leader="none" w:pos="4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currency contract agreements </w:t>
      </w:r>
      <w:r>
        <w:rPr>
          <w:rFonts w:ascii="Times New Roman" w:cs="Times New Roman" w:eastAsia="Times New Roman" w:hAnsi="Times New Roman"/>
          <w:sz w:val="18"/>
          <w:szCs w:val="18"/>
          <w:color w:val="auto"/>
        </w:rPr>
        <w:t>— fair values are determined through the use of models that consider various assumptions, including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yield curves, as well as other relevant economic measures, which are inputs that are classified as Level 2 in the valuation hierarchy defined by the accounting guidance; and</w:t>
      </w:r>
    </w:p>
    <w:p>
      <w:pPr>
        <w:spacing w:after="0" w:line="119" w:lineRule="exact"/>
        <w:rPr>
          <w:rFonts w:ascii="Times New Roman" w:cs="Times New Roman" w:eastAsia="Times New Roman" w:hAnsi="Times New Roman"/>
          <w:sz w:val="18"/>
          <w:szCs w:val="18"/>
          <w:color w:val="auto"/>
        </w:rPr>
      </w:pPr>
    </w:p>
    <w:p>
      <w:pPr>
        <w:jc w:val="both"/>
        <w:ind w:left="460" w:hanging="331"/>
        <w:spacing w:after="0" w:line="261"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compensation plan assets (mutual funds, common/collective trusts and cash equivalents for payment of certain non-qualified benefits for retired, terminated and active employees) </w:t>
      </w:r>
      <w:r>
        <w:rPr>
          <w:rFonts w:ascii="Times New Roman" w:cs="Times New Roman" w:eastAsia="Times New Roman" w:hAnsi="Times New Roman"/>
          <w:sz w:val="18"/>
          <w:szCs w:val="18"/>
          <w:color w:val="auto"/>
        </w:rPr>
        <w:t>— fair value of mutual funds and cash equivalents are based on quoted market prices in active markets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recorded amounts and estimated fair values of total debt, excluding unamortized issuance costs and discounts,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6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400" w:type="dxa"/>
            <w:vAlign w:val="bottom"/>
          </w:tcPr>
          <w:p>
            <w:pPr>
              <w:spacing w:after="0"/>
              <w:rPr>
                <w:sz w:val="14"/>
                <w:szCs w:val="14"/>
                <w:color w:val="auto"/>
              </w:rPr>
            </w:pPr>
          </w:p>
        </w:tc>
        <w:tc>
          <w:tcPr>
            <w:tcW w:w="880" w:type="dxa"/>
            <w:vAlign w:val="bottom"/>
          </w:tcPr>
          <w:p>
            <w:pPr>
              <w:jc w:val="center"/>
              <w:ind w:right="29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320" w:type="dxa"/>
            <w:vAlign w:val="bottom"/>
          </w:tcPr>
          <w:p>
            <w:pPr>
              <w:spacing w:after="0"/>
              <w:rPr>
                <w:sz w:val="14"/>
                <w:szCs w:val="14"/>
                <w:color w:val="auto"/>
              </w:rPr>
            </w:pPr>
          </w:p>
        </w:tc>
        <w:tc>
          <w:tcPr>
            <w:tcW w:w="960" w:type="dxa"/>
            <w:vAlign w:val="bottom"/>
          </w:tcPr>
          <w:p>
            <w:pPr>
              <w:jc w:val="right"/>
              <w:ind w:right="37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and nonrecurring basis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58"/>
        </w:trPr>
        <w:tc>
          <w:tcPr>
            <w:tcW w:w="5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2022 was 15.6%, compared to 14.7% for the six months ended June 30, 2021. We continue to actively pursue initiatives to reduce our effective tax rate. The tax rate in any quarter can be affected positively or negatively by the mix of global earnings or adjustments that are required to be reported in the specific quarter of resolution.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total gross liability for uncertain tax positions was $36.4 million and $37.3 million at June 30, 2022 and December 31, 2021, respectively. We record penalties and interest related to unrecognized tax benefits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interest expense</w:t>
      </w:r>
      <w:r>
        <w:rPr>
          <w:rFonts w:ascii="Times New Roman" w:cs="Times New Roman" w:eastAsia="Times New Roman" w:hAnsi="Times New Roman"/>
          <w:sz w:val="18"/>
          <w:szCs w:val="18"/>
          <w:color w:val="auto"/>
        </w:rPr>
        <w:t>, respectively, on the Condensed Consolidated Statements of Operations and Comprehensive Income, which is consistent with our past practices.</w:t>
      </w:r>
    </w:p>
    <w:p>
      <w:pPr>
        <w:spacing w:after="0" w:line="13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pension plans for the three and six months ended June 30, 2022 and 2021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1.2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1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1.2</w:t>
            </w:r>
          </w:p>
        </w:tc>
        <w:tc>
          <w:tcPr>
            <w:tcW w:w="28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expense</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7"/>
              </w:rPr>
              <w:t>2.2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Components of net periodic benefit expense for our other post-retirement plans for the three and six months ended June 30, 2022 and 2021 were not material.</w:t>
      </w:r>
    </w:p>
    <w:p>
      <w:pPr>
        <w:spacing w:after="0" w:line="185" w:lineRule="exact"/>
        <w:rPr>
          <w:sz w:val="20"/>
          <w:szCs w:val="20"/>
          <w:color w:val="auto"/>
        </w:rPr>
      </w:pPr>
    </w:p>
    <w:p>
      <w:pPr>
        <w:ind w:right="8960" w:firstLine="8"/>
        <w:spacing w:after="0" w:line="263" w:lineRule="auto"/>
        <w:tabs>
          <w:tab w:leader="none" w:pos="643"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b w:val="1"/>
          <w:bCs w:val="1"/>
          <w:i w:val="1"/>
          <w:iCs w:val="1"/>
          <w:color w:val="auto"/>
        </w:rPr>
        <w:t>Share repurchases</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The authorization expires on December 31, 2025. During the three and six months ended June 30, 2022, we repurchased 0.9 million of our ordinary shares for $50.0 million. As of June 30, 2022, we had $600.0 million available for share repurchases under this authorization.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May 16, 2022, the Board of Directors declared a quarterly cash dividend of $0.21, payable on August 5, 2022 to shareholders of record at the close of business on July 22, 2022.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$34.5 million at June 30, 2022, compared to $33.0 million at December 31, 2021.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information by reportable segment is as follows: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2"/>
                <w:szCs w:val="22"/>
                <w:color w:val="auto"/>
              </w:rPr>
            </w:pPr>
          </w:p>
        </w:tc>
        <w:tc>
          <w:tcPr>
            <w:tcW w:w="27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Solutions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&amp; Flow Technologies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Segment income (loss)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Solutions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&amp; Flow Technologies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consolidated segment income to consolidated income from continuing operations before income taxes: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7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7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Deal-related costs and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Russia business exit costs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40" w:firstLine="8"/>
        <w:spacing w:after="0" w:line="263" w:lineRule="auto"/>
        <w:tabs>
          <w:tab w:leader="none" w:pos="64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Legal proceedings</w:t>
      </w: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matters, including those relating to the use or installation of our products; consumer matters and employment and labor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named as defendant, target or a potentially responsible party in a number of environmental clean-ups relating to our current or former business units.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June 30, 2022 and December 31, 2021, our recorded reserves for environmental matters were not material.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 and guarantees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our disposition of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maximum obligations under such indemnifications are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adverse effect on our financial position, results of operations or cash flows.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service and product warranties of continuing operations for the six months ended June 30, 2022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80" w:type="dxa"/>
            <w:vAlign w:val="bottom"/>
          </w:tcPr>
          <w:p>
            <w:pPr>
              <w:spacing w:after="0"/>
              <w:rPr>
                <w:sz w:val="17"/>
                <w:szCs w:val="17"/>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6260" w:type="dxa"/>
            <w:vAlign w:val="bottom"/>
            <w:tcBorders>
              <w:bottom w:val="single" w:sz="8" w:color="auto"/>
            </w:tcBorders>
            <w:vMerge w:val="continue"/>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product warranty provision</w:t>
            </w:r>
          </w:p>
        </w:tc>
        <w:tc>
          <w:tcPr>
            <w:tcW w:w="3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36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bank guarantees and bonds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outstanding value of bonds, letters of credit and bank guarantees totaled $106.1 million and $104.5 million,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50"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“future” or words, phrases or terms of similar substance or the negative thereof, are forward-looking statements. All statements made about the Manitowoc Ice acquisition, including the anticipated time for completing the acquisition, and the anticipated benefits of the acquisition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our ability to close the Manitowoc Ice acquisition on the expected terms and time schedule, including satisfying closing conditions; our ability to integrate the Manitowoc Ice acquisition successfully; our ability to retain customers and employees of Manitowoc Ice; the overall impact of the COVID-19 pandemic on our and the Manitowoc Ice business; the duration and severity of the COVID-19 pandemic, the impact of virus variants and the effectiveness of vaccinations; actions that may be taken by us, other businesses and governments to address or otherwise mitigate the impact of the COVID-19 pandemic, including those that may impact our ability to operate our facilities, meet production demands, and deliver products to our customers; the impacts of the COVID-19 pandemic on the global economy, our workforce, customers and suppliers, and customer demand; overall global economic and business conditions impacting our business, including the strength of housing and related markets and conditions relating to the conflict between Russia and Ukraine and related sanctions; supply, demand, logistics, competition and pricing pressures related to and in the markets we serve; volatility in currency exchange rates; failure of markets to accept new product introductions and enhancements; the ability to successfully identify, finance, complete and integrate acquisitions; the ability to achieve the benefits of our restructuring plans, cost reduction initiatives and transformation program; risks associated with operating foreign businesses and foreign supply chains; the impact of raw material costs, labor costs and other inflation; the impact of seasonality of sales and weather conditions; our ability to comply with laws and regulations; the impact of changes in laws, regulations and administrative policy, including those that limit U.S. tax benefits or impact ability to trade, trade agreements and tariffs; the outcome of litigation and governmental proceedings; and the ability to achieve our long-term strategic operating and ESG goals. Additional information concerning these and other factors is contained in our filings with the U.S. Securities and Exchange Commission (the “SEC”), including this Form 10-Q and our Annual Report on Form 10-K for the year ended December 31, 2021. All forward-looking statements speak only as of the date of this report. Pentair assumes no obligation, and disclaims any obligation, to update the information contained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businesses and industries around the world. Our industry-leading and proven portfolio of solutions enables our customers to access clean, safe water; reduce water consumption; and recover and reuse water. Whether it’s improving, moving or helping people enjoy water, we help manage the world’s most precious resource. We are comprised of two reporting segments: Consumer Solutions and Industrial &amp; Flow Technologies. For the first six months of 2022, the Consumer Solutions and Industrial</w:t>
      </w:r>
    </w:p>
    <w:p>
      <w:pPr>
        <w:spacing w:after="0" w:line="2" w:lineRule="exact"/>
        <w:rPr>
          <w:sz w:val="20"/>
          <w:szCs w:val="20"/>
          <w:color w:val="auto"/>
        </w:rPr>
      </w:pPr>
    </w:p>
    <w:p>
      <w:pPr>
        <w:ind w:firstLine="8"/>
        <w:spacing w:after="0" w:line="260" w:lineRule="auto"/>
        <w:tabs>
          <w:tab w:leader="none" w:pos="1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 Technologies segments represented approximately 64% and 36% of total revenues, respectively. We classify our operations into business segments based primarily on types of products offered and markets served:</w:t>
      </w:r>
    </w:p>
    <w:p>
      <w:pPr>
        <w:spacing w:after="0" w:line="12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Consumer Solutions </w:t>
      </w:r>
      <w:r>
        <w:rPr>
          <w:rFonts w:ascii="Times New Roman" w:cs="Times New Roman" w:eastAsia="Times New Roman" w:hAnsi="Times New Roman"/>
          <w:sz w:val="18"/>
          <w:szCs w:val="18"/>
          <w:color w:val="auto"/>
        </w:rPr>
        <w:t>— This segment designs, manufactures and sells energy-efficient residential and commercial pool equipment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The primary focus of this segment is business-to-consumer.</w:t>
      </w:r>
    </w:p>
    <w:p>
      <w:pPr>
        <w:spacing w:after="0" w:line="130" w:lineRule="exact"/>
        <w:rPr>
          <w:rFonts w:ascii="Times New Roman" w:cs="Times New Roman" w:eastAsia="Times New Roman" w:hAnsi="Times New Roman"/>
          <w:sz w:val="18"/>
          <w:szCs w:val="18"/>
          <w:color w:val="auto"/>
        </w:rPr>
      </w:pPr>
    </w:p>
    <w:p>
      <w:pPr>
        <w:ind w:left="660" w:right="100" w:hanging="328"/>
        <w:spacing w:after="0" w:line="262" w:lineRule="auto"/>
        <w:tabs>
          <w:tab w:leader="none" w:pos="6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Industrial &amp; Flow Technologies </w:t>
      </w:r>
      <w:r>
        <w:rPr>
          <w:rFonts w:ascii="Times New Roman" w:cs="Times New Roman" w:eastAsia="Times New Roman" w:hAnsi="Times New Roman"/>
          <w:sz w:val="18"/>
          <w:szCs w:val="18"/>
          <w:color w:val="auto"/>
        </w:rPr>
        <w:t>— This segment manufactures and sells a variety of fluid treatment and pump products and systems,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right="180"/>
        <w:spacing w:after="0" w:line="261" w:lineRule="auto"/>
        <w:rPr>
          <w:sz w:val="20"/>
          <w:szCs w:val="20"/>
          <w:color w:val="auto"/>
        </w:rPr>
      </w:pPr>
      <w:r>
        <w:rPr>
          <w:rFonts w:ascii="Times New Roman" w:cs="Times New Roman" w:eastAsia="Times New Roman" w:hAnsi="Times New Roman"/>
          <w:sz w:val="18"/>
          <w:szCs w:val="18"/>
          <w:color w:val="auto"/>
        </w:rPr>
        <w:t>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 The primary focus of this segment is business-to-business.</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March 2, 2022, as part of our Consumer Solutions reporting segment, we entered into a definitive agreement with Welbilt, Inc. (“Welbilt”), to acquire the issued and outstanding equity securities of certain subsidiaries of Welbilt and certain other assets, rights, and properties, and assume certain liabilities, comprising Welbilt’s Manitowoc Ice business (“Manitowoc Ice”), for an aggregate purchase price of $1.6 billion, subject to customary adjustments contemplated by the definitive agreement. We expect to fund the purchase price for the acquisition with borrowings under our term loan facility and net proceeds from the issuance of our 2032 senior notes, together with cash on hand and/or borrowings under our revolving credit facility. We expect to close our Manitowoc Ice acquisition on or around July 28, 2022, subject to customary closing conditions set forth in the definitive agreement.</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Effective January 1, 2023, Pentair will move to three reporting segments to reflect how we expect to manage our business beginning in 2023. As a result of this segment change, the Consumer Solutions segment will be divided into a Pool segment and a Water Solutions segment. Our new Water Solutions segment will include Manitowoc Ice, assuming the successful completion of the acquisition on or around July 28, 2022. The Industrial &amp; Flow Technologies segment will remain the same.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 Update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2020, the World Health Organization declared the COVID-19 outbreak a pandemic. The ongoing effects of the COVID-19 pandemic continue to impact global economic conditions. During the first six months of 2022, we have continued to experience various degrees of supply chain challenges, including increased lead times for raw materials due to availability constraints and high demand. While we have elevated our engagement with our suppliers and used secondary suppliers and new methods of procurement where available to mitigate the supply chain pressures, we expect supply chain challenges to continue throughout 2022.</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supply chain disruptions described above, we have experienced inflationary increases of certain raw materials, such as metals, resins and electronics (including drives and motors), as well as logistics, transportation and labor costs. While we have taken pricing actions and we strive for productivity improvements that could help offset these inflationary cost increases, we expect inflationary cost increases to continue throughout 2022.</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extent of the COVID-19 pandemic’s effect on our operational and financial performance in the future will depend on future developments, including the duration, geographic location and intensity of the pandemic, the impact of virus variants, the effectiveness of vaccinations, our continued ability to manufacture and distribute our products, as well as any future actions that may be taken by governmental authorities or by us relating to the pandemic. For more information regarding factors and events that may impact our business, results of operations and financial condition as a result of the COVID-19 pandemic, see “Risk Factors - Risks Relating to our Business: The COVID-19 pandemic may have a material negative impact on our business, financial condition, results of operations and cash flows” included in Item 1A. “Risk Factors” in our Annual Report on Form 10-K for the year ended December 31,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Uncertainties Regarding Our Existing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trends and uncertainties affected our financial performance in the first six months of 2022 and/or may impact our results in the future:</w:t>
      </w:r>
    </w:p>
    <w:p>
      <w:pPr>
        <w:spacing w:after="0" w:line="153" w:lineRule="exact"/>
        <w:rPr>
          <w:sz w:val="20"/>
          <w:szCs w:val="20"/>
          <w:color w:val="auto"/>
        </w:rPr>
      </w:pPr>
    </w:p>
    <w:p>
      <w:pPr>
        <w:jc w:val="both"/>
        <w:ind w:left="660" w:hanging="328"/>
        <w:spacing w:after="0" w:line="25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many uncertainties regarding the COVID-19 pandemic, including the anticipated duration and severity of the pandemic, the spread of an increasing number of virus variants, the extent of worldwide social, political and economic disruption it may continue to cause and the distribution and effectiveness of vaccines to address the COVID-19 virus. The broader implications of the COVID-19 pandemic that are reasonably likely to impact our business, financial condition, results of operations and cash flows cannot be determined at this time, and ultimately will be affected by a number of evolving factors including the length of time that the pandemic continues and the impact of vaccines on it, the impact of virus variants, the effectiveness of vaccinations, the pandemic’s effect on the demand for our products and services, our supply chain, and our manufacturing capacity, as well as the impact of governmental regulations imposed in response to the pandemic. See further discussion above under “</w:t>
      </w:r>
      <w:r>
        <w:rPr>
          <w:rFonts w:ascii="Times New Roman" w:cs="Times New Roman" w:eastAsia="Times New Roman" w:hAnsi="Times New Roman"/>
          <w:sz w:val="18"/>
          <w:szCs w:val="18"/>
          <w:i w:val="1"/>
          <w:iCs w:val="1"/>
          <w:color w:val="auto"/>
        </w:rPr>
        <w:t>COVID-19 Pandemic Update”</w:t>
      </w:r>
      <w:r>
        <w:rPr>
          <w:rFonts w:ascii="Times New Roman" w:cs="Times New Roman" w:eastAsia="Times New Roman" w:hAnsi="Times New Roman"/>
          <w:sz w:val="18"/>
          <w:szCs w:val="18"/>
          <w:color w:val="auto"/>
        </w:rPr>
        <w:t xml:space="preserve"> for key trends and uncertainties with regard to the COVID-19 pandemic.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2021 and the first six months of 2022, we executed certain business restructuring initiatives aimed at reducing our fixed cost structure and realigning our business. We expect these actions to continue throughout the remainder of 2022 and to drive margin growth.</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we created a transformation office and launched and committed resources to the Transformation Program designed to accelerate growth and drive margin expansion by driving operational excellence, reducing complexity and streamlining our processes. We expect to implement Transformation Program initiatives and incur transformation costs throughout the remainder of 2022 and beyond.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six months of 2022, we continued to experience supply chain challenges, including increased lead times for raw materials due to availability constraints and high demand. While we have elevated our engagement with our suppliers and used secondary suppliers and new methods of procurement where available to mitigate the supply chain pressures, we expect supply chain challenges to continue throughout the remainder of 2022, which may continue thereafter and could negatively impact our results of operations.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six months of 2022, we continued to experience inflationary increases in costs of raw materials such as metals, resins and electronics (including drives and motors), as well as increases in logistics, transportation and labor costs. While we have taken pricing actions and we strive for productivity improvements that could help offset these inflationary cost increases, we expect inflationary cost increases to continue throughout the remainder of 2022, which may continue thereafter and could negatively impact our results of operations.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At the end of the second quarter of 2022, our backlog, primarily in our Consumer Solutions segment, decreased compared to the backlog at the end of 2021 as shipments outpaced new orders during the period as customers balanced the need to place new orders with market demand and channel inventory levels. This downward trend may continue throughout the remainder of 2022 as we expect backlog to return to more historical levels.</w:t>
      </w:r>
    </w:p>
    <w:p>
      <w:pPr>
        <w:spacing w:after="0" w:line="125"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our operating objectives remain to focus on delivering our core while continuing to build out our future. We expect to execute these objectives by:</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revenue growth in our core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income and cash by managing price/cost inflation, prioritizing growth investments and addressing the cost structures as necessary;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focus on capital allocation through:</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maintain our investment grade rating;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of cash to shareholders through dividends and share repurchases;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 our business with strategically-aligned mergers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growth initiatives that accelerate our investments in digital, technology and services expansion;</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Implementation of Transformation Program initiatives that will drive operational excellence, reduce complexity and improve our organizational structure;</w:t>
      </w:r>
    </w:p>
    <w:p>
      <w:pPr>
        <w:spacing w:after="0" w:line="107"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Manitowoc Ice’s operations with our existing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three months ended June 30, 2022 and 2021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4"/>
                <w:szCs w:val="14"/>
                <w:color w:val="auto"/>
              </w:rPr>
            </w:pPr>
          </w:p>
        </w:tc>
        <w:tc>
          <w:tcPr>
            <w:tcW w:w="128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4"/>
                <w:szCs w:val="14"/>
                <w:color w:val="auto"/>
              </w:rPr>
            </w:pPr>
          </w:p>
        </w:tc>
        <w:tc>
          <w:tcPr>
            <w:tcW w:w="126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4"/>
                <w:szCs w:val="14"/>
                <w:color w:val="auto"/>
              </w:rPr>
            </w:pPr>
          </w:p>
        </w:tc>
        <w:tc>
          <w:tcPr>
            <w:tcW w:w="1220" w:type="dxa"/>
            <w:vAlign w:val="bottom"/>
          </w:tcPr>
          <w:p>
            <w:pPr>
              <w:jc w:val="right"/>
              <w:ind w:right="71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1,064.2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941.1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123.1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704.7</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600.1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104.6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359.5</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33.8 %</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36.2 %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(2.4) pts</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145.6</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158.2</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13.7 %</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16.8 %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 pts</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17.9 %</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17.2 %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181.5</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15.7 %</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15.9 %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 pts</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consolidated results of operations for the six months ended June 30, 2022 and June 30, 2021 were as follows: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Pr>
          <w:p>
            <w:pPr>
              <w:spacing w:after="0"/>
              <w:rPr>
                <w:sz w:val="14"/>
                <w:szCs w:val="14"/>
                <w:color w:val="auto"/>
              </w:rPr>
            </w:pPr>
          </w:p>
        </w:tc>
        <w:tc>
          <w:tcPr>
            <w:tcW w:w="114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4"/>
                <w:szCs w:val="14"/>
                <w:color w:val="auto"/>
              </w:rPr>
            </w:pPr>
          </w:p>
        </w:tc>
        <w:tc>
          <w:tcPr>
            <w:tcW w:w="1240" w:type="dxa"/>
            <w:vAlign w:val="bottom"/>
          </w:tcPr>
          <w:p>
            <w:pPr>
              <w:jc w:val="right"/>
              <w:ind w:right="71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1,807.0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256.8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1,150.8</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221.3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656.2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33.5 %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36.3 %</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(2.8) pts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6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294.8</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15.0 %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16.3 %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 pts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6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2.2 %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 pts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16.3 %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17.6 %</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 pts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15.6 %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14.7 %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N.M. Not Meaningful</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consolidated net sales change from the prior period were as follows:</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6680" w:type="dxa"/>
            <w:vAlign w:val="bottom"/>
            <w:gridSpan w:val="4"/>
          </w:tcPr>
          <w:p>
            <w:pPr>
              <w:ind w:left="392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600" w:type="dxa"/>
            <w:vAlign w:val="bottom"/>
          </w:tcPr>
          <w:p>
            <w:pPr>
              <w:spacing w:after="0"/>
              <w:rPr>
                <w:sz w:val="24"/>
                <w:szCs w:val="24"/>
                <w:color w:val="auto"/>
              </w:rPr>
            </w:pPr>
          </w:p>
        </w:tc>
        <w:tc>
          <w:tcPr>
            <w:tcW w:w="36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6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14.5</w:t>
            </w: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12.3</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13.1 and 14.2 percent increases in net sales in the second quarter and first half, respectively, of 2022 from 2021 were primarily driven by:</w:t>
      </w:r>
    </w:p>
    <w:p>
      <w:pPr>
        <w:spacing w:after="0" w:line="173" w:lineRule="exact"/>
        <w:rPr>
          <w:sz w:val="20"/>
          <w:szCs w:val="20"/>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selling prices to mitigate a rise in inflationary cost;</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increase in our Consumer Solutions segment mainly driven by our pool business in the first half of 2022;</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increase in our industrial solutions business within our Industrial &amp; Flow Technologies segment in the second quarter and first half of 2022; and</w:t>
      </w:r>
    </w:p>
    <w:p>
      <w:pPr>
        <w:spacing w:after="0" w:line="10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in the second quarter and first half of 2022 from the acquisitions of Pleatco Holdings, LLC (“Pleatco”) and Ken’s Beverage, Inc (“KBI”) in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500" w:right="20" w:hanging="330"/>
        <w:spacing w:after="0" w:line="282" w:lineRule="auto"/>
        <w:tabs>
          <w:tab w:leader="none" w:pos="49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volume decrease in our residential and irrigation flow and commercial and infrastructure flow businesses within our Industrial &amp; Flow Technologies segment in the second quarter and first half of 2022; and</w:t>
      </w:r>
    </w:p>
    <w:p>
      <w:pPr>
        <w:spacing w:after="0" w:line="107"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effects compared to the second quarter and first half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The 2.4 and 2.8 percentage point decreases in gross profit as a percentage of net sales in the second quarter and first half, respectively, of 2022 from 2021 were primarily driven by:</w:t>
      </w:r>
    </w:p>
    <w:p>
      <w:pPr>
        <w:spacing w:after="0" w:line="127" w:lineRule="exact"/>
        <w:rPr>
          <w:sz w:val="20"/>
          <w:szCs w:val="20"/>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inflationary cost increases due to tight supply of raw materials such as metals, resins and electronics;</w:t>
      </w:r>
    </w:p>
    <w:p>
      <w:pPr>
        <w:spacing w:after="0" w:line="171" w:lineRule="exact"/>
        <w:rPr>
          <w:rFonts w:ascii="Times New Roman" w:cs="Times New Roman" w:eastAsia="Times New Roman" w:hAnsi="Times New Roman"/>
          <w:sz w:val="18"/>
          <w:szCs w:val="18"/>
          <w:b w:val="1"/>
          <w:bCs w:val="1"/>
          <w:i w:val="1"/>
          <w:iCs w:val="1"/>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logistics and labor costs due to increased demand, additional headcount and factory labor wage increases; and</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$1.7 million recorded in the first quarter of 2022 for the write-off of inventory and costs related to contracts and orders that we will no longer fulfill in light of our exiting of business activity and sales in Russia.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increases in selling prices to mitigate impacts of inflation.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The 3.1 and 1.3 percentage point decreases in SG&amp;A as a percentage of net sales in the second quarter and first half, respectively, of 2022 from 2021 were primarily driven by:</w:t>
      </w:r>
    </w:p>
    <w:p>
      <w:pPr>
        <w:spacing w:after="0" w:line="127" w:lineRule="exact"/>
        <w:rPr>
          <w:sz w:val="20"/>
          <w:szCs w:val="20"/>
          <w:color w:val="auto"/>
        </w:rPr>
      </w:pPr>
    </w:p>
    <w:p>
      <w:pPr>
        <w:ind w:left="500" w:hanging="330"/>
        <w:spacing w:after="0" w:line="282" w:lineRule="auto"/>
        <w:tabs>
          <w:tab w:leader="none" w:pos="4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employee incentive and stock compensation expense in 2021 compared to 2022 as the result of stronger financial performance in 2021 than initially forecasted;</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proceeds received in the second quarter of 2022 as recovery of previously incurred expenses;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sale of fixed assets completed in the second quarter of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500" w:right="20" w:hanging="330"/>
        <w:spacing w:after="0" w:line="282" w:lineRule="auto"/>
        <w:tabs>
          <w:tab w:leader="none" w:pos="4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costs of $5.2 million in the second quarter of 2022, compared to $1.9 million in the second quarter of 2021, and $10.7 million in the first half of 2022, compared to $1.9 million in the first half of 2021;</w:t>
      </w:r>
    </w:p>
    <w:p>
      <w:pPr>
        <w:spacing w:after="0" w:line="107"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deal-related costs and expenses of $1.6 million in the second quarter of 2022, compared to $1.0 million in the same period of the prior year, and $8.0 million in the first half of 2022, compared to $1.7 million in the first half of 2021; and</w:t>
      </w:r>
    </w:p>
    <w:p>
      <w:pPr>
        <w:spacing w:after="0" w:line="107" w:lineRule="exact"/>
        <w:rPr>
          <w:rFonts w:ascii="Times New Roman" w:cs="Times New Roman" w:eastAsia="Times New Roman" w:hAnsi="Times New Roman"/>
          <w:sz w:val="18"/>
          <w:szCs w:val="18"/>
          <w:i w:val="1"/>
          <w:iCs w:val="1"/>
          <w:color w:val="auto"/>
        </w:rPr>
      </w:pPr>
    </w:p>
    <w:p>
      <w:pPr>
        <w:ind w:left="500" w:right="20" w:hanging="330"/>
        <w:spacing w:after="0" w:line="282" w:lineRule="auto"/>
        <w:tabs>
          <w:tab w:leader="none" w:pos="4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$4.2 million recorded in the first quarter of 2022 for the write-off of uncollectible accounts receivable and other costs incurred in light of our exiting of business activity and sales in Russia.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142.1 and 67.4 percent increases in net interest expense in the second quarter and first half, respectively, of 2022 from 2021 were primarily driven by:</w:t>
      </w:r>
    </w:p>
    <w:p>
      <w:pPr>
        <w:spacing w:after="0" w:line="153" w:lineRule="exact"/>
        <w:rPr>
          <w:sz w:val="20"/>
          <w:szCs w:val="20"/>
          <w:color w:val="auto"/>
        </w:rPr>
      </w:pPr>
    </w:p>
    <w:p>
      <w:pPr>
        <w:ind w:left="500" w:hanging="330"/>
        <w:spacing w:after="0" w:line="282" w:lineRule="auto"/>
        <w:tabs>
          <w:tab w:leader="none" w:pos="49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amortization of debt issuance costs of $5.1 million during the second quarter of 2022 and $7.7 million during the first half of 2022 related to financing commitments for a bridge loan facility established in connection with the definitive agreement to purchase Manitowoc Ice; and</w:t>
      </w:r>
    </w:p>
    <w:p>
      <w:pPr>
        <w:spacing w:after="0" w:line="107"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variable rate lending compared to the same periods of the prior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500" w:right="20" w:hanging="330"/>
        <w:spacing w:after="0" w:line="282" w:lineRule="auto"/>
        <w:tabs>
          <w:tab w:leader="none" w:pos="4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weakening of the Euro compared to the same period of the prior year resulting in less interest expense on the outstanding cross currency swaps in the second quarter and first half of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0.2% percentage point decrease in the effective tax rate in the second quarter of 2022 from 2021 was primarily driven b</w:t>
      </w:r>
      <w:r>
        <w:rPr>
          <w:rFonts w:ascii="Times New Roman" w:cs="Times New Roman" w:eastAsia="Times New Roman" w:hAnsi="Times New Roman"/>
          <w:sz w:val="18"/>
          <w:szCs w:val="18"/>
          <w:color w:val="auto"/>
        </w:rPr>
        <w:t>y:</w:t>
      </w:r>
    </w:p>
    <w:p>
      <w:pPr>
        <w:spacing w:after="0" w:line="153"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mix of global earnings.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0.9 percentage point increase in the effective tax rate in the first half of 2022 from 2021 was primarily driven b</w:t>
      </w:r>
      <w:r>
        <w:rPr>
          <w:rFonts w:ascii="Times New Roman" w:cs="Times New Roman" w:eastAsia="Times New Roman" w:hAnsi="Times New Roman"/>
          <w:sz w:val="18"/>
          <w:szCs w:val="18"/>
          <w:color w:val="auto"/>
        </w:rPr>
        <w:t>y:</w:t>
      </w:r>
    </w:p>
    <w:p>
      <w:pPr>
        <w:spacing w:after="0" w:line="17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discrete items that occurred during the first half of 2021 that did not occur in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mix of global earnings.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two reportable segments (Consumer Solutions and Industrial &amp; Flow Technologies). Each of these segments is comprised of various product offerings that serve multiple end users.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acquisition-related expenses, costs of restructuring and transformation activities, impairments and other unusual non-operating items.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Solutions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Consumer Solutions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14"/>
                <w:szCs w:val="14"/>
                <w:color w:val="auto"/>
              </w:rPr>
            </w:pPr>
          </w:p>
        </w:tc>
        <w:tc>
          <w:tcPr>
            <w:tcW w:w="124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4"/>
                <w:szCs w:val="14"/>
                <w:color w:val="auto"/>
              </w:rPr>
            </w:pPr>
          </w:p>
        </w:tc>
        <w:tc>
          <w:tcPr>
            <w:tcW w:w="124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Pr>
          <w:p>
            <w:pPr>
              <w:jc w:val="center"/>
              <w:ind w:left="2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 / Point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4"/>
                <w:szCs w:val="14"/>
                <w:color w:val="auto"/>
              </w:rPr>
            </w:pPr>
          </w:p>
        </w:tc>
        <w:tc>
          <w:tcPr>
            <w:tcW w:w="126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686.2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576.9</w:t>
            </w:r>
          </w:p>
        </w:tc>
        <w:tc>
          <w:tcPr>
            <w:tcW w:w="1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18.9</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1,327.4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1,098.3</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169.2</w:t>
            </w:r>
          </w:p>
        </w:tc>
        <w:tc>
          <w:tcPr>
            <w:tcW w:w="2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143.4</w:t>
            </w:r>
          </w:p>
        </w:tc>
        <w:tc>
          <w:tcPr>
            <w:tcW w:w="1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307.7</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274.4</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24.7 %</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24.9 %</w:t>
            </w:r>
          </w:p>
        </w:tc>
        <w:tc>
          <w:tcPr>
            <w:tcW w:w="17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i w:val="1"/>
                <w:iCs w:val="1"/>
                <w:color w:val="auto"/>
              </w:rPr>
              <w:t>(0.2) pts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23.2 %</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25.0 %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 pts</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Consumer Solutions net sales from the prior period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980" w:type="dxa"/>
            <w:vAlign w:val="bottom"/>
          </w:tcPr>
          <w:p>
            <w:pPr>
              <w:spacing w:after="0"/>
              <w:rPr>
                <w:sz w:val="19"/>
                <w:szCs w:val="19"/>
                <w:color w:val="auto"/>
              </w:rPr>
            </w:pPr>
          </w:p>
        </w:tc>
        <w:tc>
          <w:tcPr>
            <w:tcW w:w="36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r>
      <w:tr>
        <w:trPr>
          <w:trHeight w:val="238"/>
        </w:trPr>
        <w:tc>
          <w:tcPr>
            <w:tcW w:w="664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9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17.2</w:t>
            </w:r>
          </w:p>
        </w:tc>
        <w:tc>
          <w:tcPr>
            <w:tcW w:w="3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9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15.4</w:t>
            </w:r>
          </w:p>
        </w:tc>
        <w:tc>
          <w:tcPr>
            <w:tcW w:w="3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4.7</w:t>
            </w:r>
          </w:p>
        </w:tc>
        <w:tc>
          <w:tcPr>
            <w:tcW w:w="3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9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w:t>
            </w:r>
          </w:p>
        </w:tc>
        <w:tc>
          <w:tcPr>
            <w:tcW w:w="3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18.9 %</w:t>
            </w:r>
          </w:p>
        </w:tc>
        <w:tc>
          <w:tcPr>
            <w:tcW w:w="3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18.9 and 20.9 percent increases in net sales for Consumer Solutions in the second quarter and first half, respectively, of 2022 from 2021 were primarily driven by:</w:t>
      </w:r>
    </w:p>
    <w:p>
      <w:pPr>
        <w:spacing w:after="0" w:line="106" w:lineRule="exact"/>
        <w:rPr>
          <w:sz w:val="20"/>
          <w:szCs w:val="20"/>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selling prices to mitigate impacts of inflation;</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due to the Pleatco and KBI acquisitions that occurred in 2021;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in the first half of 2022 in our pool business as a result of an increase in available capacity.</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in our residential businesses in the second quarter and first half of 2022 compared to the prior year;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effects compared to the second quarter and first half of the prior year.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Consumer Solutions segment income as a percentage of net sales from the prior period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00" w:type="dxa"/>
            <w:vAlign w:val="bottom"/>
          </w:tcPr>
          <w:p>
            <w:pPr>
              <w:spacing w:after="0"/>
              <w:rPr>
                <w:sz w:val="19"/>
                <w:szCs w:val="19"/>
                <w:color w:val="auto"/>
              </w:rPr>
            </w:pPr>
          </w:p>
        </w:tc>
        <w:tc>
          <w:tcPr>
            <w:tcW w:w="4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660" w:type="dxa"/>
            <w:vAlign w:val="bottom"/>
          </w:tcPr>
          <w:p>
            <w:pPr>
              <w:spacing w:after="0"/>
              <w:rPr>
                <w:sz w:val="19"/>
                <w:szCs w:val="19"/>
                <w:color w:val="auto"/>
              </w:rPr>
            </w:pPr>
          </w:p>
        </w:tc>
        <w:tc>
          <w:tcPr>
            <w:tcW w:w="3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280" w:type="dxa"/>
            <w:vAlign w:val="bottom"/>
          </w:tcPr>
          <w:p>
            <w:pPr>
              <w:spacing w:after="0"/>
              <w:rPr>
                <w:sz w:val="19"/>
                <w:szCs w:val="19"/>
                <w:color w:val="auto"/>
              </w:rPr>
            </w:pPr>
          </w:p>
        </w:tc>
      </w:tr>
      <w:tr>
        <w:trPr>
          <w:trHeight w:val="238"/>
        </w:trPr>
        <w:tc>
          <w:tcPr>
            <w:tcW w:w="29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6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Growth/Price/Acquisition</w:t>
            </w:r>
          </w:p>
        </w:tc>
        <w:tc>
          <w:tcPr>
            <w:tcW w:w="4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60" w:type="dxa"/>
            <w:vAlign w:val="bottom"/>
          </w:tcPr>
          <w:p>
            <w:pPr>
              <w:spacing w:after="0"/>
              <w:rPr>
                <w:sz w:val="19"/>
                <w:szCs w:val="19"/>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spacing w:after="0"/>
              <w:rPr>
                <w:sz w:val="19"/>
                <w:szCs w:val="19"/>
                <w:color w:val="auto"/>
              </w:rPr>
            </w:pPr>
          </w:p>
        </w:tc>
      </w:tr>
      <w:tr>
        <w:trPr>
          <w:trHeight w:val="229"/>
        </w:trPr>
        <w:tc>
          <w:tcPr>
            <w:tcW w:w="2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4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Borders>
              <w:bottom w:val="single" w:sz="8" w:color="auto"/>
            </w:tcBorders>
            <w:shd w:val="clear" w:color="auto" w:fill="CCEEFF"/>
          </w:tcPr>
          <w:p>
            <w:pPr>
              <w:spacing w:after="0"/>
              <w:rPr>
                <w:sz w:val="19"/>
                <w:szCs w:val="19"/>
                <w:color w:val="auto"/>
              </w:rPr>
            </w:pPr>
          </w:p>
        </w:tc>
        <w:tc>
          <w:tcPr>
            <w:tcW w:w="3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auto"/>
            </w:tcBorders>
            <w:shd w:val="clear" w:color="auto" w:fill="CCEEFF"/>
          </w:tcPr>
          <w:p>
            <w:pPr>
              <w:spacing w:after="0"/>
              <w:rPr>
                <w:sz w:val="19"/>
                <w:szCs w:val="19"/>
                <w:color w:val="auto"/>
              </w:rPr>
            </w:pP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0.2 and 1.8 percentage point decreases in segment income for Consumer Solutions as a percentage of net sales in the second quarter and first half, respectively, of 2022 from 2021 were primarily driven by:</w:t>
      </w:r>
    </w:p>
    <w:p>
      <w:pPr>
        <w:spacing w:after="0" w:line="106" w:lineRule="exact"/>
        <w:rPr>
          <w:sz w:val="20"/>
          <w:szCs w:val="20"/>
          <w:color w:val="auto"/>
        </w:rPr>
      </w:pPr>
    </w:p>
    <w:p>
      <w:pPr>
        <w:ind w:left="500" w:hanging="330"/>
        <w:spacing w:after="0" w:line="282" w:lineRule="auto"/>
        <w:tabs>
          <w:tab w:leader="none" w:pos="4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due to high demand and limited supply of raw materials such as metals, resins and electronics along with increased logistics and labor costs; and</w:t>
      </w:r>
    </w:p>
    <w:p>
      <w:pPr>
        <w:spacing w:after="0" w:line="10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productivity in our residential water treatment business due to decreased sales volume in the second quarter and first half of 2022 compared to the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selling prices to mitigate the impacts of inflation.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&amp; Flow Technologies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Industrial &amp; Flow Technologies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363.9</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735.5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708.0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111.3</w:t>
            </w:r>
          </w:p>
        </w:tc>
        <w:tc>
          <w:tcPr>
            <w:tcW w:w="2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15.7 %</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15.7 %</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15.1 %</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15.1 %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94"/>
              </w:rPr>
              <w:t>pts</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Industrial &amp; Flow Technologies net sales from the prior period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980" w:type="dxa"/>
            <w:vAlign w:val="bottom"/>
          </w:tcPr>
          <w:p>
            <w:pPr>
              <w:spacing w:after="0"/>
              <w:rPr>
                <w:sz w:val="19"/>
                <w:szCs w:val="19"/>
                <w:color w:val="auto"/>
              </w:rPr>
            </w:pPr>
          </w:p>
        </w:tc>
        <w:tc>
          <w:tcPr>
            <w:tcW w:w="36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r>
      <w:tr>
        <w:trPr>
          <w:trHeight w:val="238"/>
        </w:trPr>
        <w:tc>
          <w:tcPr>
            <w:tcW w:w="664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9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w:t>
            </w:r>
          </w:p>
        </w:tc>
        <w:tc>
          <w:tcPr>
            <w:tcW w:w="362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10.1</w:t>
            </w:r>
          </w:p>
        </w:tc>
        <w:tc>
          <w:tcPr>
            <w:tcW w:w="362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9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7.4</w:t>
            </w:r>
          </w:p>
        </w:tc>
        <w:tc>
          <w:tcPr>
            <w:tcW w:w="3620" w:type="dxa"/>
            <w:vAlign w:val="bottom"/>
            <w:shd w:val="clear" w:color="auto" w:fill="CCEEFF"/>
          </w:tcPr>
          <w:p>
            <w:pPr>
              <w:ind w:left="3180"/>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0.4</w:t>
            </w:r>
          </w:p>
        </w:tc>
        <w:tc>
          <w:tcPr>
            <w:tcW w:w="362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9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3620" w:type="dxa"/>
            <w:vAlign w:val="bottom"/>
            <w:tcBorders>
              <w:bottom w:val="single" w:sz="8" w:color="auto"/>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3.7 %</w:t>
            </w:r>
          </w:p>
        </w:tc>
        <w:tc>
          <w:tcPr>
            <w:tcW w:w="362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8"/>
                <w:szCs w:val="18"/>
                <w:color w:val="auto"/>
                <w:w w:val="99"/>
              </w:rPr>
              <w:t>3.9 %</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3.7 and 3.9 percent increases in net sales for Industrial &amp; Flow Technologies in the second quarter and first half, respectively, of 2022 from 2021 were primarily driven by:</w:t>
      </w:r>
    </w:p>
    <w:p>
      <w:pPr>
        <w:spacing w:after="0" w:line="106" w:lineRule="exact"/>
        <w:rPr>
          <w:sz w:val="20"/>
          <w:szCs w:val="20"/>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selling prices to mitigate inflationary cost increases;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in our industrial solutions business due to continued recovery in our project sales;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due to the acquisition of Pleatco in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500" w:hanging="330"/>
        <w:spacing w:after="0" w:line="282" w:lineRule="auto"/>
        <w:tabs>
          <w:tab w:leader="none" w:pos="49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decreased sales volume in our residential and irrigation flow and commercial and infrastructure flow businesses in the second quarter and first half of 2022; and</w:t>
      </w:r>
    </w:p>
    <w:p>
      <w:pPr>
        <w:spacing w:after="0" w:line="107"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effects compared to the second quarter and first half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Industrial &amp; Flow Technologies segment income as a percentage of net sales from the prior period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2022</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260" w:type="dxa"/>
            <w:vAlign w:val="bottom"/>
          </w:tcPr>
          <w:p>
            <w:pPr>
              <w:spacing w:after="0"/>
              <w:rPr>
                <w:sz w:val="19"/>
                <w:szCs w:val="19"/>
                <w:color w:val="auto"/>
              </w:rPr>
            </w:pPr>
          </w:p>
        </w:tc>
      </w:tr>
      <w:tr>
        <w:trPr>
          <w:trHeight w:val="238"/>
        </w:trPr>
        <w:tc>
          <w:tcPr>
            <w:tcW w:w="6600" w:type="dxa"/>
            <w:vAlign w:val="bottom"/>
            <w:tcBorders>
              <w:bottom w:val="single" w:sz="8" w:color="auto"/>
            </w:tcBorders>
          </w:tcPr>
          <w:p>
            <w:pPr>
              <w:ind w:left="424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260" w:type="dxa"/>
            <w:vAlign w:val="bottom"/>
            <w:tcBorders>
              <w:bottom w:val="single" w:sz="8" w:color="auto"/>
            </w:tcBorders>
          </w:tcPr>
          <w:p>
            <w:pPr>
              <w:spacing w:after="0"/>
              <w:rPr>
                <w:sz w:val="20"/>
                <w:szCs w:val="20"/>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Growth/Price/Acquisition</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64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w:t>
            </w:r>
          </w:p>
        </w:tc>
        <w:tc>
          <w:tcPr>
            <w:tcW w:w="640" w:type="dxa"/>
            <w:vAlign w:val="bottom"/>
            <w:shd w:val="clear" w:color="auto" w:fill="CCEEFF"/>
          </w:tcPr>
          <w:p>
            <w:pPr>
              <w:spacing w:after="0"/>
              <w:rPr>
                <w:sz w:val="19"/>
                <w:szCs w:val="19"/>
                <w:color w:val="auto"/>
              </w:rPr>
            </w:pP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9"/>
                <w:szCs w:val="19"/>
                <w:color w:val="auto"/>
              </w:rPr>
            </w:pPr>
          </w:p>
        </w:tc>
      </w:tr>
      <w:tr>
        <w:trPr>
          <w:trHeight w:val="229"/>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w:t>
            </w:r>
          </w:p>
        </w:tc>
        <w:tc>
          <w:tcPr>
            <w:tcW w:w="6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Borders>
              <w:bottom w:val="single" w:sz="8" w:color="auto"/>
            </w:tcBorders>
          </w:tcPr>
          <w:p>
            <w:pPr>
              <w:spacing w:after="0"/>
              <w:rPr>
                <w:sz w:val="19"/>
                <w:szCs w:val="19"/>
                <w:color w:val="auto"/>
              </w:rPr>
            </w:pPr>
          </w:p>
        </w:tc>
      </w:tr>
      <w:tr>
        <w:trPr>
          <w:trHeight w:val="248"/>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6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Segment income for Industrial &amp; Flow Technologies as a percentage of net sales was flat in both the second quarter and first half of 2022 from 2021, primarily driven by:</w:t>
      </w:r>
    </w:p>
    <w:p>
      <w:pPr>
        <w:spacing w:after="0" w:line="106" w:lineRule="exact"/>
        <w:rPr>
          <w:sz w:val="20"/>
          <w:szCs w:val="20"/>
          <w:color w:val="auto"/>
        </w:rPr>
      </w:pPr>
    </w:p>
    <w:p>
      <w:pPr>
        <w:ind w:left="480" w:hanging="310"/>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selling prices to mitigate inflationary cost increases;</w:t>
      </w:r>
    </w:p>
    <w:p>
      <w:pPr>
        <w:spacing w:after="0" w:line="171"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due to high demand and tight supply of metals and resins along with increased logistics costs due to supply chain constraints and labor costs due to workforce shortages; and</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productivity due to supply chain and plant inefficiencies, partially offset by insurance proceeds and gain on sale of fixed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BACKLOG OF ORDERS BY SEGMENT</w:t>
            </w: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40" w:type="dxa"/>
            <w:vAlign w:val="bottom"/>
          </w:tcPr>
          <w:p>
            <w:pPr>
              <w:spacing w:after="0"/>
              <w:rPr>
                <w:sz w:val="24"/>
                <w:szCs w:val="24"/>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14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43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Solutions</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(321.6)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Industrial &amp; Flow Technologies</w:t>
            </w:r>
          </w:p>
        </w:tc>
        <w:tc>
          <w:tcPr>
            <w:tcW w:w="1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63.2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2022 net sales.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backlog in our Consumer Solutions segment from December 31, 2021 to June 30, 2022 was primarily due to shipments outpacing new orders during the period as customers balanced the need to place new orders with market demand and channel inventory levels.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experience seasonal cash flows primarily due to seasonal demand in a number of markets. Consistent with historical trends, we experienced seasonal cash usage in the first quarter of 2022 and drew on our revolving credit facility to fund our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cash usage reversed in the second quarter as the seasonality of our businesses peaked and generated significant cash to fund our operations.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End-user demand for pool and certain pumping equipment follows warm weather trends and historically has been at seasonal highs from April to August. The magnitude of the sales spike has historically been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Pr>
          <w:p>
            <w:pPr>
              <w:spacing w:after="0"/>
              <w:rPr>
                <w:sz w:val="14"/>
                <w:szCs w:val="14"/>
                <w:color w:val="auto"/>
              </w:rPr>
            </w:pPr>
          </w:p>
        </w:tc>
        <w:tc>
          <w:tcPr>
            <w:tcW w:w="132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Pr>
          <w:p>
            <w:pPr>
              <w:spacing w:after="0"/>
              <w:rPr>
                <w:sz w:val="14"/>
                <w:szCs w:val="14"/>
                <w:color w:val="auto"/>
              </w:rPr>
            </w:pPr>
          </w:p>
        </w:tc>
        <w:tc>
          <w:tcPr>
            <w:tcW w:w="1340" w:type="dxa"/>
            <w:vAlign w:val="bottom"/>
          </w:tcPr>
          <w:p>
            <w:pPr>
              <w:jc w:val="center"/>
              <w:ind w:right="2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3"/>
        </w:trPr>
        <w:tc>
          <w:tcPr>
            <w:tcW w:w="79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 of continuing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361.0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34"/>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tcPr>
          <w:p>
            <w:pPr>
              <w:spacing w:after="0"/>
              <w:rPr>
                <w:sz w:val="20"/>
                <w:szCs w:val="20"/>
                <w:color w:val="auto"/>
              </w:rPr>
            </w:pPr>
          </w:p>
        </w:tc>
        <w:tc>
          <w:tcPr>
            <w:tcW w:w="13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$176.3 million in net cash provided by operating activities of continuing operations in the first six months of 2022 primarily reflects $310.9 million of net income from continuing operations, net of non-cash depreciation and definite-lived intangible amortization. Additionally, we had a cash outflow of $129.7 million as a result of changes in net working capital, primarily due to increased inventory balances and lower employee compensation and benefits accruals compared to December 31, 2021. The inventory balance is higher due to inflationary impacts and continued supply chain inefficiencies. The lower employee compensation and benefits accruals are attributable to the payment of employee incentive compensation in the first quarter.</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$361.0 million in net cash provided by operating activities of continuing operations in the first six months of 2021 primarily reflects $302.6 million of net income from continuing operations, net of non-cash depreciation and definite-lived intangible amortization. Additionally, we had a cash inflow of $47.2 million as a result of changes in net working capital, primarily due to increased accounts receivables on higher sales, increased accounts payables resulting from inventory purchases to meet demand and increased sales leading to higher accrued rebates and incentives.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Net cash used for investing activities in the first six months of 2022 primarily reflects capital expenditures of $40.1 million, partially offset by cash received upon the settlement of net investment hedges of $8.8 million.</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 the first six months of 2021 reflects the net cash paid of $82.8 million for the Ken’s Beverage, Inc. acquisition prior to working capital true-ups and capital expenditures of $24.3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used for financing activities in the first six months of 2022 primarily relates to dividend payments of $69.5 million, share repurchases of $50.0 million and payments of debt issuance costs of $8.9 million, partially offset by net borrowings of revolving long-term debt of $19.8 million,</w:t>
      </w:r>
    </w:p>
    <w:p>
      <w:pPr>
        <w:spacing w:after="0" w:line="2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 the first six months of 2021 primarily relates to the repayment of $103.8 million of senior fixed notes, net borrowings of revolving long-term debt of $20.0 million, share repurchases of $50.0 million, dividend payments of $66.7 million and payments upon the maturity of cross currency swaps of $14.7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greater than 100 percent conversion of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free cash flow:</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4"/>
                <w:szCs w:val="14"/>
                <w:color w:val="auto"/>
              </w:rPr>
            </w:pPr>
          </w:p>
        </w:tc>
        <w:tc>
          <w:tcPr>
            <w:tcW w:w="120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of continuing operations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 of continuing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from continuing operations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
        </w:trPr>
        <w:tc>
          <w:tcPr>
            <w:tcW w:w="8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Capital</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which was amended and restated in December 2021,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adjusted base rate, the London interbank offered rate or the central bank rate, plus, in each case, an applicable margin. The applicable margin is based on, at PFSA’s election, Pentair’s leverage level or PFSA’s public credit rating.</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total availability under the Senior Credit Facility was $685.0 million. In addition, PFSA has the option to request to increase the revolving credit facility and/or enter into one or more additional tranches of term loans in an aggregate amount of up to $300.0 million, subject to customary conditions, including the commitment of the participating lenders.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definitive agreement to acquire Manitowoc Ice, Pentair and PFSA entered into a commitment letter, dated March 2, 2022 (the “Commitment Letter”), pursuant to which, among other things, the lenders have committed to provide debt financing for the acquisition of Manitowoc Ice, consisting of a senior unsecured bridge facility of $1.6 billion (the “Bridge Facility”), on the terms and subject to the conditions set forth in the Commitment Letter. The Bridge Facility will be subject to mandatory reduction and prepayment for 100% of the net cash proceeds from the issuance of any debt and other of our securities, other specified events and the Term Loan Facility (as defined below), subject to certain exceptions.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in contemplation of the acquisition of Manitowoc Ice, Pentair and PFSA entered into a Loan Agreement among PFSA, as borrower, Pentair, as guarantor, and the lenders and agents party thereto, providing for a five-year $600.0 million senior unsecured term loan facility (the “Term Loan Facility”). On June 30, 2022, the Term Loan Facility was amended to increase the facility by $400.0 million to an aggregate principal amount of $1.0 billion. PFSA and Pentair intend to borrow the full $1.0 billion aggregate principal amount available under the Term Loan Facility to finance a portion of the purchase price in the Manitowoc Ice acquisition and to pay related fees and expenses.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the commitments under the Term Loan Facility have replaced a corresponding amount of the commitments in respect of the Bridge Facility in accordance with the terms of the Commitment Letter. As a result, the remaining commitment under the Bridge Facility was $600.0 million as of June 30, 2022. No borrowings or loans were outstanding under the Bridge Facility or the Term Loan Facility as of June 30, 2022.</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2022, in contemplation of the acquisition of Manitowoc Ice, Pentair, as guarantor, and PFSA, as issuer, completed a public offering of $400.0 million aggregate principal amount of 5.900% Senior Notes due 2032 (“2032 Senior Notes”). PFSA and Pentair intend to use the net proceeds from the issuance of the 2032 Senior Notes to finance a portion of the purchase price in the Manitowoc Ice acquisition and to pay related fees and expenses.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2032 Senior Notes have replaced a corresponding amount of the commitments in respect of the Bridge Facility in accordance with the terms of the Commitment Letter. On July 8, 2022, Pentair and PFSA voluntarily eliminated the remaining $200.0 million of commitments under the Bridge Facility. As a result, there are no remaining commitments under the Bridge Facility.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$21.5 million, of which there were no outstanding borrowings at June 30, 2022. Borrowings under these credit facilities bear interest at variable rates.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$88.3 million fixed rate senior notes maturing in the next twelve months. We classified this debt as long-term as of June 30, 2022 as we have the intent and ability to refinance such obligation on a long-term basis under the Senior Credit Facility.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we had $65.0 million of cash held in certain countries in which the ability to repatriate is limited due to local regulations or significant potential tax consequences.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The authorization expires on December 31, 2025. During the three and six months ended June 30, 2022, we repurchased 0.9 million of our ordinary shares for $50.0 million. As of June 30, 2022, we had $600.0 million available for share repurchases under this authorization.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May 16, 2022, the Board of Directors declared a quarterly cash dividend of $0.21, payable on August 5, 2022 to shareholders of record at the close of business on July 22, 2022.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$34.5 million at June 30, 2022, compared to $33.0 million at December 31, 2021.</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paid dividends in the first six months of 2022 of $69.5 million, or $0.42 per ordinary share compared with $66.7 million, or $0.40 per ordinary share, in the prior year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$8.4 billion as of December 31,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guarantor information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Neither the subsidiaries of the Parent Company Guarantor nor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summarized financial information as of June 30, 2022 and December 31, 2021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0" w:type="dxa"/>
            <w:vAlign w:val="bottom"/>
          </w:tcPr>
          <w:p>
            <w:pPr>
              <w:spacing w:after="0"/>
              <w:rPr>
                <w:sz w:val="17"/>
                <w:szCs w:val="17"/>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vMerge w:val="continue"/>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3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(2)</w:t>
            </w:r>
          </w:p>
        </w:tc>
        <w:tc>
          <w:tcPr>
            <w:tcW w:w="3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3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Noncurrent liabilities </w:t>
            </w:r>
            <w:r>
              <w:rPr>
                <w:rFonts w:ascii="Times New Roman" w:cs="Times New Roman" w:eastAsia="Times New Roman" w:hAnsi="Times New Roman"/>
                <w:sz w:val="23"/>
                <w:szCs w:val="23"/>
                <w:color w:val="auto"/>
                <w:vertAlign w:val="superscript"/>
              </w:rPr>
              <w:t>(4)</w:t>
            </w:r>
          </w:p>
        </w:tc>
        <w:tc>
          <w:tcPr>
            <w:tcW w:w="3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0" w:type="dxa"/>
            <w:vAlign w:val="bottom"/>
          </w:tcPr>
          <w:p>
            <w:pPr>
              <w:spacing w:after="0"/>
              <w:rPr>
                <w:sz w:val="1"/>
                <w:szCs w:val="1"/>
                <w:color w:val="auto"/>
              </w:rPr>
            </w:pPr>
          </w:p>
        </w:tc>
      </w:tr>
    </w:tbl>
    <w:p>
      <w:pPr>
        <w:ind w:left="200" w:hanging="174"/>
        <w:spacing w:after="0" w:line="206" w:lineRule="auto"/>
        <w:tabs>
          <w:tab w:leader="none" w:pos="20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No assets due from non-guarantor subsidiaries were included as of June 30, 2022 and December 31, 2021, respectively.</w:t>
      </w:r>
    </w:p>
    <w:p>
      <w:pPr>
        <w:spacing w:after="0" w:line="20" w:lineRule="exact"/>
        <w:rPr>
          <w:rFonts w:ascii="Times New Roman" w:cs="Times New Roman" w:eastAsia="Times New Roman" w:hAnsi="Times New Roman"/>
          <w:sz w:val="22"/>
          <w:szCs w:val="22"/>
          <w:color w:val="auto"/>
          <w:vertAlign w:val="superscript"/>
        </w:rPr>
      </w:pPr>
    </w:p>
    <w:p>
      <w:pPr>
        <w:ind w:left="200" w:hanging="174"/>
        <w:spacing w:after="0" w:line="181" w:lineRule="auto"/>
        <w:tabs>
          <w:tab w:leader="none" w:pos="20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assets due from non-guarantor subsidiaries of $1,183.4 million and $1,202.5 million as of June 30, 2022 and December 31, 2021, respectively.</w:t>
      </w:r>
    </w:p>
    <w:p>
      <w:pPr>
        <w:spacing w:after="0" w:line="20" w:lineRule="exact"/>
        <w:rPr>
          <w:rFonts w:ascii="Times New Roman" w:cs="Times New Roman" w:eastAsia="Times New Roman" w:hAnsi="Times New Roman"/>
          <w:sz w:val="21"/>
          <w:szCs w:val="21"/>
          <w:color w:val="auto"/>
          <w:vertAlign w:val="superscript"/>
        </w:rPr>
      </w:pPr>
    </w:p>
    <w:p>
      <w:pPr>
        <w:ind w:left="200" w:hanging="174"/>
        <w:spacing w:after="0" w:line="181" w:lineRule="auto"/>
        <w:tabs>
          <w:tab w:leader="none" w:pos="20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liabilities due to non-guarantor subsidiaries of $904.2 million and $792.1 million as of June 30, 2022 and December 31, 2021, respectively.</w:t>
      </w:r>
    </w:p>
    <w:p>
      <w:pPr>
        <w:spacing w:after="0" w:line="20" w:lineRule="exact"/>
        <w:rPr>
          <w:rFonts w:ascii="Times New Roman" w:cs="Times New Roman" w:eastAsia="Times New Roman" w:hAnsi="Times New Roman"/>
          <w:sz w:val="21"/>
          <w:szCs w:val="21"/>
          <w:color w:val="auto"/>
          <w:vertAlign w:val="superscript"/>
        </w:rPr>
      </w:pPr>
    </w:p>
    <w:p>
      <w:pPr>
        <w:ind w:left="200" w:hanging="174"/>
        <w:spacing w:after="0" w:line="181" w:lineRule="auto"/>
        <w:tabs>
          <w:tab w:leader="none" w:pos="20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liabilities due to non-guarantor subsidiaries of $257.7 million and $276.8 million as of June 30, 2022 and December 31, 2021, respectively.</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2021,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quarter ended June 30, 2022. For additional information refer to Item 7A of our Annual Report on Form 10-K for the year ended December 31, 2021.</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71" w:lineRule="exact"/>
        <w:rPr>
          <w:sz w:val="20"/>
          <w:szCs w:val="20"/>
          <w:color w:val="auto"/>
        </w:rPr>
      </w:pPr>
    </w:p>
    <w:p>
      <w:pPr>
        <w:ind w:left="400" w:hanging="392"/>
        <w:spacing w:after="0"/>
        <w:tabs>
          <w:tab w:leader="none" w:pos="4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rFonts w:ascii="Times New Roman" w:cs="Times New Roman" w:eastAsia="Times New Roman" w:hAnsi="Times New Roman"/>
          <w:sz w:val="18"/>
          <w:szCs w:val="18"/>
          <w:b w:val="1"/>
          <w:bCs w:val="1"/>
          <w:color w:val="auto"/>
        </w:rPr>
      </w:pPr>
    </w:p>
    <w:p>
      <w:pPr>
        <w:jc w:val="both"/>
        <w:ind w:left="4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2022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June 30, 2022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34"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rFonts w:ascii="Times New Roman" w:cs="Times New Roman" w:eastAsia="Times New Roman" w:hAnsi="Times New Roman"/>
          <w:sz w:val="18"/>
          <w:szCs w:val="18"/>
          <w:b w:val="1"/>
          <w:bCs w:val="1"/>
          <w:color w:val="auto"/>
        </w:rPr>
      </w:pPr>
    </w:p>
    <w:p>
      <w:pPr>
        <w:ind w:left="420"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June 30, 2022 that has materially affected, or is reasonably likely to materially affect, our internal control over financial reporting.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divestitures; intellectual property matters; environmental, asbestos, safety and health matters; product liability claims; claims relating to the use or installation of our products; consumer and consumer protection matters; and employment and labor matters. Refer to “Legal Proceedings” and “Environmental Matters” within </w:t>
      </w:r>
      <w:r>
        <w:rPr>
          <w:rFonts w:ascii="Times New Roman" w:cs="Times New Roman" w:eastAsia="Times New Roman" w:hAnsi="Times New Roman"/>
          <w:sz w:val="18"/>
          <w:szCs w:val="18"/>
          <w:u w:val="single" w:color="auto"/>
          <w:color w:val="0000FF"/>
        </w:rPr>
        <w:t>Note 16 “Commitments and Contingencies”</w:t>
      </w:r>
      <w:r>
        <w:rPr>
          <w:rFonts w:ascii="Times New Roman" w:cs="Times New Roman" w:eastAsia="Times New Roman" w:hAnsi="Times New Roman"/>
          <w:sz w:val="18"/>
          <w:szCs w:val="18"/>
          <w:color w:val="auto"/>
        </w:rPr>
        <w:t xml:space="preserve"> of the condensed consolidated financial statements included within ITEM 1 of Part I of this Form 10-Q for information regarding legal and regulatory proceedings we are involved in.</w:t>
      </w:r>
    </w:p>
    <w:p>
      <w:pPr>
        <w:spacing w:after="0" w:line="3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Annual Report on Form 10-K for the year ended December 31, 2021, except for the additional risk factors relating to the Manitowoc Ice acquisition set forth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the Manitowoc Ice acquisition and any benefit may take longer to realize than we expect.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Manitowoc Ice acquisition will involve the integration of Manitowoc Ice’s operations with our existing operations, and there are uncertainties inherent in such an integration. We will be required to devote significant management attention and resources to integrating Manitowoc Ice’s operations. Delays or unexpected difficulties in the integration process could adversely affect our business, financial results and financial condition. Even if we are able to integrate Manitowoc Ice’s operations successfully, this integration may not result in the realization of the full benefits of revenue synergies, cost savings and operational efficiencies that we expect or the achievement of these benefits within a reasonable period of time or at all.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new risks, known and unknown, relating to the Manitowoc Ice acquisition.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experience risks, losses and damages associated with the Manitowoc Ice acquisition. The risks we could face include the following:</w:t>
      </w:r>
    </w:p>
    <w:p>
      <w:pPr>
        <w:spacing w:after="0" w:line="166" w:lineRule="exact"/>
        <w:rPr>
          <w:sz w:val="20"/>
          <w:szCs w:val="20"/>
          <w:color w:val="auto"/>
        </w:rPr>
      </w:pPr>
    </w:p>
    <w:p>
      <w:pPr>
        <w:ind w:left="660" w:right="2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Manitowoc Ice acquisition may lead to the incurrence of costs to review, upgrade and integrate Manitowoc Ice’s systems with our compliance and reporting systems, including our systems of internal control over financial reporting. The process of integrating Manitowoc Ice into our internal control over financial reporting could require significant time and effort from our management and other personnel and could increase our compliance costs; and</w:t>
      </w:r>
    </w:p>
    <w:p>
      <w:pPr>
        <w:spacing w:after="0" w:line="152"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Manitowoc Ice acquisition involves the inherent risk of liabilities, and these liabilities may prove more costly or produce more adverse effects than we anticipate, such as actual or potential litigation and regulatory matters. In addition, in the course of the due diligence review of Manitowoc Ice, we may not have discovered, or may have been unable to quantify, undisclosed liabilities of Manitowoc Ice, and we may not be indemnified or have insurance for any of these liabilities. Any such liabilities could have an adverse effect on our business, results of operations, financial condition and cash flows following the completion of the Manitowoc Ice acquisition.</w:t>
      </w:r>
    </w:p>
    <w:p>
      <w:pPr>
        <w:spacing w:after="0" w:line="1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Any of these risks associated with the Manitowoc Ice acquisition could have a material adverse impact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of June 30, 2022, we had $911.5 million of total debt on a consolidated basis. We expect our indebtedness to increase materially in connection with our acquisition of Manitowoc Ice. We intend to fund the Manitowoc Ice acquisition with borrowings of $1.0 billion under our Term Loan Facility and the net proceeds from the issuance of our $400.0 million of 2032 Senior Notes, together with cash on hand and/or borrowings under our revolving credit facility, for an aggregate amount of approximately $1.6 billion of new indebtedness in connection with the Manitowoc Ice acquisition. We and our subsidiaries may incur additional indebtedness in the future and, subject to limitations on the amount of secured indebtedness we may incur without securing the notes and other outstanding debt securities, the indenture that will govern the notes will not restrict us from incurring indebtedness in the future. Future increases in our level of indebtedness will have several important effects on our future operations, including, without limitation:</w:t>
      </w:r>
    </w:p>
    <w:p>
      <w:pPr>
        <w:spacing w:after="0" w:line="148"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additional cash requirements in order to support the payment of interest on our outstanding indebtedness;</w:t>
      </w:r>
    </w:p>
    <w:p>
      <w:pPr>
        <w:spacing w:after="0" w:line="198"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outstanding indebtedness and leverage may increase our vulnerability to adverse changes in general economic and industry conditions, as well as to competitive pressure;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capital expenditures, general corporate and other purposes may be reduced;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or reacting to, changes in our business and our industry may be reduced;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to make acquisitions and develop technology may be limited.</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including the notes, depends upon our future performance, which will be subject to general economic conditions and financial, business and other factors affecting our consolidated operations, many of which are beyond our control. If we are unable to generate sufficient cash flow from operations in the future to service our debt and meet our other cash requirements, we may be required, among other things:</w:t>
      </w:r>
    </w:p>
    <w:p>
      <w:pPr>
        <w:spacing w:after="0" w:line="13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our indebtedness, including the notes;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 or businesses;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or operating expenditures.</w:t>
      </w:r>
    </w:p>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and meet our other cash requirements, including the notes. In addition, any such financing, refinancing or sale of assets might not be available at all or on economically 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ordinary shares during the second quarter of 2022: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80" w:type="dxa"/>
            <w:vAlign w:val="bottom"/>
          </w:tcPr>
          <w:p>
            <w:pPr>
              <w:spacing w:after="0"/>
              <w:rPr>
                <w:sz w:val="19"/>
                <w:szCs w:val="19"/>
                <w:color w:val="auto"/>
              </w:rPr>
            </w:pPr>
          </w:p>
        </w:tc>
        <w:tc>
          <w:tcPr>
            <w:tcW w:w="23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340" w:type="dxa"/>
            <w:vAlign w:val="bottom"/>
          </w:tcPr>
          <w:p>
            <w:pPr>
              <w:spacing w:after="0"/>
              <w:rPr>
                <w:sz w:val="19"/>
                <w:szCs w:val="19"/>
                <w:color w:val="auto"/>
              </w:rPr>
            </w:pPr>
          </w:p>
        </w:tc>
        <w:tc>
          <w:tcPr>
            <w:tcW w:w="18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0" w:type="dxa"/>
            <w:vAlign w:val="bottom"/>
          </w:tcPr>
          <w:p>
            <w:pPr>
              <w:spacing w:after="0"/>
              <w:rPr>
                <w:sz w:val="19"/>
                <w:szCs w:val="19"/>
                <w:color w:val="auto"/>
              </w:rPr>
            </w:pPr>
          </w:p>
        </w:tc>
        <w:tc>
          <w:tcPr>
            <w:tcW w:w="1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6"/>
                <w:szCs w:val="16"/>
                <w:color w:val="auto"/>
              </w:rPr>
            </w:pPr>
          </w:p>
        </w:tc>
        <w:tc>
          <w:tcPr>
            <w:tcW w:w="236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Total number</w:t>
            </w: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2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Dollar value of shares that</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2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20" w:type="dxa"/>
            <w:vAlign w:val="bottom"/>
          </w:tcPr>
          <w:p>
            <w:pPr>
              <w:spacing w:after="0"/>
              <w:rPr>
                <w:sz w:val="15"/>
                <w:szCs w:val="15"/>
                <w:color w:val="auto"/>
              </w:rPr>
            </w:pPr>
          </w:p>
        </w:tc>
        <w:tc>
          <w:tcPr>
            <w:tcW w:w="19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may yet be purchased</w:t>
            </w:r>
          </w:p>
        </w:tc>
        <w:tc>
          <w:tcPr>
            <w:tcW w:w="0" w:type="dxa"/>
            <w:vAlign w:val="bottom"/>
          </w:tcPr>
          <w:p>
            <w:pPr>
              <w:spacing w:after="0"/>
              <w:rPr>
                <w:sz w:val="1"/>
                <w:szCs w:val="1"/>
                <w:color w:val="auto"/>
              </w:rPr>
            </w:pPr>
          </w:p>
        </w:tc>
      </w:tr>
      <w:tr>
        <w:trPr>
          <w:trHeight w:val="176"/>
        </w:trPr>
        <w:tc>
          <w:tcPr>
            <w:tcW w:w="228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60" w:type="dxa"/>
            <w:vAlign w:val="bottom"/>
          </w:tcPr>
          <w:p>
            <w:pPr>
              <w:jc w:val="center"/>
              <w:ind w:lef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3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0" w:type="dxa"/>
            <w:vAlign w:val="bottom"/>
          </w:tcPr>
          <w:p>
            <w:pPr>
              <w:spacing w:after="0"/>
              <w:rPr>
                <w:sz w:val="15"/>
                <w:szCs w:val="15"/>
                <w:color w:val="auto"/>
              </w:rPr>
            </w:pPr>
          </w:p>
        </w:tc>
        <w:tc>
          <w:tcPr>
            <w:tcW w:w="19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under the plans or</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2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255,036</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52.27</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636,942,721</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May 28</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707,272</w:t>
            </w:r>
          </w:p>
        </w:tc>
        <w:tc>
          <w:tcPr>
            <w:tcW w:w="34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52.24</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706,857</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600,002,203</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29 - June 30</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48.45</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600,002,203</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963,149</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956,857</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purchases in this column include 5,036 shares for the period April 1 - April 30, 415 shares for the period May 1 - May 28 and 841 shares for the period May 29 - June 30 deemed surrendered to us by participants in our equity incentive plans to satisfy the exercise price or withholding of tax obligations related to the exercise of stock options and vesting of restricted and performance shares.</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The authorization expires on December 31, 2025. As of June 30, 2022, we had $600.0 million available for share repurchases under this authorization. From time to time, we may enter into a Rule 10b5-1 trading plan for the purpose of repurchasing shares under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 to Form 10-Q for the Period Ended June 30, 2022</w:t>
      </w:r>
    </w:p>
    <w:p>
      <w:pPr>
        <w:spacing w:after="0" w:line="333" w:lineRule="exact"/>
        <w:rPr>
          <w:sz w:val="20"/>
          <w:szCs w:val="20"/>
          <w:color w:val="auto"/>
        </w:rPr>
      </w:pPr>
    </w:p>
    <w:p>
      <w:pPr>
        <w:jc w:val="right"/>
        <w:ind w:left="140"/>
        <w:spacing w:after="0" w:line="225" w:lineRule="auto"/>
        <w:rPr>
          <w:rFonts w:ascii="Times New Roman" w:cs="Times New Roman" w:eastAsia="Times New Roman" w:hAnsi="Times New Roman"/>
          <w:sz w:val="18"/>
          <w:szCs w:val="18"/>
          <w:b w:val="1"/>
          <w:bCs w:val="1"/>
          <w:color w:val="0000FF"/>
        </w:rPr>
      </w:pPr>
      <w:hyperlink r:id="rId54">
        <w:r>
          <w:rPr>
            <w:rFonts w:ascii="Times New Roman" w:cs="Times New Roman" w:eastAsia="Times New Roman" w:hAnsi="Times New Roman"/>
            <w:sz w:val="18"/>
            <w:szCs w:val="18"/>
            <w:b w:val="1"/>
            <w:bCs w:val="1"/>
            <w:u w:val="single" w:color="auto"/>
            <w:color w:val="0000FF"/>
          </w:rPr>
          <w:t>4.1</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Amendment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No. 1, dated as of June 30, 2022, among Pentair plc, Pentair Finance S.à r.l., and the lenders and agents party thereto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(Incorporated by reference to Exhibit 4.1 to the Current Report on Form 8-K of Pentair plc filed with the Commission on June 30, 2022 (File</w:t>
      </w:r>
    </w:p>
    <w:p>
      <w:pPr>
        <w:ind w:left="940"/>
        <w:spacing w:after="0"/>
        <w:rPr>
          <w:sz w:val="20"/>
          <w:szCs w:val="20"/>
          <w:color w:val="auto"/>
        </w:rPr>
      </w:pPr>
      <w:r>
        <w:rPr>
          <w:rFonts w:ascii="Times New Roman" w:cs="Times New Roman" w:eastAsia="Times New Roman" w:hAnsi="Times New Roman"/>
          <w:sz w:val="18"/>
          <w:szCs w:val="18"/>
          <w:color w:val="auto"/>
        </w:rPr>
        <w:t>No. 001-11625)).</w:t>
      </w:r>
    </w:p>
    <w:p>
      <w:pPr>
        <w:spacing w:after="0" w:line="7" w:lineRule="exact"/>
        <w:rPr>
          <w:sz w:val="20"/>
          <w:szCs w:val="20"/>
          <w:color w:val="auto"/>
        </w:rPr>
      </w:pPr>
    </w:p>
    <w:p>
      <w:pPr>
        <w:jc w:val="right"/>
        <w:ind w:left="140"/>
        <w:spacing w:after="0" w:line="220" w:lineRule="auto"/>
        <w:rPr>
          <w:rFonts w:ascii="Times New Roman" w:cs="Times New Roman" w:eastAsia="Times New Roman" w:hAnsi="Times New Roman"/>
          <w:sz w:val="18"/>
          <w:szCs w:val="18"/>
          <w:b w:val="1"/>
          <w:bCs w:val="1"/>
          <w:color w:val="0000FF"/>
        </w:rPr>
      </w:pPr>
      <w:hyperlink r:id="rId55">
        <w:r>
          <w:rPr>
            <w:rFonts w:ascii="Times New Roman" w:cs="Times New Roman" w:eastAsia="Times New Roman" w:hAnsi="Times New Roman"/>
            <w:sz w:val="18"/>
            <w:szCs w:val="18"/>
            <w:b w:val="1"/>
            <w:bCs w:val="1"/>
            <w:u w:val="single" w:color="auto"/>
            <w:color w:val="0000FF"/>
          </w:rPr>
          <w:t>4.2</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Eighth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Supplemental Indenture, dated as of July 8, 2022, among Pentair Finance S.à r.l., Pentair plc and U.S. Bank Trust Company, National</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Association, as trustee (Incorporated by reference to Exhibit 4.3 to the Current Report on Form 8-K of Pentair plc filed with the Commission</w:t>
      </w:r>
    </w:p>
    <w:p>
      <w:pPr>
        <w:ind w:left="940"/>
        <w:spacing w:after="0"/>
        <w:rPr>
          <w:sz w:val="20"/>
          <w:szCs w:val="20"/>
          <w:color w:val="auto"/>
        </w:rPr>
      </w:pPr>
      <w:r>
        <w:rPr>
          <w:rFonts w:ascii="Times New Roman" w:cs="Times New Roman" w:eastAsia="Times New Roman" w:hAnsi="Times New Roman"/>
          <w:sz w:val="18"/>
          <w:szCs w:val="18"/>
          <w:color w:val="auto"/>
        </w:rPr>
        <w:t>on July 8, 2022 (File No. 001-11625)).</w:t>
      </w:r>
    </w:p>
    <w:p>
      <w:pPr>
        <w:spacing w:after="0" w:line="7" w:lineRule="exact"/>
        <w:rPr>
          <w:sz w:val="20"/>
          <w:szCs w:val="20"/>
          <w:color w:val="auto"/>
        </w:rPr>
      </w:pPr>
    </w:p>
    <w:p>
      <w:pPr>
        <w:ind w:left="940" w:hanging="793"/>
        <w:spacing w:after="0"/>
        <w:tabs>
          <w:tab w:leader="none" w:pos="940" w:val="left"/>
        </w:tabs>
        <w:numPr>
          <w:ilvl w:val="0"/>
          <w:numId w:val="49"/>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List of Guarantors and Subsidiary Issuers of Guaranteed Securities.</w:t>
      </w:r>
    </w:p>
    <w:p>
      <w:pPr>
        <w:spacing w:after="0" w:line="22" w:lineRule="exact"/>
        <w:rPr>
          <w:rFonts w:ascii="Times New Roman" w:cs="Times New Roman" w:eastAsia="Times New Roman" w:hAnsi="Times New Roman"/>
          <w:sz w:val="18"/>
          <w:szCs w:val="18"/>
          <w:b w:val="1"/>
          <w:bCs w:val="1"/>
          <w:u w:val="single" w:color="auto"/>
          <w:color w:val="0000FF"/>
        </w:rPr>
      </w:pPr>
    </w:p>
    <w:p>
      <w:pPr>
        <w:ind w:left="140"/>
        <w:spacing w:after="0"/>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31.1</w:t>
      </w:r>
      <w:r>
        <w:rPr>
          <w:rFonts w:ascii="Times New Roman" w:cs="Times New Roman" w:eastAsia="Times New Roman" w:hAnsi="Times New Roman"/>
          <w:sz w:val="17"/>
          <w:szCs w:val="17"/>
          <w:color w:val="auto"/>
        </w:rPr>
        <w:t>Certification of Chief Executive Officer.</w:t>
      </w:r>
    </w:p>
    <w:p>
      <w:pPr>
        <w:spacing w:after="0" w:line="22" w:lineRule="exact"/>
        <w:rPr>
          <w:rFonts w:ascii="Times New Roman" w:cs="Times New Roman" w:eastAsia="Times New Roman" w:hAnsi="Times New Roman"/>
          <w:sz w:val="18"/>
          <w:szCs w:val="18"/>
          <w:b w:val="1"/>
          <w:bCs w:val="1"/>
          <w:u w:val="single" w:color="auto"/>
          <w:color w:val="0000FF"/>
        </w:rPr>
      </w:pPr>
    </w:p>
    <w:p>
      <w:pPr>
        <w:ind w:left="140"/>
        <w:spacing w:after="0"/>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31.2</w:t>
      </w:r>
      <w:r>
        <w:rPr>
          <w:rFonts w:ascii="Times New Roman" w:cs="Times New Roman" w:eastAsia="Times New Roman" w:hAnsi="Times New Roman"/>
          <w:sz w:val="17"/>
          <w:szCs w:val="17"/>
          <w:color w:val="auto"/>
        </w:rPr>
        <w:t>Certification of Chief Financial Officer.</w:t>
      </w:r>
    </w:p>
    <w:p>
      <w:pPr>
        <w:spacing w:after="0" w:line="23" w:lineRule="exact"/>
        <w:rPr>
          <w:sz w:val="20"/>
          <w:szCs w:val="20"/>
          <w:color w:val="auto"/>
        </w:rPr>
      </w:pPr>
    </w:p>
    <w:p>
      <w:pPr>
        <w:ind w:left="940" w:hanging="782"/>
        <w:spacing w:after="0" w:line="234" w:lineRule="auto"/>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32.1</w:t>
      </w:r>
      <w:r>
        <w:rPr>
          <w:sz w:val="20"/>
          <w:szCs w:val="20"/>
          <w:color w:val="auto"/>
        </w:rPr>
        <w:tab/>
      </w: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32.2</w:t>
      </w:r>
      <w:r>
        <w:rPr>
          <w:sz w:val="20"/>
          <w:szCs w:val="20"/>
          <w:color w:val="auto"/>
        </w:rPr>
        <w:tab/>
      </w:r>
      <w:r>
        <w:rPr>
          <w:rFonts w:ascii="Times New Roman" w:cs="Times New Roman" w:eastAsia="Times New Roman" w:hAnsi="Times New Roman"/>
          <w:sz w:val="17"/>
          <w:szCs w:val="17"/>
          <w:color w:val="auto"/>
        </w:rPr>
        <w:t>Certification of Chief Financial Officer, Pursuant to 18 U.S.C. Section 1350, as Adopted Pursuant to Section 906 of the Sarbanes-Oxley Act of</w:t>
      </w:r>
    </w:p>
    <w:p>
      <w:pPr>
        <w:ind w:left="940"/>
        <w:spacing w:after="0"/>
        <w:rPr>
          <w:sz w:val="20"/>
          <w:szCs w:val="20"/>
          <w:color w:val="auto"/>
        </w:rPr>
      </w:pPr>
      <w:r>
        <w:rPr>
          <w:rFonts w:ascii="Times New Roman" w:cs="Times New Roman" w:eastAsia="Times New Roman" w:hAnsi="Times New Roman"/>
          <w:sz w:val="18"/>
          <w:szCs w:val="18"/>
          <w:color w:val="auto"/>
        </w:rPr>
        <w:t>2002.</w:t>
      </w:r>
    </w:p>
    <w:p>
      <w:pPr>
        <w:spacing w:after="0" w:line="16" w:lineRule="exact"/>
        <w:rPr>
          <w:sz w:val="20"/>
          <w:szCs w:val="20"/>
          <w:color w:val="auto"/>
        </w:rPr>
      </w:pPr>
    </w:p>
    <w:p>
      <w:pPr>
        <w:jc w:val="both"/>
        <w:ind w:left="940" w:hanging="793"/>
        <w:spacing w:after="0" w:line="217" w:lineRule="auto"/>
        <w:tabs>
          <w:tab w:leader="none" w:pos="9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materials from Pentair plc’s Quarterly Report on Form 10-Q for the quarter ended June 30, 2022 are filed herewith, formatted in iXBRL (Inline Extensible Business Reporting Language): (i) the Condensed Consolidated Statements of Operations and Comprehensive Income for the three and six months ended June 30, 2022 and 2021, (ii) the Condensed Consolidated Balance Sheets as of June 30, 2022 and December 31, 2021, (iii) the Condensed Consolidated Statements of Cash Flows for the six months ended June 30, 2022 and 2021, (iv) the Condensed Consolidated Statements of Changes in Equity for the three and six months ended June 30, 2022 and 2021, and (v) Notes to Condensed Consolidated Financial Statements. The instance document does not appear in the interactive data file because its XBRL tags are embedded within the Inline XBRL document.</w:t>
      </w:r>
    </w:p>
    <w:p>
      <w:pPr>
        <w:spacing w:after="0" w:line="4" w:lineRule="exact"/>
        <w:rPr>
          <w:sz w:val="20"/>
          <w:szCs w:val="20"/>
          <w:color w:val="auto"/>
        </w:rPr>
      </w:pPr>
    </w:p>
    <w:p>
      <w:pPr>
        <w:ind w:left="940" w:hanging="793"/>
        <w:spacing w:after="0"/>
        <w:tabs>
          <w:tab w:leader="none" w:pos="9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62"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July 26, 2022.</w:t>
      </w:r>
    </w:p>
    <w:p>
      <w:pPr>
        <w:spacing w:after="0" w:line="200" w:lineRule="exact"/>
        <w:rPr>
          <w:sz w:val="20"/>
          <w:szCs w:val="20"/>
          <w:color w:val="auto"/>
        </w:rPr>
      </w:pPr>
    </w:p>
    <w:p>
      <w:pPr>
        <w:spacing w:after="0" w:line="34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721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Robert P. Fishman</w:t>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w:t>
      </w:r>
    </w:p>
    <w:p>
      <w:pPr>
        <w:ind w:left="67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18"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Guarantors and Subsidiary Issuers of Guaranteed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guarantors of the 3.150% Senior Notes due 2022, 4.650% Senior Notes due 2025, 4.500% Senior Notes due 2029 and 5.900%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Notes due 2032 issued by Pentair Finance S.à r.l., which is a wholly-owned subsidiary of Pentair plc:</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Guarantor</w:t>
            </w:r>
          </w:p>
        </w:tc>
        <w:tc>
          <w:tcPr>
            <w:tcW w:w="6260" w:type="dxa"/>
            <w:vAlign w:val="bottom"/>
            <w:tcBorders>
              <w:bottom w:val="single" w:sz="8" w:color="auto"/>
            </w:tcBorders>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Pentair plc</w:t>
            </w:r>
          </w:p>
        </w:tc>
        <w:tc>
          <w:tcPr>
            <w:tcW w:w="62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7"/>
              </w:rPr>
              <w:t>Ireland</w:t>
            </w:r>
          </w:p>
        </w:tc>
      </w:tr>
    </w:tbl>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2022</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2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2022</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180"/>
        </w:trPr>
        <w:tc>
          <w:tcPr>
            <w:tcW w:w="542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r>
      <w:tr>
        <w:trPr>
          <w:trHeight w:val="234"/>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June 30, 2022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203" w:lineRule="exact"/>
        <w:rPr>
          <w:sz w:val="20"/>
          <w:szCs w:val="20"/>
          <w:color w:val="auto"/>
        </w:rPr>
      </w:pPr>
    </w:p>
    <w:p>
      <w:pPr>
        <w:ind w:left="720" w:hanging="388"/>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2022</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June 30, 2022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07" w:lineRule="exact"/>
        <w:rPr>
          <w:sz w:val="20"/>
          <w:szCs w:val="20"/>
          <w:color w:val="auto"/>
        </w:rPr>
      </w:pPr>
    </w:p>
    <w:p>
      <w:pPr>
        <w:ind w:left="720" w:hanging="388"/>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2022</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180"/>
        </w:trPr>
        <w:tc>
          <w:tcPr>
            <w:tcW w:w="542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r>
      <w:tr>
        <w:trPr>
          <w:trHeight w:val="234"/>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1."/>
      <w:numFmt w:val="decimal"/>
      <w:start w:val="4"/>
    </w:lvl>
  </w:abstractNum>
  <w:abstractNum w:abstractNumId="7">
    <w:nsid w:val="737B8DDC"/>
    <w:multiLevelType w:val="hybridMultilevel"/>
    <w:lvl w:ilvl="0">
      <w:lvlJc w:val="left"/>
      <w:lvlText w:val="%1."/>
      <w:numFmt w:val="decimal"/>
      <w:start w:val="5"/>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7"/>
    </w:lvl>
  </w:abstractNum>
  <w:abstractNum w:abstractNumId="10">
    <w:nsid w:val="4516DDE9"/>
    <w:multiLevelType w:val="hybridMultilevel"/>
    <w:lvl w:ilvl="0">
      <w:lvlJc w:val="left"/>
      <w:lvlText w:val="%1."/>
      <w:numFmt w:val="decimal"/>
      <w:start w:val="8"/>
    </w:lvl>
  </w:abstractNum>
  <w:abstractNum w:abstractNumId="11">
    <w:nsid w:val="3006C83E"/>
    <w:multiLevelType w:val="hybridMultilevel"/>
    <w:lvl w:ilvl="0">
      <w:lvlJc w:val="left"/>
      <w:lvlText w:val="%1."/>
      <w:numFmt w:val="decimal"/>
      <w:start w:val="9"/>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1"/>
    </w:lvl>
  </w:abstractNum>
  <w:abstractNum w:abstractNumId="14">
    <w:nsid w:val="5577F8E1"/>
    <w:multiLevelType w:val="hybridMultilevel"/>
    <w:lvl w:ilvl="0">
      <w:lvlJc w:val="left"/>
      <w:lvlText w:val="•"/>
      <w:numFmt w:val="bullet"/>
      <w:start w:val="1"/>
    </w:lvl>
    <w:lvl w:ilvl="1">
      <w:lvlJc w:val="left"/>
      <w:lvlText w:val="•"/>
      <w:numFmt w:val="bullet"/>
      <w:start w:val="1"/>
    </w:lvl>
  </w:abstractNum>
  <w:abstractNum w:abstractNumId="15">
    <w:nsid w:val="440BADFC"/>
    <w:multiLevelType w:val="hybridMultilevel"/>
    <w:lvl w:ilvl="0">
      <w:lvlJc w:val="left"/>
      <w:lvlText w:val="%1."/>
      <w:numFmt w:val="decimal"/>
      <w:start w:val="12"/>
    </w:lvl>
  </w:abstractNum>
  <w:abstractNum w:abstractNumId="16">
    <w:nsid w:val="5072367"/>
    <w:multiLevelType w:val="hybridMultilevel"/>
    <w:lvl w:ilvl="0">
      <w:lvlJc w:val="left"/>
      <w:lvlText w:val="%1."/>
      <w:numFmt w:val="decimal"/>
      <w:start w:val="13"/>
    </w:lvl>
  </w:abstractNum>
  <w:abstractNum w:abstractNumId="17">
    <w:nsid w:val="3804823E"/>
    <w:multiLevelType w:val="hybridMultilevel"/>
    <w:lvl w:ilvl="0">
      <w:lvlJc w:val="left"/>
      <w:lvlText w:val="%1."/>
      <w:numFmt w:val="decimal"/>
      <w:start w:val="14"/>
    </w:lvl>
  </w:abstractNum>
  <w:abstractNum w:abstractNumId="18">
    <w:nsid w:val="77465F01"/>
    <w:multiLevelType w:val="hybridMultilevel"/>
    <w:lvl w:ilvl="0">
      <w:lvlJc w:val="left"/>
      <w:lvlText w:val="%1."/>
      <w:numFmt w:val="decimal"/>
      <w:start w:val="15"/>
    </w:lvl>
  </w:abstractNum>
  <w:abstractNum w:abstractNumId="19">
    <w:nsid w:val="7724C67E"/>
    <w:multiLevelType w:val="hybridMultilevel"/>
    <w:lvl w:ilvl="0">
      <w:lvlJc w:val="left"/>
      <w:lvlText w:val="%1."/>
      <w:numFmt w:val="decimal"/>
      <w:start w:val="16"/>
    </w:lvl>
  </w:abstractNum>
  <w:abstractNum w:abstractNumId="20">
    <w:nsid w:val="5C482A97"/>
    <w:multiLevelType w:val="hybridMultilevel"/>
    <w:lvl w:ilvl="0">
      <w:lvlJc w:val="left"/>
      <w:lvlText w:val="&amp;"/>
      <w:numFmt w:val="bullet"/>
      <w:start w:val="1"/>
    </w:lvl>
    <w:lvl w:ilvl="1">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lvl w:ilvl="1">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decimal"/>
      <w:start w:val="22"/>
    </w:lvl>
  </w:abstractNum>
  <w:abstractNum w:abstractNumId="49">
    <w:nsid w:val="12E685FB"/>
    <w:multiLevelType w:val="hybridMultilevel"/>
    <w:lvl w:ilvl="0">
      <w:lvlJc w:val="left"/>
      <w:lvlText w:val="%1"/>
      <w:numFmt w:val="decimal"/>
      <w:start w:val="101"/>
    </w:lvl>
  </w:abstractNum>
  <w:abstractNum w:abstractNumId="50">
    <w:nsid w:val="70C6A529"/>
    <w:multiLevelType w:val="hybridMultilevel"/>
    <w:lvl w:ilvl="0">
      <w:lvlJc w:val="left"/>
      <w:lvlText w:val="%1"/>
      <w:numFmt w:val="decimal"/>
      <w:start w:val="104"/>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4" Type="http://schemas.openxmlformats.org/officeDocument/2006/relationships/hyperlink" Target="http://www.sec.gov/Archives/edgar/data/77360/000110465922076355/tm2219016d10_ex4-1.htm" TargetMode="External"/><Relationship Id="rId55" Type="http://schemas.openxmlformats.org/officeDocument/2006/relationships/hyperlink" Target="http://www.sec.gov/Archives/edgar/data/77360/000110465922078363/tm2220547d1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2022-07-26T15:51:29Z</dcterms:created>
  <dcterms:modified xsi:type="dcterms:W3CDTF">2022-07-26T15:51:29Z</dcterms:modified>
</cp:coreProperties>
</file>