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333"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333" w:before="18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333"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333" w:before="180" w:after="283"/>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May 5, 2026</w:t>
      </w:r>
    </w:p>
    <w:p>
      <w:pPr>
        <w:pStyle w:val="TextBody"/>
        <w:bidi w:val="0"/>
        <w:spacing w:before="140" w:after="283"/>
        <w:jc w:val="center"/>
        <w:rPr/>
      </w:pPr>
      <w:r>
        <w:rPr/>
        <w:drawing>
          <wp:inline distT="0" distB="0" distL="0" distR="0">
            <wp:extent cx="19621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2150" cy="495300"/>
                    </a:xfrm>
                    <a:prstGeom prst="rect">
                      <a:avLst/>
                    </a:prstGeom>
                  </pic:spPr>
                </pic:pic>
              </a:graphicData>
            </a:graphic>
          </wp:inline>
        </w:drawing>
      </w:r>
      <w:bookmarkStart w:id="0" w:name="i-1"/>
      <w:bookmarkEnd w:id="0"/>
    </w:p>
    <w:p>
      <w:pPr>
        <w:pStyle w:val="TextBody"/>
        <w:bidi w:val="0"/>
        <w:spacing w:lineRule="auto" w:line="333" w:before="140" w:after="283"/>
        <w:jc w:val="center"/>
        <w:rPr>
          <w:rFonts w:ascii="Times New Roman;serif" w:hAnsi="Times New Roman;serif"/>
          <w:b/>
          <w:color w:val="000000"/>
          <w:sz w:val="20"/>
        </w:rPr>
      </w:pPr>
      <w:r>
        <w:rPr>
          <w:rFonts w:ascii="Times New Roman;serif" w:hAnsi="Times New Roman;serif"/>
          <w:b/>
          <w:color w:val="000000"/>
          <w:sz w:val="20"/>
        </w:rPr>
        <w:t>Pentair plc</w:t>
      </w:r>
    </w:p>
    <w:p>
      <w:pPr>
        <w:pStyle w:val="TextBody"/>
        <w:bidi w:val="0"/>
        <w:spacing w:lineRule="auto" w:line="333" w:before="0" w:after="14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093" w:type="dxa"/>
        <w:jc w:val="left"/>
        <w:tblInd w:w="0" w:type="dxa"/>
        <w:tblLayout w:type="fixed"/>
        <w:tblCellMar>
          <w:top w:w="28" w:type="dxa"/>
          <w:left w:w="28" w:type="dxa"/>
          <w:bottom w:w="28" w:type="dxa"/>
          <w:right w:w="28" w:type="dxa"/>
        </w:tblCellMar>
      </w:tblPr>
      <w:tblGrid>
        <w:gridCol w:w="677"/>
        <w:gridCol w:w="595"/>
        <w:gridCol w:w="602"/>
        <w:gridCol w:w="334"/>
        <w:gridCol w:w="334"/>
        <w:gridCol w:w="336"/>
        <w:gridCol w:w="355"/>
        <w:gridCol w:w="355"/>
        <w:gridCol w:w="505"/>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001-11625</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98-1141328</w:t>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w:t>
            </w:r>
          </w:p>
          <w:p>
            <w:pPr>
              <w:pStyle w:val="TableContents"/>
              <w:bidi w:val="0"/>
              <w:spacing w:lineRule="auto" w:line="288" w:before="0" w:after="40"/>
              <w:jc w:val="center"/>
              <w:rPr>
                <w:rFonts w:ascii="Times New Roman;serif" w:hAnsi="Times New Roman;serif"/>
                <w:b w:val="false"/>
                <w:color w:val="000000"/>
                <w:sz w:val="14"/>
              </w:rPr>
            </w:pPr>
            <w:r>
              <w:rPr>
                <w:rFonts w:ascii="Times New Roman;serif" w:hAnsi="Times New Roman;serif"/>
                <w:b w:val="false"/>
                <w:color w:val="000000"/>
                <w:sz w:val="14"/>
              </w:rPr>
              <w:t>incorporation or organization)</w:t>
            </w:r>
          </w:p>
        </w:tc>
        <w:tc>
          <w:tcPr>
            <w:tcW w:w="1004"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14"/>
              </w:rPr>
            </w:pPr>
            <w:r>
              <w:rPr>
                <w:rFonts w:ascii="Times New Roman;serif" w:hAnsi="Times New Roman;serif"/>
                <w:b w:val="false"/>
                <w:color w:val="000000"/>
                <w:sz w:val="14"/>
              </w:rPr>
              <w:t>(Commission</w:t>
            </w:r>
          </w:p>
          <w:p>
            <w:pPr>
              <w:pStyle w:val="TableContents"/>
              <w:bidi w:val="0"/>
              <w:spacing w:lineRule="auto" w:line="288" w:before="0" w:after="40"/>
              <w:jc w:val="center"/>
              <w:rPr>
                <w:rFonts w:ascii="Times New Roman;serif" w:hAnsi="Times New Roman;serif"/>
                <w:b w:val="false"/>
                <w:color w:val="000000"/>
                <w:sz w:val="14"/>
              </w:rPr>
            </w:pPr>
            <w:r>
              <w:rPr>
                <w:rFonts w:ascii="Times New Roman;serif" w:hAnsi="Times New Roman;serif"/>
                <w:b w:val="false"/>
                <w:color w:val="000000"/>
                <w:sz w:val="14"/>
              </w:rPr>
              <w:t>File No.)</w:t>
            </w:r>
          </w:p>
        </w:tc>
        <w:tc>
          <w:tcPr>
            <w:tcW w:w="1215"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14"/>
              </w:rPr>
            </w:pPr>
            <w:r>
              <w:rPr>
                <w:rFonts w:ascii="Times New Roman;serif" w:hAnsi="Times New Roman;serif"/>
                <w:b w:val="false"/>
                <w:color w:val="000000"/>
                <w:sz w:val="14"/>
              </w:rPr>
              <w:t>(I.R.S. Employer</w:t>
            </w:r>
          </w:p>
          <w:p>
            <w:pPr>
              <w:pStyle w:val="TableContents"/>
              <w:bidi w:val="0"/>
              <w:spacing w:lineRule="auto" w:line="288" w:before="0" w:after="40"/>
              <w:jc w:val="center"/>
              <w:rPr>
                <w:rFonts w:ascii="Times New Roman;serif" w:hAnsi="Times New Roman;serif"/>
                <w:b w:val="false"/>
                <w:color w:val="000000"/>
                <w:sz w:val="14"/>
              </w:rPr>
            </w:pPr>
            <w:r>
              <w:rPr>
                <w:rFonts w:ascii="Times New Roman;serif" w:hAnsi="Times New Roman;serif"/>
                <w:b w:val="false"/>
                <w:color w:val="000000"/>
                <w:sz w:val="14"/>
              </w:rPr>
              <w:t>Identification No.)</w:t>
            </w:r>
          </w:p>
        </w:tc>
      </w:tr>
    </w:tbl>
    <w:p>
      <w:pPr>
        <w:pStyle w:val="TextBody"/>
        <w:bidi w:val="0"/>
        <w:spacing w:before="60" w:after="283"/>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Regal House, 70 London Road, Twickenham, London, TW13QS United Kingdom</w:t>
      </w:r>
    </w:p>
    <w:p>
      <w:pPr>
        <w:pStyle w:val="TextBody"/>
        <w:bidi w:val="0"/>
        <w:spacing w:lineRule="auto" w:line="333"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333" w:before="18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44-74-9421-6154</w:t>
      </w:r>
    </w:p>
    <w:p>
      <w:pPr>
        <w:pStyle w:val="TextBody"/>
        <w:bidi w:val="0"/>
        <w:spacing w:lineRule="auto" w:line="333" w:before="180" w:after="14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4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68" w:type="dxa"/>
        <w:jc w:val="left"/>
        <w:tblInd w:w="0" w:type="dxa"/>
        <w:tblLayout w:type="fixed"/>
        <w:tblCellMar>
          <w:top w:w="28" w:type="dxa"/>
          <w:left w:w="28" w:type="dxa"/>
          <w:bottom w:w="28" w:type="dxa"/>
          <w:right w:w="28" w:type="dxa"/>
        </w:tblCellMar>
      </w:tblPr>
      <w:tblGrid>
        <w:gridCol w:w="1428"/>
        <w:gridCol w:w="1250"/>
        <w:gridCol w:w="1266"/>
        <w:gridCol w:w="539"/>
        <w:gridCol w:w="539"/>
        <w:gridCol w:w="541"/>
        <w:gridCol w:w="1085"/>
        <w:gridCol w:w="1085"/>
        <w:gridCol w:w="1535"/>
      </w:tblGrid>
      <w:tr>
        <w:trPr/>
        <w:tc>
          <w:tcPr>
            <w:tcW w:w="1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PNR</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60" w:after="283"/>
        <w:jc w:val="left"/>
        <w:rPr/>
      </w:pPr>
      <w:r>
        <w:rPr/>
      </w:r>
    </w:p>
    <w:p>
      <w:pPr>
        <w:pStyle w:val="TextBody"/>
        <w:bidi w:val="0"/>
        <w:spacing w:lineRule="auto" w:line="333" w:before="0" w:after="0"/>
        <w:jc w:val="both"/>
        <w:rPr/>
      </w:pPr>
      <w:r>
        <w:rPr>
          <w:rFonts w:ascii="Times New Roman;serif" w:hAnsi="Times New Roman;serif"/>
          <w:b w:val="false"/>
          <w:color w:val="000000"/>
          <w:sz w:val="20"/>
        </w:rPr>
        <w:t xml:space="preserve">Indicate by check mark whether the registrant is an emerging growth company as defined in Rule 405 of the Securities Act (17 CFR 230.405) or Rule 12b-2 of the Exchange Act (17 CFR 240.12b-2). </w:t>
      </w:r>
      <w:r>
        <w:rPr>
          <w:color w:val="000000"/>
        </w:rPr>
        <w:t xml:space="preserve">☐ </w:t>
      </w:r>
      <w:r>
        <w:rPr>
          <w:rFonts w:ascii="Times New Roman;serif" w:hAnsi="Times New Roman;serif"/>
          <w:b w:val="false"/>
          <w:color w:val="000000"/>
          <w:sz w:val="20"/>
        </w:rPr>
        <w:t>Emerging growth company</w:t>
      </w:r>
    </w:p>
    <w:p>
      <w:pPr>
        <w:pStyle w:val="TextBody"/>
        <w:bidi w:val="0"/>
        <w:spacing w:lineRule="auto" w:line="333"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Pentair plc (the “Company”) held its 2026 annual general meeting of shareholders on May 5, 2026. There were 161,602,800 ordinary shares issued and outstanding at the close of business on March 6, 2026 and entitled to vote at the annual general meeting. A total of 147,387,379 ordinary shares (91.20%) were represented at the annual general meeting.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items voted upon at the annual general meeting and the results of the vote on each proposal were as follows: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Proposal 1. — Re-Elect Director Nominees</w:t>
      </w:r>
    </w:p>
    <w:p>
      <w:pPr>
        <w:pStyle w:val="TextBody"/>
        <w:bidi w:val="0"/>
        <w:spacing w:before="0" w:after="0"/>
        <w:jc w:val="both"/>
        <w:rPr/>
      </w:pPr>
      <w:r>
        <w:rPr/>
      </w:r>
    </w:p>
    <w:p>
      <w:pPr>
        <w:pStyle w:val="TextBody"/>
        <w:bidi w:val="0"/>
        <w:spacing w:lineRule="auto" w:line="288" w:before="0" w:after="140"/>
        <w:jc w:val="both"/>
        <w:rPr>
          <w:rFonts w:ascii="Times New Roman;serif" w:hAnsi="Times New Roman;serif"/>
          <w:b w:val="false"/>
          <w:color w:val="000000"/>
          <w:sz w:val="20"/>
        </w:rPr>
      </w:pPr>
      <w:r>
        <w:rPr>
          <w:rFonts w:ascii="Times New Roman;serif" w:hAnsi="Times New Roman;serif"/>
          <w:b w:val="false"/>
          <w:color w:val="000000"/>
          <w:sz w:val="20"/>
        </w:rPr>
        <w:t>To re-elect nine director nominees for terms expiring at the 2027 annual general meeting of shareholders. Each nominee for director was re-elected by a vote of the shareholders as follows:</w:t>
      </w:r>
    </w:p>
    <w:tbl>
      <w:tblPr>
        <w:tblW w:w="8241" w:type="dxa"/>
        <w:jc w:val="left"/>
        <w:tblInd w:w="0" w:type="dxa"/>
        <w:tblLayout w:type="fixed"/>
        <w:tblCellMar>
          <w:top w:w="28" w:type="dxa"/>
          <w:left w:w="28" w:type="dxa"/>
          <w:bottom w:w="28" w:type="dxa"/>
          <w:right w:w="28" w:type="dxa"/>
        </w:tblCellMar>
      </w:tblPr>
      <w:tblGrid>
        <w:gridCol w:w="124"/>
        <w:gridCol w:w="109"/>
        <w:gridCol w:w="109"/>
        <w:gridCol w:w="789"/>
        <w:gridCol w:w="789"/>
        <w:gridCol w:w="791"/>
        <w:gridCol w:w="393"/>
        <w:gridCol w:w="393"/>
        <w:gridCol w:w="398"/>
        <w:gridCol w:w="419"/>
        <w:gridCol w:w="419"/>
        <w:gridCol w:w="421"/>
        <w:gridCol w:w="360"/>
        <w:gridCol w:w="360"/>
        <w:gridCol w:w="361"/>
        <w:gridCol w:w="544"/>
        <w:gridCol w:w="544"/>
        <w:gridCol w:w="5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61" w:before="0" w:after="0"/>
              <w:jc w:val="left"/>
              <w:rPr/>
            </w:pPr>
            <w:r>
              <w:rPr>
                <w:rFonts w:ascii="Times New Roman;serif" w:hAnsi="Times New Roman;serif"/>
                <w:b/>
                <w:color w:val="000000"/>
                <w:sz w:val="20"/>
                <w:u w:val="single"/>
              </w:rPr>
              <w:t>Nominees</w:t>
            </w:r>
            <w:r>
              <w:rPr>
                <w:color w:val="000000"/>
              </w:rPr>
              <w:t>    </w:t>
            </w:r>
          </w:p>
        </w:tc>
        <w:tc>
          <w:tcPr>
            <w:tcW w:w="1184"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Votes Against</w:t>
            </w:r>
          </w:p>
        </w:tc>
        <w:tc>
          <w:tcPr>
            <w:tcW w:w="1081"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Abstentions</w:t>
            </w:r>
          </w:p>
        </w:tc>
        <w:tc>
          <w:tcPr>
            <w:tcW w:w="1634"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Mona Abutaleb Stephenson</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135,896,779</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3,620,934</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114,535</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7,755,131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61" w:before="0" w:after="0"/>
              <w:ind w:left="0" w:right="0" w:hanging="101"/>
              <w:jc w:val="left"/>
              <w:rPr>
                <w:rFonts w:ascii="Times New Roman;serif" w:hAnsi="Times New Roman;serif"/>
                <w:b w:val="false"/>
                <w:color w:val="000000"/>
                <w:sz w:val="20"/>
              </w:rPr>
            </w:pPr>
            <w:r>
              <w:rPr>
                <w:rFonts w:ascii="Times New Roman;serif" w:hAnsi="Times New Roman;serif"/>
                <w:b w:val="false"/>
                <w:color w:val="000000"/>
                <w:sz w:val="20"/>
              </w:rPr>
              <w:t xml:space="preserve">Melissa Barra </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139,362,073 </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156,369</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113,806</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7,755,131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61" w:before="0" w:after="0"/>
              <w:ind w:left="0" w:right="0" w:hanging="101"/>
              <w:jc w:val="left"/>
              <w:rPr>
                <w:rFonts w:ascii="Times New Roman;serif" w:hAnsi="Times New Roman;serif"/>
                <w:b w:val="false"/>
                <w:color w:val="000000"/>
                <w:sz w:val="20"/>
              </w:rPr>
            </w:pPr>
            <w:r>
              <w:rPr>
                <w:rFonts w:ascii="Times New Roman;serif" w:hAnsi="Times New Roman;serif"/>
                <w:b w:val="false"/>
                <w:color w:val="000000"/>
                <w:sz w:val="20"/>
              </w:rPr>
              <w:t>Tracey C. Doi</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139,252,311 </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267,566</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112,371</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7,755,131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61" w:before="0" w:after="0"/>
              <w:ind w:left="0" w:right="0" w:hanging="101"/>
              <w:jc w:val="left"/>
              <w:rPr>
                <w:rFonts w:ascii="Times New Roman;serif" w:hAnsi="Times New Roman;serif"/>
                <w:b w:val="false"/>
                <w:color w:val="000000"/>
                <w:sz w:val="20"/>
              </w:rPr>
            </w:pPr>
            <w:r>
              <w:rPr>
                <w:rFonts w:ascii="Times New Roman;serif" w:hAnsi="Times New Roman;serif"/>
                <w:b w:val="false"/>
                <w:color w:val="000000"/>
                <w:sz w:val="20"/>
              </w:rPr>
              <w:t>T. Michael Glenn</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130,103,937 </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9,416,746</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111,565</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7,755,131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61" w:before="0" w:after="0"/>
              <w:ind w:left="0" w:right="0" w:hanging="101"/>
              <w:jc w:val="left"/>
              <w:rPr>
                <w:rFonts w:ascii="Times New Roman;serif" w:hAnsi="Times New Roman;serif"/>
                <w:b w:val="false"/>
                <w:color w:val="000000"/>
                <w:sz w:val="20"/>
              </w:rPr>
            </w:pPr>
            <w:r>
              <w:rPr>
                <w:rFonts w:ascii="Times New Roman;serif" w:hAnsi="Times New Roman;serif"/>
                <w:b w:val="false"/>
                <w:color w:val="000000"/>
                <w:sz w:val="20"/>
              </w:rPr>
              <w:t>Theodore L. Harris</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134,626,358 </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4,893,216</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112,674</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7,755,131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61" w:before="0" w:after="0"/>
              <w:ind w:left="0" w:right="0" w:hanging="101"/>
              <w:jc w:val="left"/>
              <w:rPr>
                <w:rFonts w:ascii="Times New Roman;serif" w:hAnsi="Times New Roman;serif"/>
                <w:b w:val="false"/>
                <w:color w:val="000000"/>
                <w:sz w:val="20"/>
              </w:rPr>
            </w:pPr>
            <w:r>
              <w:rPr>
                <w:rFonts w:ascii="Times New Roman;serif" w:hAnsi="Times New Roman;serif"/>
                <w:b w:val="false"/>
                <w:color w:val="000000"/>
                <w:sz w:val="20"/>
              </w:rPr>
              <w:t xml:space="preserve">Gregory E. Knight </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139,259,018 </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261,063</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112,167</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7,755,131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61" w:before="0" w:after="0"/>
              <w:ind w:left="0" w:right="0" w:hanging="101"/>
              <w:jc w:val="left"/>
              <w:rPr>
                <w:rFonts w:ascii="Times New Roman;serif" w:hAnsi="Times New Roman;serif"/>
                <w:b w:val="false"/>
                <w:color w:val="000000"/>
                <w:sz w:val="20"/>
              </w:rPr>
            </w:pPr>
            <w:r>
              <w:rPr>
                <w:rFonts w:ascii="Times New Roman;serif" w:hAnsi="Times New Roman;serif"/>
                <w:b w:val="false"/>
                <w:color w:val="000000"/>
                <w:sz w:val="20"/>
              </w:rPr>
              <w:t>Michael T. Speetzen</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134,211,698 </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5,308,458</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112,092</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7,755,131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61" w:before="0" w:after="0"/>
              <w:ind w:left="0" w:right="0" w:hanging="101"/>
              <w:jc w:val="left"/>
              <w:rPr>
                <w:rFonts w:ascii="Times New Roman;serif" w:hAnsi="Times New Roman;serif"/>
                <w:b w:val="false"/>
                <w:color w:val="000000"/>
                <w:sz w:val="20"/>
              </w:rPr>
            </w:pPr>
            <w:r>
              <w:rPr>
                <w:rFonts w:ascii="Times New Roman;serif" w:hAnsi="Times New Roman;serif"/>
                <w:b w:val="false"/>
                <w:color w:val="000000"/>
                <w:sz w:val="20"/>
              </w:rPr>
              <w:t>John L. Stauch</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137,849,784 </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1,662,339</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120,125</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7,755,131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61" w:before="0" w:after="0"/>
              <w:ind w:left="0" w:right="0" w:hanging="101"/>
              <w:jc w:val="left"/>
              <w:rPr>
                <w:rFonts w:ascii="Times New Roman;serif" w:hAnsi="Times New Roman;serif"/>
                <w:b w:val="false"/>
                <w:color w:val="000000"/>
                <w:sz w:val="20"/>
              </w:rPr>
            </w:pPr>
            <w:r>
              <w:rPr>
                <w:rFonts w:ascii="Times New Roman;serif" w:hAnsi="Times New Roman;serif"/>
                <w:b w:val="false"/>
                <w:color w:val="000000"/>
                <w:sz w:val="20"/>
              </w:rPr>
              <w:t>Billie I. Williamson</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127,476,246 </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12,044,684</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111,318</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7,755,131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Proposal 2. — Approve, by Nonbinding, Advisory Vote, the Compensation of the Named Executive Officers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To approve, </w:t>
      </w:r>
      <w:r>
        <w:rPr>
          <w:rFonts w:ascii="Times New Roman;serif" w:hAnsi="Times New Roman;serif"/>
          <w:b w:val="false"/>
          <w:color w:val="000000"/>
          <w:sz w:val="20"/>
          <w:shd w:fill="FFFFFF" w:val="clear"/>
        </w:rPr>
        <w:t xml:space="preserve">by nonbinding, advisory vote, </w:t>
      </w:r>
      <w:r>
        <w:rPr>
          <w:rFonts w:ascii="Times New Roman;serif" w:hAnsi="Times New Roman;serif"/>
          <w:b w:val="false"/>
          <w:color w:val="000000"/>
          <w:sz w:val="20"/>
        </w:rPr>
        <w:t>the compensation of the Company’s named executive officers. The compensation of the Company’s named executive officers was approved by a nonbinding, advisory vote of the shareholders as follows:</w:t>
      </w:r>
    </w:p>
    <w:p>
      <w:pPr>
        <w:pStyle w:val="TextBody"/>
        <w:bidi w:val="0"/>
        <w:spacing w:before="0" w:after="0"/>
        <w:jc w:val="both"/>
        <w:rPr/>
      </w:pPr>
      <w:r>
        <w:rPr/>
      </w:r>
    </w:p>
    <w:tbl>
      <w:tblPr>
        <w:tblW w:w="5872" w:type="dxa"/>
        <w:jc w:val="left"/>
        <w:tblInd w:w="0" w:type="dxa"/>
        <w:tblLayout w:type="fixed"/>
        <w:tblCellMar>
          <w:top w:w="28" w:type="dxa"/>
          <w:left w:w="28" w:type="dxa"/>
          <w:bottom w:w="28" w:type="dxa"/>
          <w:right w:w="28" w:type="dxa"/>
        </w:tblCellMar>
      </w:tblPr>
      <w:tblGrid>
        <w:gridCol w:w="124"/>
        <w:gridCol w:w="109"/>
        <w:gridCol w:w="109"/>
        <w:gridCol w:w="393"/>
        <w:gridCol w:w="393"/>
        <w:gridCol w:w="398"/>
        <w:gridCol w:w="419"/>
        <w:gridCol w:w="419"/>
        <w:gridCol w:w="421"/>
        <w:gridCol w:w="360"/>
        <w:gridCol w:w="360"/>
        <w:gridCol w:w="361"/>
        <w:gridCol w:w="544"/>
        <w:gridCol w:w="544"/>
        <w:gridCol w:w="5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Votes Against</w:t>
            </w:r>
          </w:p>
        </w:tc>
        <w:tc>
          <w:tcPr>
            <w:tcW w:w="1081"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Abstentions</w:t>
            </w:r>
          </w:p>
        </w:tc>
        <w:tc>
          <w:tcPr>
            <w:tcW w:w="1634"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101"/>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133,060,912 </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5,714,611</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856,725</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7,755,131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color w:val="000000"/>
          <w:sz w:val="20"/>
        </w:rPr>
        <w:br/>
        <w:t>Proposal 3. — Ratify, by Nonbinding, Advisory Vote, the Appointment o</w:t>
      </w:r>
      <w:r>
        <w:rPr>
          <w:rFonts w:ascii="Times New Roman;serif" w:hAnsi="Times New Roman;serif"/>
          <w:b/>
          <w:color w:val="000000"/>
          <w:sz w:val="20"/>
          <w:shd w:fill="FFFFFF" w:val="clear"/>
        </w:rPr>
        <w:t>f Deloitte &amp; Touche LLP as the Independent Auditor of the Company and to Authorize, by Binding Vote, the Audit and Finance Committee of the Board of Directors to Set the Auditor’s Remuneration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ratify, by nonbinding, advisory vote, the appointment of Deloitte &amp; Touche LLP as the Company’s independent auditor for the year ending December 31, 2026 and to authorize, by binding vote, the Audit and Finance Committee of the Board of Directors to set the independent auditor’s remuneration. The proposal was approved by a vote of the shareholders as follows:</w:t>
      </w:r>
    </w:p>
    <w:p>
      <w:pPr>
        <w:pStyle w:val="TextBody"/>
        <w:bidi w:val="0"/>
        <w:spacing w:before="0" w:after="0"/>
        <w:jc w:val="both"/>
        <w:rPr/>
      </w:pPr>
      <w:r>
        <w:rPr/>
      </w:r>
    </w:p>
    <w:tbl>
      <w:tblPr>
        <w:tblW w:w="4238" w:type="dxa"/>
        <w:jc w:val="left"/>
        <w:tblInd w:w="0" w:type="dxa"/>
        <w:tblLayout w:type="fixed"/>
        <w:tblCellMar>
          <w:top w:w="28" w:type="dxa"/>
          <w:left w:w="28" w:type="dxa"/>
          <w:bottom w:w="28" w:type="dxa"/>
          <w:right w:w="28" w:type="dxa"/>
        </w:tblCellMar>
      </w:tblPr>
      <w:tblGrid>
        <w:gridCol w:w="124"/>
        <w:gridCol w:w="109"/>
        <w:gridCol w:w="109"/>
        <w:gridCol w:w="393"/>
        <w:gridCol w:w="393"/>
        <w:gridCol w:w="398"/>
        <w:gridCol w:w="419"/>
        <w:gridCol w:w="419"/>
        <w:gridCol w:w="421"/>
        <w:gridCol w:w="360"/>
        <w:gridCol w:w="360"/>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Votes Against</w:t>
            </w:r>
          </w:p>
        </w:tc>
        <w:tc>
          <w:tcPr>
            <w:tcW w:w="1081"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Abstentions</w:t>
            </w:r>
          </w:p>
        </w:tc>
        <w:tc>
          <w:tcPr>
            <w:tcW w:w="372"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101"/>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127,122,042 </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20,172,130</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93,207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Proposal 4. — </w:t>
      </w:r>
      <w:r>
        <w:rPr>
          <w:rFonts w:ascii="Times New Roman;serif" w:hAnsi="Times New Roman;serif"/>
          <w:b/>
          <w:color w:val="000000"/>
          <w:sz w:val="20"/>
          <w:shd w:fill="FFFFFF" w:val="clear"/>
        </w:rPr>
        <w:t>Authorize the Board of Directors to Allot New Shares Under Irish Law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To authorize t</w:t>
      </w:r>
      <w:r>
        <w:rPr>
          <w:rFonts w:ascii="Times New Roman;serif" w:hAnsi="Times New Roman;serif"/>
          <w:b w:val="false"/>
          <w:color w:val="000000"/>
          <w:sz w:val="20"/>
          <w:shd w:fill="FFFFFF" w:val="clear"/>
        </w:rPr>
        <w:t>he Board of Directors to allot new shares under Irish law</w:t>
      </w:r>
      <w:r>
        <w:rPr>
          <w:rFonts w:ascii="Times New Roman;serif" w:hAnsi="Times New Roman;serif"/>
          <w:b w:val="false"/>
          <w:color w:val="000000"/>
          <w:sz w:val="20"/>
        </w:rPr>
        <w:t>. The proposal was approved by a vote of the shareholders as follows:</w:t>
      </w:r>
    </w:p>
    <w:p>
      <w:pPr>
        <w:pStyle w:val="TextBody"/>
        <w:bidi w:val="0"/>
        <w:spacing w:before="0" w:after="0"/>
        <w:jc w:val="both"/>
        <w:rPr/>
      </w:pPr>
      <w:r>
        <w:rPr/>
      </w:r>
    </w:p>
    <w:tbl>
      <w:tblPr>
        <w:tblW w:w="4238" w:type="dxa"/>
        <w:jc w:val="left"/>
        <w:tblInd w:w="0" w:type="dxa"/>
        <w:tblLayout w:type="fixed"/>
        <w:tblCellMar>
          <w:top w:w="28" w:type="dxa"/>
          <w:left w:w="28" w:type="dxa"/>
          <w:bottom w:w="28" w:type="dxa"/>
          <w:right w:w="28" w:type="dxa"/>
        </w:tblCellMar>
      </w:tblPr>
      <w:tblGrid>
        <w:gridCol w:w="124"/>
        <w:gridCol w:w="109"/>
        <w:gridCol w:w="109"/>
        <w:gridCol w:w="393"/>
        <w:gridCol w:w="393"/>
        <w:gridCol w:w="398"/>
        <w:gridCol w:w="419"/>
        <w:gridCol w:w="419"/>
        <w:gridCol w:w="421"/>
        <w:gridCol w:w="360"/>
        <w:gridCol w:w="360"/>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Votes Against</w:t>
            </w:r>
          </w:p>
        </w:tc>
        <w:tc>
          <w:tcPr>
            <w:tcW w:w="1081"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Abstentions</w:t>
            </w:r>
          </w:p>
        </w:tc>
        <w:tc>
          <w:tcPr>
            <w:tcW w:w="372"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101"/>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145,388,731 </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1,881,991</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116,657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Proposal 5. — Authorize the Board of Directors to Opt-Out of Statutory Preemption Rights Under Irish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authorize the Board of Directors to opt-out of statutory preemption rights under Irish law. The proposal was approved by a vote of the shareholders as follows:</w:t>
      </w:r>
    </w:p>
    <w:p>
      <w:pPr>
        <w:pStyle w:val="TextBody"/>
        <w:bidi w:val="0"/>
        <w:spacing w:before="0" w:after="0"/>
        <w:jc w:val="left"/>
        <w:rPr/>
      </w:pPr>
      <w:r>
        <w:rPr/>
      </w:r>
    </w:p>
    <w:tbl>
      <w:tblPr>
        <w:tblW w:w="4238" w:type="dxa"/>
        <w:jc w:val="left"/>
        <w:tblInd w:w="0" w:type="dxa"/>
        <w:tblLayout w:type="fixed"/>
        <w:tblCellMar>
          <w:top w:w="28" w:type="dxa"/>
          <w:left w:w="28" w:type="dxa"/>
          <w:bottom w:w="28" w:type="dxa"/>
          <w:right w:w="28" w:type="dxa"/>
        </w:tblCellMar>
      </w:tblPr>
      <w:tblGrid>
        <w:gridCol w:w="124"/>
        <w:gridCol w:w="109"/>
        <w:gridCol w:w="109"/>
        <w:gridCol w:w="393"/>
        <w:gridCol w:w="393"/>
        <w:gridCol w:w="398"/>
        <w:gridCol w:w="419"/>
        <w:gridCol w:w="419"/>
        <w:gridCol w:w="421"/>
        <w:gridCol w:w="360"/>
        <w:gridCol w:w="360"/>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Votes Against</w:t>
            </w:r>
          </w:p>
        </w:tc>
        <w:tc>
          <w:tcPr>
            <w:tcW w:w="1081"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Abstentions</w:t>
            </w:r>
          </w:p>
        </w:tc>
        <w:tc>
          <w:tcPr>
            <w:tcW w:w="372"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101"/>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129,439,361 </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17,795,153</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152,865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color w:val="000000"/>
          <w:sz w:val="20"/>
        </w:rPr>
        <w:br/>
        <w:t xml:space="preserve">Proposal 6. — </w:t>
      </w:r>
      <w:r>
        <w:rPr>
          <w:rFonts w:ascii="Times New Roman;serif" w:hAnsi="Times New Roman;serif"/>
          <w:b/>
          <w:color w:val="000000"/>
          <w:sz w:val="20"/>
          <w:shd w:fill="FFFFFF" w:val="clear"/>
        </w:rPr>
        <w:t>Authorize the Price Range at Which the Company Can Re-Allot Shares It Holds as Treasury Shares Under Irish Law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To authorize t</w:t>
      </w:r>
      <w:r>
        <w:rPr>
          <w:rFonts w:ascii="Times New Roman;serif" w:hAnsi="Times New Roman;serif"/>
          <w:b w:val="false"/>
          <w:color w:val="000000"/>
          <w:sz w:val="20"/>
          <w:shd w:fill="FFFFFF" w:val="clear"/>
        </w:rPr>
        <w:t>he price range at which the Company can re-allot shares it holds as treasury shares under Irish law</w:t>
      </w:r>
      <w:r>
        <w:rPr>
          <w:rFonts w:ascii="Times New Roman;serif" w:hAnsi="Times New Roman;serif"/>
          <w:b w:val="false"/>
          <w:color w:val="000000"/>
          <w:sz w:val="20"/>
        </w:rPr>
        <w:t>. The proposal was approved by a vote of the shareholders as follows:</w:t>
      </w:r>
    </w:p>
    <w:p>
      <w:pPr>
        <w:pStyle w:val="TextBody"/>
        <w:bidi w:val="0"/>
        <w:spacing w:before="0" w:after="0"/>
        <w:jc w:val="both"/>
        <w:rPr/>
      </w:pPr>
      <w:r>
        <w:rPr/>
      </w:r>
    </w:p>
    <w:tbl>
      <w:tblPr>
        <w:tblW w:w="4238" w:type="dxa"/>
        <w:jc w:val="left"/>
        <w:tblInd w:w="0" w:type="dxa"/>
        <w:tblLayout w:type="fixed"/>
        <w:tblCellMar>
          <w:top w:w="28" w:type="dxa"/>
          <w:left w:w="28" w:type="dxa"/>
          <w:bottom w:w="28" w:type="dxa"/>
          <w:right w:w="28" w:type="dxa"/>
        </w:tblCellMar>
      </w:tblPr>
      <w:tblGrid>
        <w:gridCol w:w="124"/>
        <w:gridCol w:w="109"/>
        <w:gridCol w:w="109"/>
        <w:gridCol w:w="393"/>
        <w:gridCol w:w="393"/>
        <w:gridCol w:w="398"/>
        <w:gridCol w:w="419"/>
        <w:gridCol w:w="419"/>
        <w:gridCol w:w="421"/>
        <w:gridCol w:w="360"/>
        <w:gridCol w:w="360"/>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Votes Against</w:t>
            </w:r>
          </w:p>
        </w:tc>
        <w:tc>
          <w:tcPr>
            <w:tcW w:w="1081"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Abstentions</w:t>
            </w:r>
          </w:p>
        </w:tc>
        <w:tc>
          <w:tcPr>
            <w:tcW w:w="372"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ind w:left="0" w:right="0" w:hanging="101"/>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146,136,706 </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1,132,550</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118,123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May 6, 2026.</w:t>
      </w:r>
    </w:p>
    <w:tbl>
      <w:tblPr>
        <w:tblW w:w="5156" w:type="dxa"/>
        <w:jc w:val="left"/>
        <w:tblInd w:w="0" w:type="dxa"/>
        <w:tblLayout w:type="fixed"/>
        <w:tblCellMar>
          <w:top w:w="28" w:type="dxa"/>
          <w:left w:w="28" w:type="dxa"/>
          <w:bottom w:w="28" w:type="dxa"/>
          <w:right w:w="28" w:type="dxa"/>
        </w:tblCellMar>
      </w:tblPr>
      <w:tblGrid>
        <w:gridCol w:w="124"/>
        <w:gridCol w:w="109"/>
        <w:gridCol w:w="109"/>
        <w:gridCol w:w="1510"/>
        <w:gridCol w:w="1364"/>
        <w:gridCol w:w="19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PENTAIR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By: /s/ Lance T Bonner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Lance T Bonner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General Counsel and Secretary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859</Words>
  <Characters>4806</Characters>
  <CharactersWithSpaces>5574</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