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tc>
      </w:tr>
    </w:tbl>
    <w:p>
      <w:pPr>
        <w:pStyle w:val="TextBody"/>
        <w:bidi w:val="0"/>
        <w:spacing w:lineRule="auto" w:line="288" w:before="0" w:after="0"/>
        <w:jc w:val="center"/>
        <w:rPr/>
      </w:pPr>
      <w:r>
        <w:rPr>
          <w:rFonts w:ascii="Times New Roman;serif" w:hAnsi="Times New Roman;serif"/>
          <w:b w:val="false"/>
          <w:color w:val="000000"/>
          <w:sz w:val="20"/>
        </w:rPr>
        <w:t>OR</w:t>
      </w:r>
      <w:r>
        <w:rPr>
          <w:color w:val="000000"/>
        </w:rPr>
        <w:t> </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val="false"/>
          <w:color w:val="000000"/>
          <w:sz w:val="20"/>
        </w:rPr>
        <w:t>Commission file number:</w:t>
      </w:r>
      <w:r>
        <w:rPr>
          <w:color w:val="000000"/>
        </w:rPr>
        <w:t xml:space="preserve"> </w:t>
      </w:r>
      <w:r>
        <w:rPr>
          <w:rFonts w:ascii="Times New Roman;serif" w:hAnsi="Times New Roman;serif"/>
          <w:b/>
          <w:color w:val="000000"/>
          <w:sz w:val="20"/>
        </w:rPr>
        <w:t xml:space="preserve">001-11625 </w:t>
      </w:r>
    </w:p>
    <w:p>
      <w:pPr>
        <w:pStyle w:val="TextBody"/>
        <w:bidi w:val="0"/>
        <w:spacing w:before="100" w:after="283"/>
        <w:jc w:val="center"/>
        <w:rPr/>
      </w:pPr>
      <w:r>
        <w:rPr/>
        <w:drawing>
          <wp:inline distT="0" distB="0" distL="0" distR="0">
            <wp:extent cx="21907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52450"/>
                    </a:xfrm>
                    <a:prstGeom prst="rect">
                      <a:avLst/>
                    </a:prstGeom>
                  </pic:spPr>
                </pic:pic>
              </a:graphicData>
            </a:graphic>
          </wp:inline>
        </w:drawing>
      </w:r>
      <w:bookmarkStart w:id="0" w:name="i-1"/>
      <w:bookmarkEnd w:id="0"/>
    </w:p>
    <w:tbl>
      <w:tblPr>
        <w:tblW w:w="1095" w:type="dxa"/>
        <w:jc w:val="center"/>
        <w:tblInd w:w="0" w:type="dxa"/>
        <w:tblLayout w:type="fixed"/>
        <w:tblCellMar>
          <w:top w:w="28" w:type="dxa"/>
          <w:left w:w="28" w:type="dxa"/>
          <w:bottom w:w="28" w:type="dxa"/>
          <w:right w:w="28" w:type="dxa"/>
        </w:tblCellMar>
      </w:tblPr>
      <w:tblGrid>
        <w:gridCol w:w="351"/>
        <w:gridCol w:w="308"/>
        <w:gridCol w:w="436"/>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374" w:type="dxa"/>
        <w:jc w:val="left"/>
        <w:tblInd w:w="0" w:type="dxa"/>
        <w:tblLayout w:type="fixed"/>
        <w:tblCellMar>
          <w:top w:w="28" w:type="dxa"/>
          <w:left w:w="28" w:type="dxa"/>
          <w:bottom w:w="28" w:type="dxa"/>
          <w:right w:w="28" w:type="dxa"/>
        </w:tblCellMar>
      </w:tblPr>
      <w:tblGrid>
        <w:gridCol w:w="465"/>
        <w:gridCol w:w="409"/>
        <w:gridCol w:w="409"/>
        <w:gridCol w:w="460"/>
        <w:gridCol w:w="460"/>
        <w:gridCol w:w="460"/>
        <w:gridCol w:w="460"/>
        <w:gridCol w:w="460"/>
        <w:gridCol w:w="460"/>
        <w:gridCol w:w="415"/>
        <w:gridCol w:w="415"/>
        <w:gridCol w:w="415"/>
        <w:gridCol w:w="284"/>
        <w:gridCol w:w="284"/>
        <w:gridCol w:w="286"/>
        <w:gridCol w:w="300"/>
        <w:gridCol w:w="300"/>
        <w:gridCol w:w="301"/>
        <w:gridCol w:w="499"/>
        <w:gridCol w:w="499"/>
        <w:gridCol w:w="501"/>
        <w:gridCol w:w="244"/>
        <w:gridCol w:w="244"/>
        <w:gridCol w:w="344"/>
      </w:tblGrid>
      <w:tr>
        <w:trPr/>
        <w:tc>
          <w:tcPr>
            <w:tcW w:w="46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2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408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98-1141328</w:t>
            </w:r>
          </w:p>
        </w:tc>
      </w:tr>
      <w:tr>
        <w:trPr/>
        <w:tc>
          <w:tcPr>
            <w:tcW w:w="528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408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Regal House, 70 London Road, </w:t>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Twickenham,</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London, </w:t>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TW13QS</w:t>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Kingdom</w:t>
            </w:r>
          </w:p>
        </w:tc>
        <w:tc>
          <w:tcPr>
            <w:tcW w:w="8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374"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bl>
    <w:p>
      <w:pPr>
        <w:pStyle w:val="TextBody"/>
        <w:bidi w:val="0"/>
        <w:spacing w:lineRule="auto" w:line="288" w:before="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44-74-9421-6154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PNR</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r>
        <w:rPr>
          <w:color w:val="000000"/>
        </w:rPr>
        <w:t> </w:t>
      </w:r>
    </w:p>
    <w:tbl>
      <w:tblPr>
        <w:tblW w:w="9871"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480"/>
        <w:gridCol w:w="480"/>
        <w:gridCol w:w="481"/>
        <w:gridCol w:w="109"/>
        <w:gridCol w:w="109"/>
        <w:gridCol w:w="109"/>
        <w:gridCol w:w="600"/>
        <w:gridCol w:w="600"/>
        <w:gridCol w:w="601"/>
        <w:gridCol w:w="109"/>
        <w:gridCol w:w="109"/>
        <w:gridCol w:w="109"/>
        <w:gridCol w:w="505"/>
        <w:gridCol w:w="505"/>
        <w:gridCol w:w="506"/>
        <w:gridCol w:w="109"/>
        <w:gridCol w:w="109"/>
        <w:gridCol w:w="109"/>
        <w:gridCol w:w="504"/>
        <w:gridCol w:w="504"/>
        <w:gridCol w:w="506"/>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w:t>
              <w:br/>
              <w:t>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10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30, 2026, 159,637,950 shares of registrant’s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left"/>
        <w:rPr>
          <w:color w:val="000000"/>
        </w:rPr>
      </w:pPr>
      <w:r>
        <w:rPr>
          <w:color w:val="000000"/>
        </w:rPr>
        <w:t> </w:t>
      </w:r>
    </w:p>
    <w:tbl>
      <w:tblPr>
        <w:tblW w:w="9646" w:type="dxa"/>
        <w:jc w:val="left"/>
        <w:tblInd w:w="0" w:type="dxa"/>
        <w:tblLayout w:type="fixed"/>
        <w:tblCellMar>
          <w:top w:w="28" w:type="dxa"/>
          <w:left w:w="28" w:type="dxa"/>
          <w:bottom w:w="28" w:type="dxa"/>
          <w:right w:w="28" w:type="dxa"/>
        </w:tblCellMar>
      </w:tblPr>
      <w:tblGrid>
        <w:gridCol w:w="621"/>
        <w:gridCol w:w="545"/>
        <w:gridCol w:w="545"/>
        <w:gridCol w:w="2439"/>
        <w:gridCol w:w="2439"/>
        <w:gridCol w:w="2486"/>
        <w:gridCol w:w="167"/>
        <w:gridCol w:w="167"/>
        <w:gridCol w:w="237"/>
      </w:tblGrid>
      <w:tr>
        <w:trPr/>
        <w:tc>
          <w:tcPr>
            <w:tcW w:w="6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07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0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PART I FINANCIAL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0">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3">
              <w:r>
                <w:rPr>
                  <w:rStyle w:val="InternetLink"/>
                  <w:rFonts w:ascii="Times New Roman;serif" w:hAnsi="Times New Roman;serif"/>
                  <w:b w:val="false"/>
                  <w:color w:val="0000FF"/>
                  <w:sz w:val="20"/>
                  <w:u w:val="single"/>
                </w:rPr>
                <w:t>Condensed Consolidated Statements of Operations and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13">
              <w:r>
                <w:rPr>
                  <w:rStyle w:val="InternetLink"/>
                  <w:rFonts w:ascii="Times New Roman;serif" w:hAnsi="Times New Roman;serif"/>
                  <w:b w:val="false"/>
                  <w:color w:val="0000FF"/>
                  <w:sz w:val="20"/>
                  <w:u w:val="single"/>
                </w:rPr>
                <w:t>3</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6">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16">
              <w:r>
                <w:rPr>
                  <w:rStyle w:val="InternetLink"/>
                  <w:rFonts w:ascii="Times New Roman;serif" w:hAnsi="Times New Roman;serif"/>
                  <w:b w:val="false"/>
                  <w:color w:val="0000FF"/>
                  <w:sz w:val="20"/>
                  <w:u w:val="single"/>
                </w:rPr>
                <w:t>4</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9">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19">
              <w:r>
                <w:rPr>
                  <w:rStyle w:val="InternetLink"/>
                  <w:rFonts w:ascii="Times New Roman;serif" w:hAnsi="Times New Roman;serif"/>
                  <w:b w:val="false"/>
                  <w:color w:val="0000FF"/>
                  <w:sz w:val="20"/>
                  <w:u w:val="single"/>
                </w:rPr>
                <w:t>5</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22">
              <w:r>
                <w:rPr>
                  <w:rStyle w:val="InternetLink"/>
                  <w:rFonts w:ascii="Times New Roman;serif" w:hAnsi="Times New Roman;serif"/>
                  <w:b w:val="false"/>
                  <w:color w:val="0000FF"/>
                  <w:sz w:val="20"/>
                  <w:u w:val="single"/>
                </w:rPr>
                <w:t>Condensed Consolidated Statements of Changes in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22">
              <w:r>
                <w:rPr>
                  <w:rStyle w:val="InternetLink"/>
                  <w:rFonts w:ascii="Times New Roman;serif" w:hAnsi="Times New Roman;serif"/>
                  <w:b w:val="false"/>
                  <w:color w:val="0000FF"/>
                  <w:sz w:val="20"/>
                  <w:u w:val="single"/>
                </w:rPr>
                <w:t>6</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25">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25">
              <w:r>
                <w:rPr>
                  <w:rStyle w:val="InternetLink"/>
                  <w:rFonts w:ascii="Times New Roman;serif" w:hAnsi="Times New Roman;serif"/>
                  <w:b w:val="false"/>
                  <w:color w:val="0000FF"/>
                  <w:sz w:val="20"/>
                  <w:u w:val="single"/>
                </w:rPr>
                <w:t>7</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82">
              <w:r>
                <w:rPr>
                  <w:rStyle w:val="InternetLink"/>
                  <w:rFonts w:ascii="Times New Roman;serif" w:hAnsi="Times New Roman;serif"/>
                  <w:b w:val="false"/>
                  <w:color w:val="0000FF"/>
                  <w:sz w:val="20"/>
                  <w:u w:val="single"/>
                </w:rPr>
                <w:t>23</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03">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103">
              <w:r>
                <w:rPr>
                  <w:rStyle w:val="InternetLink"/>
                  <w:rFonts w:ascii="Times New Roman;serif" w:hAnsi="Times New Roman;serif"/>
                  <w:b w:val="false"/>
                  <w:color w:val="0000FF"/>
                  <w:sz w:val="20"/>
                  <w:u w:val="single"/>
                </w:rPr>
                <w:t>36</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06">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106">
              <w:r>
                <w:rPr>
                  <w:rStyle w:val="InternetLink"/>
                  <w:rFonts w:ascii="Times New Roman;serif" w:hAnsi="Times New Roman;serif"/>
                  <w:b w:val="false"/>
                  <w:color w:val="0000FF"/>
                  <w:sz w:val="20"/>
                  <w:u w:val="single"/>
                </w:rPr>
                <w:t>37</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PART II OTHER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09">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109">
              <w:r>
                <w:rPr>
                  <w:rStyle w:val="InternetLink"/>
                  <w:rFonts w:ascii="Times New Roman;serif" w:hAnsi="Times New Roman;serif"/>
                  <w:b w:val="false"/>
                  <w:color w:val="0000FF"/>
                  <w:sz w:val="20"/>
                  <w:u w:val="single"/>
                </w:rPr>
                <w:t>37</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12">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112">
              <w:r>
                <w:rPr>
                  <w:rStyle w:val="InternetLink"/>
                  <w:rFonts w:ascii="Times New Roman;serif" w:hAnsi="Times New Roman;serif"/>
                  <w:b w:val="false"/>
                  <w:color w:val="0000FF"/>
                  <w:sz w:val="20"/>
                  <w:u w:val="single"/>
                </w:rPr>
                <w:t>37</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15">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115">
              <w:r>
                <w:rPr>
                  <w:rStyle w:val="InternetLink"/>
                  <w:rFonts w:ascii="Times New Roman;serif" w:hAnsi="Times New Roman;serif"/>
                  <w:b w:val="false"/>
                  <w:color w:val="0000FF"/>
                  <w:sz w:val="20"/>
                  <w:u w:val="single"/>
                </w:rPr>
                <w:t>39</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18">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115">
              <w:r>
                <w:rPr>
                  <w:rStyle w:val="InternetLink"/>
                  <w:rFonts w:ascii="Times New Roman;serif" w:hAnsi="Times New Roman;serif"/>
                  <w:b w:val="false"/>
                  <w:color w:val="0000FF"/>
                  <w:sz w:val="20"/>
                  <w:u w:val="single"/>
                </w:rPr>
                <w:t>39</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24">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124">
              <w:r>
                <w:rPr>
                  <w:rStyle w:val="InternetLink"/>
                  <w:rFonts w:ascii="Times New Roman;serif" w:hAnsi="Times New Roman;serif"/>
                  <w:b w:val="false"/>
                  <w:color w:val="0000FF"/>
                  <w:sz w:val="20"/>
                  <w:u w:val="single"/>
                </w:rPr>
                <w:t>40</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40d2306f3748089a7795db9cfd89fc_130">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40d2306f3748089a7795db9cfd89fc_130">
              <w:r>
                <w:rPr>
                  <w:rStyle w:val="InternetLink"/>
                  <w:rFonts w:ascii="Times New Roman;serif" w:hAnsi="Times New Roman;serif"/>
                  <w:b w:val="false"/>
                  <w:color w:val="0000FF"/>
                  <w:sz w:val="20"/>
                  <w:u w:val="single"/>
                </w:rPr>
                <w:t>41</w:t>
              </w:r>
            </w:hyperlink>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(Unaudited)</w:t>
      </w:r>
    </w:p>
    <w:tbl>
      <w:tblPr>
        <w:tblW w:w="10205" w:type="dxa"/>
        <w:jc w:val="left"/>
        <w:tblInd w:w="0" w:type="dxa"/>
        <w:tblLayout w:type="fixed"/>
        <w:tblCellMar>
          <w:top w:w="28" w:type="dxa"/>
          <w:left w:w="28" w:type="dxa"/>
          <w:bottom w:w="28" w:type="dxa"/>
          <w:right w:w="28" w:type="dxa"/>
        </w:tblCellMar>
      </w:tblPr>
      <w:tblGrid>
        <w:gridCol w:w="2058"/>
        <w:gridCol w:w="1787"/>
        <w:gridCol w:w="1792"/>
        <w:gridCol w:w="211"/>
        <w:gridCol w:w="616"/>
        <w:gridCol w:w="109"/>
        <w:gridCol w:w="211"/>
        <w:gridCol w:w="766"/>
        <w:gridCol w:w="109"/>
        <w:gridCol w:w="109"/>
        <w:gridCol w:w="109"/>
        <w:gridCol w:w="109"/>
        <w:gridCol w:w="211"/>
        <w:gridCol w:w="766"/>
        <w:gridCol w:w="109"/>
        <w:gridCol w:w="211"/>
        <w:gridCol w:w="766"/>
        <w:gridCol w:w="156"/>
      </w:tblGrid>
      <w:tr>
        <w:trPr/>
        <w:tc>
          <w:tcPr>
            <w:tcW w:w="205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5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6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continuing operations before income taxes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from continuing operations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6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net of tax</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cumulative translation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market value of derivative financial instruments, net of tax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ordinary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ordinary share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per ordinary share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outstanding</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928"/>
        <w:gridCol w:w="2464"/>
        <w:gridCol w:w="2472"/>
        <w:gridCol w:w="211"/>
        <w:gridCol w:w="766"/>
        <w:gridCol w:w="109"/>
        <w:gridCol w:w="233"/>
        <w:gridCol w:w="849"/>
        <w:gridCol w:w="173"/>
      </w:tblGrid>
      <w:tr>
        <w:trPr/>
        <w:tc>
          <w:tcPr>
            <w:tcW w:w="292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25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5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20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$5.4 and $6.8,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$0.01 par value, 426.0 authorized, 159.6 and 163.2 issued at June 30, 2026 and December 31, 2025,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equity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(Unaudited) </w:t>
      </w:r>
    </w:p>
    <w:tbl>
      <w:tblPr>
        <w:tblW w:w="10205" w:type="dxa"/>
        <w:jc w:val="center"/>
        <w:tblInd w:w="0" w:type="dxa"/>
        <w:tblLayout w:type="fixed"/>
        <w:tblCellMar>
          <w:top w:w="28" w:type="dxa"/>
          <w:left w:w="28" w:type="dxa"/>
          <w:bottom w:w="28" w:type="dxa"/>
          <w:right w:w="28" w:type="dxa"/>
        </w:tblCellMar>
      </w:tblPr>
      <w:tblGrid>
        <w:gridCol w:w="3053"/>
        <w:gridCol w:w="2601"/>
        <w:gridCol w:w="2632"/>
        <w:gridCol w:w="211"/>
        <w:gridCol w:w="616"/>
        <w:gridCol w:w="109"/>
        <w:gridCol w:w="211"/>
        <w:gridCol w:w="616"/>
        <w:gridCol w:w="156"/>
      </w:tblGrid>
      <w:tr>
        <w:trPr/>
        <w:tc>
          <w:tcPr>
            <w:tcW w:w="3053"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8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8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from continuing operations to net cash provided by (used for)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of unconsolidated subsidiaries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assets and liabilities, net of effects of business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repayments of short-term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borrowings of revolving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employees, net of shares withheld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ordinary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tbl>
      <w:tblPr>
        <w:tblW w:w="10205" w:type="dxa"/>
        <w:jc w:val="center"/>
        <w:tblInd w:w="0" w:type="dxa"/>
        <w:tblLayout w:type="fixed"/>
        <w:tblCellMar>
          <w:top w:w="28" w:type="dxa"/>
          <w:left w:w="28" w:type="dxa"/>
          <w:bottom w:w="28" w:type="dxa"/>
          <w:right w:w="28" w:type="dxa"/>
        </w:tblCellMar>
      </w:tblPr>
      <w:tblGrid>
        <w:gridCol w:w="697"/>
        <w:gridCol w:w="384"/>
        <w:gridCol w:w="388"/>
        <w:gridCol w:w="308"/>
        <w:gridCol w:w="308"/>
        <w:gridCol w:w="266"/>
        <w:gridCol w:w="267"/>
        <w:gridCol w:w="412"/>
        <w:gridCol w:w="110"/>
        <w:gridCol w:w="109"/>
        <w:gridCol w:w="109"/>
        <w:gridCol w:w="109"/>
        <w:gridCol w:w="109"/>
        <w:gridCol w:w="1053"/>
        <w:gridCol w:w="214"/>
        <w:gridCol w:w="780"/>
        <w:gridCol w:w="111"/>
        <w:gridCol w:w="276"/>
        <w:gridCol w:w="1004"/>
        <w:gridCol w:w="143"/>
        <w:gridCol w:w="211"/>
        <w:gridCol w:w="633"/>
        <w:gridCol w:w="109"/>
        <w:gridCol w:w="109"/>
        <w:gridCol w:w="109"/>
        <w:gridCol w:w="109"/>
        <w:gridCol w:w="631"/>
        <w:gridCol w:w="211"/>
        <w:gridCol w:w="766"/>
        <w:gridCol w:w="160"/>
      </w:tblGrid>
      <w:tr>
        <w:trPr/>
        <w:tc>
          <w:tcPr>
            <w:tcW w:w="69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6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11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14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 (loss) income</w:t>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Total</w:t>
            </w:r>
          </w:p>
        </w:tc>
        <w:tc>
          <w:tcPr>
            <w:tcW w:w="1137" w:type="dxa"/>
            <w:gridSpan w:val="3"/>
            <w:tcBorders/>
          </w:tcPr>
          <w:p>
            <w:pPr>
              <w:pStyle w:val="TableContents"/>
              <w:bidi w:val="0"/>
              <w:spacing w:before="0" w:after="283"/>
              <w:jc w:val="left"/>
              <w:rPr>
                <w:sz w:val="4"/>
                <w:szCs w:val="4"/>
              </w:rPr>
            </w:pPr>
            <w:r>
              <w:rPr>
                <w:sz w:val="4"/>
                <w:szCs w:val="4"/>
              </w:rPr>
            </w:r>
          </w:p>
        </w:tc>
      </w:tr>
      <w:tr>
        <w:trPr/>
        <w:tc>
          <w:tcPr>
            <w:tcW w:w="1469" w:type="dxa"/>
            <w:gridSpan w:val="3"/>
            <w:vMerge w:val="continue"/>
            <w:tcBorders/>
            <w:tcMar>
              <w:top w:w="0" w:type="dxa"/>
              <w:left w:w="0" w:type="dxa"/>
              <w:bottom w:w="0" w:type="dxa"/>
              <w:right w:w="0" w:type="dxa"/>
            </w:tcMar>
            <w:vAlign w:val="center"/>
          </w:tcPr>
          <w:p>
            <w:pPr>
              <w:pStyle w:val="Normal"/>
              <w:bidi w:val="0"/>
              <w:jc w:val="left"/>
              <w:rPr/>
            </w:pPr>
            <w:r>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vMerge w:val="continue"/>
            <w:tcBorders/>
            <w:tcMar>
              <w:top w:w="0" w:type="dxa"/>
              <w:left w:w="0" w:type="dxa"/>
              <w:bottom w:w="0" w:type="dxa"/>
              <w:right w:w="0" w:type="dxa"/>
            </w:tcMar>
            <w:vAlign w:val="center"/>
          </w:tcPr>
          <w:p>
            <w:pPr>
              <w:pStyle w:val="Normal"/>
              <w:bidi w:val="0"/>
              <w:jc w:val="left"/>
              <w:rPr/>
            </w:pPr>
            <w:r>
              <w:rPr/>
            </w:r>
          </w:p>
        </w:tc>
        <w:tc>
          <w:tcPr>
            <w:tcW w:w="1105" w:type="dxa"/>
            <w:gridSpan w:val="3"/>
            <w:vMerge w:val="continue"/>
            <w:tcBorders/>
            <w:tcMar>
              <w:top w:w="0" w:type="dxa"/>
              <w:left w:w="0" w:type="dxa"/>
              <w:bottom w:w="0" w:type="dxa"/>
              <w:right w:w="0" w:type="dxa"/>
            </w:tcMar>
            <w:vAlign w:val="center"/>
          </w:tcPr>
          <w:p>
            <w:pPr>
              <w:pStyle w:val="Normal"/>
              <w:bidi w:val="0"/>
              <w:jc w:val="left"/>
              <w:rPr/>
            </w:pPr>
            <w:r>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631" w:type="dxa"/>
            <w:vMerge w:val="continue"/>
            <w:tcBorders/>
            <w:tcMar>
              <w:top w:w="0" w:type="dxa"/>
              <w:left w:w="0" w:type="dxa"/>
              <w:bottom w:w="0" w:type="dxa"/>
              <w:right w:w="0" w:type="dxa"/>
            </w:tcMar>
            <w:vAlign w:val="center"/>
          </w:tcPr>
          <w:p>
            <w:pPr>
              <w:pStyle w:val="Normal"/>
              <w:bidi w:val="0"/>
              <w:jc w:val="left"/>
              <w:rPr/>
            </w:pPr>
            <w:r>
              <w:rPr/>
            </w:r>
          </w:p>
        </w:tc>
        <w:tc>
          <w:tcPr>
            <w:tcW w:w="1137" w:type="dxa"/>
            <w:gridSpan w:val="3"/>
            <w:tcBorders/>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$0.27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 net of shares tendered for payment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shares, net of cancellations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by employees to pay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 March 31, 2026</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$0.27 per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 net of shares tendered for payment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shares, net of cancellations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by employees to pay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2026</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99"/>
        <w:gridCol w:w="721"/>
        <w:gridCol w:w="730"/>
        <w:gridCol w:w="308"/>
        <w:gridCol w:w="308"/>
        <w:gridCol w:w="266"/>
        <w:gridCol w:w="277"/>
        <w:gridCol w:w="465"/>
        <w:gridCol w:w="124"/>
        <w:gridCol w:w="109"/>
        <w:gridCol w:w="109"/>
        <w:gridCol w:w="109"/>
        <w:gridCol w:w="290"/>
        <w:gridCol w:w="1056"/>
        <w:gridCol w:w="150"/>
        <w:gridCol w:w="247"/>
        <w:gridCol w:w="899"/>
        <w:gridCol w:w="127"/>
        <w:gridCol w:w="392"/>
        <w:gridCol w:w="1176"/>
        <w:gridCol w:w="204"/>
        <w:gridCol w:w="211"/>
        <w:gridCol w:w="766"/>
        <w:gridCol w:w="162"/>
      </w:tblGrid>
      <w:tr>
        <w:trPr/>
        <w:tc>
          <w:tcPr>
            <w:tcW w:w="99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7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1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177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 (loss) income</w:t>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Total</w:t>
            </w:r>
          </w:p>
        </w:tc>
      </w:tr>
      <w:tr>
        <w:trPr/>
        <w:tc>
          <w:tcPr>
            <w:tcW w:w="2450" w:type="dxa"/>
            <w:gridSpan w:val="3"/>
            <w:vMerge w:val="continue"/>
            <w:tcBorders/>
            <w:tcMar>
              <w:top w:w="0" w:type="dxa"/>
              <w:left w:w="0" w:type="dxa"/>
              <w:bottom w:w="0" w:type="dxa"/>
              <w:right w:w="0" w:type="dxa"/>
            </w:tcMar>
            <w:vAlign w:val="center"/>
          </w:tcPr>
          <w:p>
            <w:pPr>
              <w:pStyle w:val="Normal"/>
              <w:bidi w:val="0"/>
              <w:jc w:val="left"/>
              <w:rPr/>
            </w:pPr>
            <w:r>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96" w:type="dxa"/>
            <w:gridSpan w:val="3"/>
            <w:vMerge w:val="continue"/>
            <w:tcBorders/>
            <w:tcMar>
              <w:top w:w="0" w:type="dxa"/>
              <w:left w:w="0" w:type="dxa"/>
              <w:bottom w:w="0" w:type="dxa"/>
              <w:right w:w="0" w:type="dxa"/>
            </w:tcMar>
            <w:vAlign w:val="center"/>
          </w:tcPr>
          <w:p>
            <w:pPr>
              <w:pStyle w:val="Normal"/>
              <w:bidi w:val="0"/>
              <w:jc w:val="left"/>
              <w:rPr/>
            </w:pPr>
            <w:r>
              <w:rPr/>
            </w:r>
          </w:p>
        </w:tc>
        <w:tc>
          <w:tcPr>
            <w:tcW w:w="1273" w:type="dxa"/>
            <w:gridSpan w:val="3"/>
            <w:vMerge w:val="continue"/>
            <w:tcBorders/>
            <w:tcMar>
              <w:top w:w="0" w:type="dxa"/>
              <w:left w:w="0" w:type="dxa"/>
              <w:bottom w:w="0" w:type="dxa"/>
              <w:right w:w="0" w:type="dxa"/>
            </w:tcMar>
            <w:vAlign w:val="center"/>
          </w:tcPr>
          <w:p>
            <w:pPr>
              <w:pStyle w:val="Normal"/>
              <w:bidi w:val="0"/>
              <w:jc w:val="left"/>
              <w:rPr/>
            </w:pPr>
            <w:r>
              <w:rPr/>
            </w:r>
          </w:p>
        </w:tc>
        <w:tc>
          <w:tcPr>
            <w:tcW w:w="1772"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$0.25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 net of shares tendered for payment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shares, net of cancellations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by employees to pay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 March 31, 2025</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$0.25 per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 net of shares tendered for payment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shares, net of cancellations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by employees to pay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1.Basis of Presentation and Responsibility for Interim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Pentair plc and its subsidiaries (“we,” “us,” “our,” or “Pentair”)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Revenues, expenses, cash flows, assets and liabilities can and do vary during each quarter of the year. Therefore, the results and trends in these interim financial statements may not be indicative of those for a full year.</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Effective January 1, 2026, we reorganized the composition of our Flow and Water Solutions reportable segments to reflect how we are managing our business. As a result of this reorganization, our legacy residential and irrigation flow business moved from our Flow segment into our Water Solutions segment. The Pool segment remains unchanged. The applicable prior period amounts related to this change have been retrospectively reclassified to conform to the new composition. These changes have no impact on the Company’s historical consolidated financial performance or 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fiscal year ends on December 31. We report our interim quarterly periods on a calendar quarter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2.Revenue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disaggregate our revenue from contracts with customers by reportable segment, geographic location and vertical market, as we believe these best depict how the nature, amount, timing and uncertainty of our revenue and cash flows are affected by economic factors. Refer to Note 14 for revenue disaggregated by reportable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Geographic net sales information, based on geographic destination of the sale, was as follows:</w:t>
      </w:r>
    </w:p>
    <w:tbl>
      <w:tblPr>
        <w:tblW w:w="6712" w:type="dxa"/>
        <w:jc w:val="left"/>
        <w:tblInd w:w="0" w:type="dxa"/>
        <w:tblLayout w:type="fixed"/>
        <w:tblCellMar>
          <w:top w:w="28" w:type="dxa"/>
          <w:left w:w="28" w:type="dxa"/>
          <w:bottom w:w="28" w:type="dxa"/>
          <w:right w:w="28" w:type="dxa"/>
        </w:tblCellMar>
      </w:tblPr>
      <w:tblGrid>
        <w:gridCol w:w="729"/>
        <w:gridCol w:w="637"/>
        <w:gridCol w:w="643"/>
        <w:gridCol w:w="217"/>
        <w:gridCol w:w="635"/>
        <w:gridCol w:w="112"/>
        <w:gridCol w:w="217"/>
        <w:gridCol w:w="790"/>
        <w:gridCol w:w="112"/>
        <w:gridCol w:w="112"/>
        <w:gridCol w:w="112"/>
        <w:gridCol w:w="112"/>
        <w:gridCol w:w="217"/>
        <w:gridCol w:w="790"/>
        <w:gridCol w:w="112"/>
        <w:gridCol w:w="217"/>
        <w:gridCol w:w="790"/>
        <w:gridCol w:w="158"/>
      </w:tblGrid>
      <w:tr>
        <w:trPr/>
        <w:tc>
          <w:tcPr>
            <w:tcW w:w="72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Developing </w:t>
            </w:r>
            <w:r>
              <w:rPr>
                <w:rFonts w:ascii="Times New Roman;serif" w:hAnsi="Times New Roman;serif"/>
                <w:b w:val="false"/>
                <w:color w:val="000000"/>
                <w:sz w:val="13"/>
              </w:rPr>
              <w:t>(1)</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Developed </w:t>
            </w:r>
            <w:r>
              <w:rPr>
                <w:rFonts w:ascii="Times New Roman;serif" w:hAnsi="Times New Roman;serif"/>
                <w:b w:val="false"/>
                <w:color w:val="000000"/>
                <w:sz w:val="13"/>
              </w:rPr>
              <w:t>(2)</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712" w:type="dxa"/>
            <w:gridSpan w:val="18"/>
            <w:tcBorders>
              <w:top w:val="double" w:sz="8" w:space="0" w:color="000000"/>
            </w:tcBorders>
            <w:tcMar>
              <w:top w:w="3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Developing primarily includes China, Latin America, the Middle East and Southeast Asia.</w:t>
            </w:r>
          </w:p>
        </w:tc>
      </w:tr>
      <w:tr>
        <w:trPr/>
        <w:tc>
          <w:tcPr>
            <w:tcW w:w="6712" w:type="dxa"/>
            <w:gridSpan w:val="18"/>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3"/>
              </w:rPr>
              <w:t xml:space="preserve">(2) </w:t>
            </w:r>
            <w:r>
              <w:rPr>
                <w:rFonts w:ascii="Times New Roman;serif" w:hAnsi="Times New Roman;serif"/>
                <w:b w:val="false"/>
                <w:color w:val="000000"/>
                <w:sz w:val="18"/>
              </w:rPr>
              <w:t>Other Developed primarily includes Australia and Canada.</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Vertical market net sales information was as follows:</w:t>
      </w:r>
    </w:p>
    <w:tbl>
      <w:tblPr>
        <w:tblW w:w="6515" w:type="dxa"/>
        <w:jc w:val="left"/>
        <w:tblInd w:w="0" w:type="dxa"/>
        <w:tblLayout w:type="fixed"/>
        <w:tblCellMar>
          <w:top w:w="28" w:type="dxa"/>
          <w:left w:w="28" w:type="dxa"/>
          <w:bottom w:w="28" w:type="dxa"/>
          <w:right w:w="28" w:type="dxa"/>
        </w:tblCellMar>
      </w:tblPr>
      <w:tblGrid>
        <w:gridCol w:w="702"/>
        <w:gridCol w:w="617"/>
        <w:gridCol w:w="630"/>
        <w:gridCol w:w="211"/>
        <w:gridCol w:w="616"/>
        <w:gridCol w:w="109"/>
        <w:gridCol w:w="211"/>
        <w:gridCol w:w="766"/>
        <w:gridCol w:w="109"/>
        <w:gridCol w:w="109"/>
        <w:gridCol w:w="109"/>
        <w:gridCol w:w="109"/>
        <w:gridCol w:w="211"/>
        <w:gridCol w:w="766"/>
        <w:gridCol w:w="109"/>
        <w:gridCol w:w="211"/>
        <w:gridCol w:w="766"/>
        <w:gridCol w:w="154"/>
      </w:tblGrid>
      <w:tr>
        <w:trPr/>
        <w:tc>
          <w:tcPr>
            <w:tcW w:w="7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Performance obligations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$117.7 million of remaining performance obligations on contracts with an original expected duration of one year or more. We expect to recognize the majority of our remaining performance obligations on these contracts within the next 12 to 18 months.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and liabilities consisted of the following:</w:t>
      </w:r>
    </w:p>
    <w:tbl>
      <w:tblPr>
        <w:tblW w:w="6199" w:type="dxa"/>
        <w:jc w:val="left"/>
        <w:tblInd w:w="0" w:type="dxa"/>
        <w:tblLayout w:type="fixed"/>
        <w:tblCellMar>
          <w:top w:w="28" w:type="dxa"/>
          <w:left w:w="28" w:type="dxa"/>
          <w:bottom w:w="28" w:type="dxa"/>
          <w:right w:w="28" w:type="dxa"/>
        </w:tblCellMar>
      </w:tblPr>
      <w:tblGrid>
        <w:gridCol w:w="599"/>
        <w:gridCol w:w="523"/>
        <w:gridCol w:w="528"/>
        <w:gridCol w:w="211"/>
        <w:gridCol w:w="511"/>
        <w:gridCol w:w="109"/>
        <w:gridCol w:w="320"/>
        <w:gridCol w:w="774"/>
        <w:gridCol w:w="166"/>
        <w:gridCol w:w="109"/>
        <w:gridCol w:w="109"/>
        <w:gridCol w:w="109"/>
        <w:gridCol w:w="228"/>
        <w:gridCol w:w="554"/>
        <w:gridCol w:w="119"/>
        <w:gridCol w:w="306"/>
        <w:gridCol w:w="310"/>
        <w:gridCol w:w="614"/>
      </w:tblGrid>
      <w:tr>
        <w:trPr/>
        <w:tc>
          <w:tcPr>
            <w:tcW w:w="59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$11.8 million increase in net contract assets from December 31, 2025 to June 30, 2026 was primarily the result of timing of milestone payments. Approximately 85% of our contract liabilities at December 31, 2025 were recognized in revenue in the first half of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Share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share-based compensation expense (benefit) for the three and six months ended June 30, 2026 and 2025 was as follows: </w:t>
      </w:r>
    </w:p>
    <w:tbl>
      <w:tblPr>
        <w:tblW w:w="7284" w:type="dxa"/>
        <w:jc w:val="left"/>
        <w:tblInd w:w="0" w:type="dxa"/>
        <w:tblLayout w:type="fixed"/>
        <w:tblCellMar>
          <w:top w:w="28" w:type="dxa"/>
          <w:left w:w="28" w:type="dxa"/>
          <w:bottom w:w="28" w:type="dxa"/>
          <w:right w:w="28" w:type="dxa"/>
        </w:tblCellMar>
      </w:tblPr>
      <w:tblGrid>
        <w:gridCol w:w="1246"/>
        <w:gridCol w:w="1089"/>
        <w:gridCol w:w="1099"/>
        <w:gridCol w:w="263"/>
        <w:gridCol w:w="507"/>
        <w:gridCol w:w="136"/>
        <w:gridCol w:w="263"/>
        <w:gridCol w:w="507"/>
        <w:gridCol w:w="140"/>
        <w:gridCol w:w="109"/>
        <w:gridCol w:w="109"/>
        <w:gridCol w:w="109"/>
        <w:gridCol w:w="211"/>
        <w:gridCol w:w="511"/>
        <w:gridCol w:w="109"/>
        <w:gridCol w:w="211"/>
        <w:gridCol w:w="51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we issued our annual share-based compensation grants under the Pentair plc 2020 Share and Incentive Plan to eligible employees. The total number of awards issued was approximately 0.4 million, of which 0.2 million were restricted stock units (“RSUs”), 0.1 million were stock options and 0.1 million were performance share units (“PSUs”). The weighted-average grant date fair value of the RSUs, stock options and PSUs issued was $99.59, $37.31 and $103.78, respectively.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estimated the fair value of each stock option award issued in the annual share-based compensation grant using a Black-Scholes option pricing model, modified for dividends and using the following assumptions:</w:t>
      </w:r>
    </w:p>
    <w:tbl>
      <w:tblPr>
        <w:tblW w:w="4008" w:type="dxa"/>
        <w:jc w:val="left"/>
        <w:tblInd w:w="0" w:type="dxa"/>
        <w:tblLayout w:type="fixed"/>
        <w:tblCellMar>
          <w:top w:w="28" w:type="dxa"/>
          <w:left w:w="28" w:type="dxa"/>
          <w:bottom w:w="28" w:type="dxa"/>
          <w:right w:w="28" w:type="dxa"/>
        </w:tblCellMar>
      </w:tblPr>
      <w:tblGrid>
        <w:gridCol w:w="945"/>
        <w:gridCol w:w="830"/>
        <w:gridCol w:w="835"/>
        <w:gridCol w:w="324"/>
        <w:gridCol w:w="292"/>
        <w:gridCol w:w="782"/>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Annual Grant</w:t>
            </w:r>
          </w:p>
        </w:tc>
      </w:tr>
      <w:tr>
        <w:trPr/>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share price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Restructuring and Transformation Program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initiated and continued execution of activities associated with our Transformation Program as well as initiated and continued certain business restructuring initiatives aimed at reducing our fixed cost structure and realigning our business. Restructuring initiatives included a reduction in hourly and salaried headcount of approximately 245 employees during the six months ended June 30, 2026.</w:t>
      </w:r>
    </w:p>
    <w:p>
      <w:pPr>
        <w:pStyle w:val="TextBody"/>
        <w:bidi w:val="0"/>
        <w:spacing w:lineRule="auto" w:line="288" w:before="180" w:after="180"/>
        <w:jc w:val="both"/>
        <w:rPr/>
      </w:pPr>
      <w:r>
        <w:rPr>
          <w:rFonts w:ascii="Times New Roman;serif" w:hAnsi="Times New Roman;serif"/>
          <w:b w:val="false"/>
          <w:color w:val="000000"/>
          <w:sz w:val="20"/>
        </w:rPr>
        <w:t xml:space="preserve">Restructuring and transformation-related costs included within </w:t>
      </w:r>
      <w:r>
        <w:rPr>
          <w:rFonts w:ascii="Times New Roman;serif" w:hAnsi="Times New Roman;serif"/>
          <w:b w:val="false"/>
          <w:i/>
          <w:color w:val="000000"/>
          <w:sz w:val="20"/>
        </w:rPr>
        <w:t xml:space="preserve">Cost of goods sold </w:t>
      </w:r>
      <w:r>
        <w:rPr>
          <w:rFonts w:ascii="Times New Roman;serif" w:hAnsi="Times New Roman;serif"/>
          <w:b w:val="false"/>
          <w:color w:val="000000"/>
          <w:sz w:val="20"/>
        </w:rPr>
        <w:t xml:space="preserve">and </w:t>
      </w:r>
      <w:r>
        <w:rPr>
          <w:rFonts w:ascii="Times New Roman;serif" w:hAnsi="Times New Roman;serif"/>
          <w:b w:val="false"/>
          <w:i/>
          <w:color w:val="000000"/>
          <w:sz w:val="20"/>
        </w:rPr>
        <w:t>Selling, general and administrative</w:t>
      </w:r>
      <w:r>
        <w:rPr>
          <w:color w:val="000000"/>
        </w:rPr>
        <w:t xml:space="preserve"> </w:t>
      </w:r>
      <w:r>
        <w:rPr>
          <w:rFonts w:ascii="Times New Roman;serif" w:hAnsi="Times New Roman;serif"/>
          <w:b w:val="false"/>
          <w:color w:val="000000"/>
          <w:sz w:val="20"/>
        </w:rPr>
        <w:t>expense in the Condensed Consolidated Statements of Operations and Comprehensive Income included the following:</w:t>
      </w:r>
      <w:r>
        <w:rPr>
          <w:color w:val="000000"/>
        </w:rPr>
        <w:t> </w:t>
      </w:r>
    </w:p>
    <w:tbl>
      <w:tblPr>
        <w:tblW w:w="10205" w:type="dxa"/>
        <w:jc w:val="left"/>
        <w:tblInd w:w="0" w:type="dxa"/>
        <w:tblLayout w:type="fixed"/>
        <w:tblCellMar>
          <w:top w:w="28" w:type="dxa"/>
          <w:left w:w="28" w:type="dxa"/>
          <w:bottom w:w="28" w:type="dxa"/>
          <w:right w:w="28" w:type="dxa"/>
        </w:tblCellMar>
      </w:tblPr>
      <w:tblGrid>
        <w:gridCol w:w="1903"/>
        <w:gridCol w:w="1612"/>
        <w:gridCol w:w="1620"/>
        <w:gridCol w:w="303"/>
        <w:gridCol w:w="735"/>
        <w:gridCol w:w="156"/>
        <w:gridCol w:w="303"/>
        <w:gridCol w:w="735"/>
        <w:gridCol w:w="159"/>
        <w:gridCol w:w="143"/>
        <w:gridCol w:w="143"/>
        <w:gridCol w:w="143"/>
        <w:gridCol w:w="277"/>
        <w:gridCol w:w="673"/>
        <w:gridCol w:w="143"/>
        <w:gridCol w:w="277"/>
        <w:gridCol w:w="673"/>
        <w:gridCol w:w="207"/>
      </w:tblGrid>
      <w:tr>
        <w:trPr/>
        <w:tc>
          <w:tcPr>
            <w:tcW w:w="19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5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10205" w:type="dxa"/>
            <w:gridSpan w:val="1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Initiatives</w:t>
            </w:r>
          </w:p>
        </w:tc>
      </w:tr>
      <w:tr>
        <w:trPr/>
        <w:tc>
          <w:tcPr>
            <w:tcW w:w="5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related costs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restructuring costs and related adjustments </w:t>
            </w:r>
            <w:r>
              <w:rPr>
                <w:rFonts w:ascii="Times New Roman;serif" w:hAnsi="Times New Roman;serif"/>
                <w:b w:val="false"/>
                <w:color w:val="000000"/>
                <w:sz w:val="13"/>
              </w:rPr>
              <w:t>(1)</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costs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Transformation Program</w:t>
            </w:r>
          </w:p>
        </w:tc>
      </w:tr>
      <w:tr>
        <w:trPr/>
        <w:tc>
          <w:tcPr>
            <w:tcW w:w="513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5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transformation costs </w:t>
            </w:r>
            <w:r>
              <w:rPr>
                <w:rFonts w:ascii="Times New Roman;serif" w:hAnsi="Times New Roman;serif"/>
                <w:b w:val="false"/>
                <w:color w:val="000000"/>
                <w:sz w:val="13"/>
              </w:rPr>
              <w:t>(2)</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transformation costs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transformation costs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double" w:sz="8" w:space="0" w:color="000000"/>
            </w:tcBorders>
            <w:tcMar>
              <w:top w:w="30" w:type="dxa"/>
              <w:left w:w="0" w:type="dxa"/>
              <w:bottom w:w="0" w:type="dxa"/>
              <w:right w:w="0" w:type="dxa"/>
            </w:tcMar>
            <w:vAlign w:val="center"/>
          </w:tcPr>
          <w:p>
            <w:pPr>
              <w:pStyle w:val="TableContents"/>
              <w:bidi w:val="0"/>
              <w:spacing w:lineRule="auto" w:line="256" w:before="0" w:after="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Other restructuring costs and related adjustments primarily consist of certain accruals and related refinements as well as various contract termination costs.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56" w:before="0" w:after="0"/>
              <w:jc w:val="both"/>
              <w:rPr/>
            </w:pPr>
            <w:r>
              <w:rPr>
                <w:rFonts w:ascii="Times New Roman;serif" w:hAnsi="Times New Roman;serif"/>
                <w:b w:val="false"/>
                <w:color w:val="000000"/>
                <w:sz w:val="13"/>
              </w:rPr>
              <w:t xml:space="preserve">(2) </w:t>
            </w:r>
            <w:r>
              <w:rPr>
                <w:rFonts w:ascii="Times New Roman;serif" w:hAnsi="Times New Roman;serif"/>
                <w:b w:val="false"/>
                <w:color w:val="000000"/>
                <w:sz w:val="18"/>
              </w:rPr>
              <w:t>Other transformation costs primarily consist of professional services and project management related costs.</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Restructuring and transformation costs by reportable segment as well as Corporate and other were as follows:</w:t>
      </w:r>
    </w:p>
    <w:tbl>
      <w:tblPr>
        <w:tblW w:w="7507" w:type="dxa"/>
        <w:jc w:val="left"/>
        <w:tblInd w:w="0" w:type="dxa"/>
        <w:tblLayout w:type="fixed"/>
        <w:tblCellMar>
          <w:top w:w="28" w:type="dxa"/>
          <w:left w:w="28" w:type="dxa"/>
          <w:bottom w:w="28" w:type="dxa"/>
          <w:right w:w="28" w:type="dxa"/>
        </w:tblCellMar>
      </w:tblPr>
      <w:tblGrid>
        <w:gridCol w:w="1327"/>
        <w:gridCol w:w="1161"/>
        <w:gridCol w:w="1171"/>
        <w:gridCol w:w="230"/>
        <w:gridCol w:w="558"/>
        <w:gridCol w:w="119"/>
        <w:gridCol w:w="230"/>
        <w:gridCol w:w="558"/>
        <w:gridCol w:w="119"/>
        <w:gridCol w:w="109"/>
        <w:gridCol w:w="109"/>
        <w:gridCol w:w="109"/>
        <w:gridCol w:w="211"/>
        <w:gridCol w:w="511"/>
        <w:gridCol w:w="109"/>
        <w:gridCol w:w="211"/>
        <w:gridCol w:w="511"/>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restructuring and transformation costs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Activity related to accrued severance and related costs associated with restructuring and transformation activities recorded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in the Condensed Consolidated Balance Sheets is summarized as follows for the six months ended June 30, 2026:</w:t>
      </w:r>
      <w:r>
        <w:rPr>
          <w:color w:val="000000"/>
        </w:rPr>
        <w:t> </w:t>
      </w:r>
    </w:p>
    <w:tbl>
      <w:tblPr>
        <w:tblW w:w="3036" w:type="dxa"/>
        <w:jc w:val="left"/>
        <w:tblInd w:w="0" w:type="dxa"/>
        <w:tblLayout w:type="fixed"/>
        <w:tblCellMar>
          <w:top w:w="28" w:type="dxa"/>
          <w:left w:w="28" w:type="dxa"/>
          <w:bottom w:w="28" w:type="dxa"/>
          <w:right w:w="28" w:type="dxa"/>
        </w:tblCellMar>
      </w:tblPr>
      <w:tblGrid>
        <w:gridCol w:w="783"/>
        <w:gridCol w:w="684"/>
        <w:gridCol w:w="693"/>
        <w:gridCol w:w="211"/>
        <w:gridCol w:w="51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5.    Earnings Per Share</w:t>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Basic and diluted earnings per share were calculated as follows:</w:t>
      </w:r>
    </w:p>
    <w:tbl>
      <w:tblPr>
        <w:tblW w:w="10205" w:type="dxa"/>
        <w:jc w:val="left"/>
        <w:tblInd w:w="0" w:type="dxa"/>
        <w:tblLayout w:type="fixed"/>
        <w:tblCellMar>
          <w:top w:w="28" w:type="dxa"/>
          <w:left w:w="28" w:type="dxa"/>
          <w:bottom w:w="28" w:type="dxa"/>
          <w:right w:w="28" w:type="dxa"/>
        </w:tblCellMar>
      </w:tblPr>
      <w:tblGrid>
        <w:gridCol w:w="2244"/>
        <w:gridCol w:w="1920"/>
        <w:gridCol w:w="1924"/>
        <w:gridCol w:w="211"/>
        <w:gridCol w:w="616"/>
        <w:gridCol w:w="109"/>
        <w:gridCol w:w="211"/>
        <w:gridCol w:w="616"/>
        <w:gridCol w:w="109"/>
        <w:gridCol w:w="109"/>
        <w:gridCol w:w="109"/>
        <w:gridCol w:w="109"/>
        <w:gridCol w:w="211"/>
        <w:gridCol w:w="616"/>
        <w:gridCol w:w="109"/>
        <w:gridCol w:w="211"/>
        <w:gridCol w:w="616"/>
        <w:gridCol w:w="155"/>
      </w:tblGrid>
      <w:tr>
        <w:trPr/>
        <w:tc>
          <w:tcPr>
            <w:tcW w:w="2244"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6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Net income from continuing operations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outstanding</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Dilutive impact of stock options, restricted stock units and performance share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ordinary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ordinary share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Anti-dilutive stock options excluded from the calculation of diluted earnings per share</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Accounts Receivable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We review our allowance for credit losses on a quarterly basis. Write-offs are recorded at the time all collection efforts have been exhausted. We generally do not require collateral.</w:t>
      </w:r>
    </w:p>
    <w:p>
      <w:pPr>
        <w:pStyle w:val="TextBody"/>
        <w:bidi w:val="0"/>
        <w:spacing w:lineRule="auto" w:line="288" w:before="0" w:after="0"/>
        <w:jc w:val="both"/>
        <w:rPr/>
      </w:pPr>
      <w:r>
        <w:rPr>
          <w:rFonts w:ascii="Times New Roman;serif" w:hAnsi="Times New Roman;serif"/>
          <w:b w:val="false"/>
          <w:color w:val="000000"/>
          <w:sz w:val="20"/>
        </w:rPr>
        <w:t>Activity related to our allowance for credit losses is summarized as follows for the six months ended June 30, 2026:</w:t>
      </w:r>
      <w:r>
        <w:rPr>
          <w:color w:val="000000"/>
        </w:rPr>
        <w:t> </w:t>
      </w:r>
    </w:p>
    <w:tbl>
      <w:tblPr>
        <w:tblW w:w="3318" w:type="dxa"/>
        <w:jc w:val="left"/>
        <w:tblInd w:w="0" w:type="dxa"/>
        <w:tblLayout w:type="fixed"/>
        <w:tblCellMar>
          <w:top w:w="28" w:type="dxa"/>
          <w:left w:w="28" w:type="dxa"/>
          <w:bottom w:w="28" w:type="dxa"/>
          <w:right w:w="28" w:type="dxa"/>
        </w:tblCellMar>
      </w:tblPr>
      <w:tblGrid>
        <w:gridCol w:w="853"/>
        <w:gridCol w:w="746"/>
        <w:gridCol w:w="756"/>
        <w:gridCol w:w="235"/>
        <w:gridCol w:w="453"/>
        <w:gridCol w:w="12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benefit</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3"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7.    Supplemental Balance Sheet Information</w:t>
      </w:r>
    </w:p>
    <w:tbl>
      <w:tblPr>
        <w:tblW w:w="6605" w:type="dxa"/>
        <w:jc w:val="left"/>
        <w:tblInd w:w="0" w:type="dxa"/>
        <w:tblLayout w:type="fixed"/>
        <w:tblCellMar>
          <w:top w:w="28" w:type="dxa"/>
          <w:left w:w="28" w:type="dxa"/>
          <w:bottom w:w="28" w:type="dxa"/>
          <w:right w:w="28" w:type="dxa"/>
        </w:tblCellMar>
      </w:tblPr>
      <w:tblGrid>
        <w:gridCol w:w="1578"/>
        <w:gridCol w:w="1385"/>
        <w:gridCol w:w="1401"/>
        <w:gridCol w:w="211"/>
        <w:gridCol w:w="616"/>
        <w:gridCol w:w="109"/>
        <w:gridCol w:w="280"/>
        <w:gridCol w:w="819"/>
        <w:gridCol w:w="206"/>
      </w:tblGrid>
      <w:tr>
        <w:trPr/>
        <w:tc>
          <w:tcPr>
            <w:tcW w:w="15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assets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in excess of billings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assets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 and incentives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freight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Self-insurance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and interest rate contract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8.    Goodwill and Other Identifiable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reportable segment were as follows:</w:t>
      </w:r>
    </w:p>
    <w:tbl>
      <w:tblPr>
        <w:tblW w:w="8195" w:type="dxa"/>
        <w:jc w:val="left"/>
        <w:tblInd w:w="0" w:type="dxa"/>
        <w:tblLayout w:type="fixed"/>
        <w:tblCellMar>
          <w:top w:w="28" w:type="dxa"/>
          <w:left w:w="28" w:type="dxa"/>
          <w:bottom w:w="28" w:type="dxa"/>
          <w:right w:w="28" w:type="dxa"/>
        </w:tblCellMar>
      </w:tblPr>
      <w:tblGrid>
        <w:gridCol w:w="517"/>
        <w:gridCol w:w="452"/>
        <w:gridCol w:w="456"/>
        <w:gridCol w:w="245"/>
        <w:gridCol w:w="889"/>
        <w:gridCol w:w="126"/>
        <w:gridCol w:w="109"/>
        <w:gridCol w:w="109"/>
        <w:gridCol w:w="309"/>
        <w:gridCol w:w="925"/>
        <w:gridCol w:w="161"/>
        <w:gridCol w:w="211"/>
        <w:gridCol w:w="766"/>
        <w:gridCol w:w="109"/>
        <w:gridCol w:w="419"/>
        <w:gridCol w:w="1044"/>
        <w:gridCol w:w="217"/>
        <w:gridCol w:w="211"/>
        <w:gridCol w:w="766"/>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Reallocation </w:t>
            </w:r>
            <w:r>
              <w:rPr>
                <w:rFonts w:ascii="Times New Roman;serif" w:hAnsi="Times New Roman;serif"/>
                <w:b/>
                <w:color w:val="000000"/>
                <w:sz w:val="13"/>
              </w:rPr>
              <w:t>(1)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1,</w:t>
              <w:br/>
              <w:t>2026</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Foreign Currency </w:t>
              <w:br/>
              <w:t>Translation</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the first quarter of 2026, we reorganized the composition of our reportable segments, as disclosed in Note 1, which resulted in a change to our reporting unit structure. A quantitative assessment was performed for the impacted reporting units, using the income and market approaches. The estimated fair values of the impacted reporting units significantly exceeded the carrying values, and therefore, no impairment charge was recorded. As a result of the assessment, we reallocated $44.2 million of goodwill from the Flow segment to the Water Solutions segment based on the relative fair values of the impacted reporting units. In addition, $282.1 million was reallocated from the Flow segment to the Water Solutions segment prospectively to conform to the new segment composition.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assets consisted of the following:</w:t>
      </w:r>
    </w:p>
    <w:tbl>
      <w:tblPr>
        <w:tblW w:w="10117" w:type="dxa"/>
        <w:jc w:val="left"/>
        <w:tblInd w:w="0" w:type="dxa"/>
        <w:tblLayout w:type="fixed"/>
        <w:tblCellMar>
          <w:top w:w="28" w:type="dxa"/>
          <w:left w:w="28" w:type="dxa"/>
          <w:bottom w:w="28" w:type="dxa"/>
          <w:right w:w="28" w:type="dxa"/>
        </w:tblCellMar>
      </w:tblPr>
      <w:tblGrid>
        <w:gridCol w:w="1074"/>
        <w:gridCol w:w="940"/>
        <w:gridCol w:w="955"/>
        <w:gridCol w:w="211"/>
        <w:gridCol w:w="766"/>
        <w:gridCol w:w="109"/>
        <w:gridCol w:w="269"/>
        <w:gridCol w:w="806"/>
        <w:gridCol w:w="141"/>
        <w:gridCol w:w="211"/>
        <w:gridCol w:w="766"/>
        <w:gridCol w:w="109"/>
        <w:gridCol w:w="109"/>
        <w:gridCol w:w="109"/>
        <w:gridCol w:w="109"/>
        <w:gridCol w:w="211"/>
        <w:gridCol w:w="766"/>
        <w:gridCol w:w="109"/>
        <w:gridCol w:w="269"/>
        <w:gridCol w:w="806"/>
        <w:gridCol w:w="141"/>
        <w:gridCol w:w="211"/>
        <w:gridCol w:w="76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Definite-life intangibles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 and patents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definite-life intangibles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Indefinite-life intangibles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 amortization expense was $15.7 million and $14.3 million for the three months ended June 30, 2026 and 2025, and $31.4 million and $28.5 million for the six months ended June 30, 2026 and 2025, respectively.</w:t>
      </w:r>
    </w:p>
    <w:p>
      <w:pPr>
        <w:pStyle w:val="TextBody"/>
        <w:bidi w:val="0"/>
        <w:spacing w:lineRule="auto" w:line="288" w:before="180" w:after="283"/>
        <w:jc w:val="both"/>
        <w:rPr/>
      </w:pPr>
      <w:r>
        <w:rPr>
          <w:rFonts w:ascii="Times New Roman;serif" w:hAnsi="Times New Roman;serif"/>
          <w:b w:val="false"/>
          <w:color w:val="000000"/>
          <w:sz w:val="20"/>
        </w:rPr>
        <w:t xml:space="preserve">No impairment charge was recorded for identifiable intangible assets during the three and six months ended June 30, 2026. An impairment charge of $30.9 million was recorded during the three months and six months ended June 30, 2025 related to the write-off of a definite-lived customer relationship intangible asset resulting from a business exit within our Water Solutions segment during the second quarter of 2025. The impairment charge was recorded in </w:t>
      </w:r>
      <w:r>
        <w:rPr>
          <w:rFonts w:ascii="Times New Roman;serif" w:hAnsi="Times New Roman;serif"/>
          <w:b w:val="false"/>
          <w:i/>
          <w:color w:val="000000"/>
          <w:sz w:val="20"/>
        </w:rPr>
        <w:t xml:space="preserve">Selling, general and administrative </w:t>
      </w:r>
      <w:r>
        <w:rPr>
          <w:rFonts w:ascii="Times New Roman;serif" w:hAnsi="Times New Roman;serif"/>
          <w:b w:val="false"/>
          <w:color w:val="000000"/>
          <w:sz w:val="20"/>
        </w:rPr>
        <w:t>expense in the Condensed Consolidated Statements of Operations and Comprehensive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for identifiable intangible assets during the remainder of 2026 and the next five years is as follows:</w:t>
      </w:r>
    </w:p>
    <w:tbl>
      <w:tblPr>
        <w:tblW w:w="7745" w:type="dxa"/>
        <w:jc w:val="left"/>
        <w:tblInd w:w="0" w:type="dxa"/>
        <w:tblLayout w:type="fixed"/>
        <w:tblCellMar>
          <w:top w:w="28" w:type="dxa"/>
          <w:left w:w="28" w:type="dxa"/>
          <w:bottom w:w="28" w:type="dxa"/>
          <w:right w:w="28" w:type="dxa"/>
        </w:tblCellMar>
      </w:tblPr>
      <w:tblGrid>
        <w:gridCol w:w="984"/>
        <w:gridCol w:w="864"/>
        <w:gridCol w:w="866"/>
        <w:gridCol w:w="211"/>
        <w:gridCol w:w="511"/>
        <w:gridCol w:w="109"/>
        <w:gridCol w:w="211"/>
        <w:gridCol w:w="511"/>
        <w:gridCol w:w="109"/>
        <w:gridCol w:w="211"/>
        <w:gridCol w:w="511"/>
        <w:gridCol w:w="109"/>
        <w:gridCol w:w="211"/>
        <w:gridCol w:w="511"/>
        <w:gridCol w:w="109"/>
        <w:gridCol w:w="211"/>
        <w:gridCol w:w="511"/>
        <w:gridCol w:w="109"/>
        <w:gridCol w:w="211"/>
        <w:gridCol w:w="511"/>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 Q4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2031</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pPr>
      <w:r>
        <w:rPr/>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0" w:after="0"/>
        <w:jc w:val="both"/>
        <w:rPr/>
      </w:pPr>
      <w:r>
        <w:rPr>
          <w:rFonts w:ascii="Times New Roman;serif" w:hAnsi="Times New Roman;serif"/>
          <w:b w:val="false"/>
          <w:color w:val="000000"/>
          <w:sz w:val="20"/>
        </w:rPr>
        <w:t>Debt and the average interest rates on debt outstanding were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1344"/>
        <w:gridCol w:w="1155"/>
        <w:gridCol w:w="1169"/>
        <w:gridCol w:w="1059"/>
        <w:gridCol w:w="1059"/>
        <w:gridCol w:w="1063"/>
        <w:gridCol w:w="328"/>
        <w:gridCol w:w="328"/>
        <w:gridCol w:w="330"/>
        <w:gridCol w:w="211"/>
        <w:gridCol w:w="766"/>
        <w:gridCol w:w="109"/>
        <w:gridCol w:w="238"/>
        <w:gridCol w:w="868"/>
        <w:gridCol w:w="178"/>
      </w:tblGrid>
      <w:tr>
        <w:trPr/>
        <w:tc>
          <w:tcPr>
            <w:tcW w:w="134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interest rate as of June 30, 2026</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br/>
              <w:t>Year</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18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(Senior Credit Facility)</w:t>
            </w:r>
          </w:p>
        </w:tc>
        <w:tc>
          <w:tcPr>
            <w:tcW w:w="3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4.762%</w:t>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 (Senior Credit Facility)</w:t>
            </w:r>
          </w:p>
        </w:tc>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4.770%</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Term Loan Facility</w:t>
            </w:r>
          </w:p>
        </w:tc>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18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18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 - fixed rate</w:t>
            </w:r>
            <w:r>
              <w:rPr>
                <w:color w:val="000000"/>
              </w:rPr>
              <w:t xml:space="preserve"> </w:t>
            </w:r>
            <w:r>
              <w:rPr>
                <w:rFonts w:ascii="Times New Roman;serif" w:hAnsi="Times New Roman;serif"/>
                <w:b w:val="false"/>
                <w:color w:val="000000"/>
                <w:sz w:val="13"/>
              </w:rPr>
              <w:t>(1)</w:t>
            </w:r>
          </w:p>
        </w:tc>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 - fixed rate</w:t>
            </w:r>
            <w:r>
              <w:rPr>
                <w:color w:val="000000"/>
              </w:rPr>
              <w:t xml:space="preserve"> </w:t>
            </w:r>
            <w:r>
              <w:rPr>
                <w:rFonts w:ascii="Times New Roman;serif" w:hAnsi="Times New Roman;serif"/>
                <w:b w:val="false"/>
                <w:color w:val="000000"/>
                <w:sz w:val="13"/>
              </w:rPr>
              <w:t>(1)</w:t>
            </w:r>
          </w:p>
        </w:tc>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5.900%</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18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 and discounts</w:t>
            </w:r>
          </w:p>
        </w:tc>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18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18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Senior notes are guaranteed as to payment by Pentair plc.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Pentair, Pentair Finance S.à r.l (“PFSA”) and Pentair, Inc. are parties to a credit agreement (the “Senior Credit Facility”), with Pentair as guarantor and PFSA and Pentair, Inc. as borrowers, which was amended and restated in May 2025 and May 2026, providing for a $900.0 million senior unsecured revolving credit facility and a $500.0 million senior unsecured term loan facility. The revolving credit and term loan facilities have a maturity date of May 5, 2030. The term loan facility has required quarterly installment payments of $3.1 million beginning on the last day of the second quarter of 2027 and increasing to $6.3 million beginning with the last day of the second quarter of 2028.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total availability under the Senior Credit Facility was $580.0 million. Additionally, PFSA has the option to request to increase the revolving credit facility and/or to enter into one or more additional tranches of term loans in an aggregate amount of up to $450.0 million, subject to customary conditions, including the commitment of the participating lenders.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Pentair and PFSA were parties to a senior unsecured term loan facility (the “Prior Term Loan Facility”), with PFSA as borrower and Pentair as guarantor providing for an aggregate principal amount of $1.0 billion and a maturity date of July 28, 2027. In May 2026, PFSA repaid the remaining $575.0 million outstanding under the Prior Term Loan Facility using proceeds from borrowings under the amended Senior Credit Facility, and the Prior Term Loan Facility was terminated.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cash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Senior Credit Facility, we have various other credit facilities with an aggregate availability of $21.1 million, of which there were no outstanding borrowings at June 30, 2026. Borrowings under these credit facilities bear interest at variable rates.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$3.1 million of payments due in the next twelve months under the term loan facility of the Senior Credit Facility. We classified this debt as long-term as of June 30, 2026, as we have the intent and ability to refinance such obligation on a long-term basis utilizing the Senior Credit Facility’s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Debt outstanding, excluding unamortized issuance costs and discounts, at June 30, 2026 matures on a calendar year basis as follows:</w:t>
      </w:r>
    </w:p>
    <w:tbl>
      <w:tblPr>
        <w:tblW w:w="10205" w:type="dxa"/>
        <w:jc w:val="left"/>
        <w:tblInd w:w="0" w:type="dxa"/>
        <w:tblLayout w:type="fixed"/>
        <w:tblCellMar>
          <w:top w:w="28" w:type="dxa"/>
          <w:left w:w="28" w:type="dxa"/>
          <w:bottom w:w="28" w:type="dxa"/>
          <w:right w:w="28" w:type="dxa"/>
        </w:tblCellMar>
      </w:tblPr>
      <w:tblGrid>
        <w:gridCol w:w="1101"/>
        <w:gridCol w:w="960"/>
        <w:gridCol w:w="965"/>
        <w:gridCol w:w="221"/>
        <w:gridCol w:w="426"/>
        <w:gridCol w:w="114"/>
        <w:gridCol w:w="211"/>
        <w:gridCol w:w="406"/>
        <w:gridCol w:w="109"/>
        <w:gridCol w:w="211"/>
        <w:gridCol w:w="511"/>
        <w:gridCol w:w="109"/>
        <w:gridCol w:w="211"/>
        <w:gridCol w:w="616"/>
        <w:gridCol w:w="109"/>
        <w:gridCol w:w="211"/>
        <w:gridCol w:w="616"/>
        <w:gridCol w:w="109"/>
        <w:gridCol w:w="211"/>
        <w:gridCol w:w="406"/>
        <w:gridCol w:w="109"/>
        <w:gridCol w:w="109"/>
        <w:gridCol w:w="230"/>
        <w:gridCol w:w="671"/>
        <w:gridCol w:w="120"/>
        <w:gridCol w:w="211"/>
        <w:gridCol w:w="766"/>
        <w:gridCol w:w="156"/>
      </w:tblGrid>
      <w:tr>
        <w:trPr/>
        <w:tc>
          <w:tcPr>
            <w:tcW w:w="110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 Q4</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2031</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Contractual debt obligation maturities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Derivatives and Financial Instruments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had outstanding foreign currency derivative contracts with gross notional U.S. dollar equivalent amounts of $57.4 million and $23.2 million, respectively. The impact of these contracts on the Condensed Consolidated Statements of Operations and Comprehensive Income was not material for any period presented.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Cross currency swaps</w:t>
      </w:r>
    </w:p>
    <w:p>
      <w:pPr>
        <w:pStyle w:val="TextBody"/>
        <w:bidi w:val="0"/>
        <w:spacing w:lineRule="auto" w:line="288" w:before="0" w:after="0"/>
        <w:jc w:val="both"/>
        <w:rPr/>
      </w:pPr>
      <w:r>
        <w:rPr>
          <w:rFonts w:ascii="Times New Roman;serif" w:hAnsi="Times New Roman;serif"/>
          <w:b w:val="false"/>
          <w:color w:val="000000"/>
          <w:sz w:val="20"/>
        </w:rPr>
        <w:t xml:space="preserve">At June 30, 2026 and December 31, 2025, we had outstanding cross currency swap agreements with a combined notional amount of $1.0 billion and $1.1 billion,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$51.1 million and $68.0 million at June 30, 2026 and December 31, 2025, respectively, recorded in </w:t>
      </w:r>
      <w:r>
        <w:rPr>
          <w:rFonts w:ascii="Times New Roman;serif" w:hAnsi="Times New Roman;serif"/>
          <w:b w:val="false"/>
          <w:i/>
          <w:color w:val="000000"/>
          <w:sz w:val="20"/>
        </w:rPr>
        <w:t>Accumulated other comprehensive loss</w:t>
      </w:r>
      <w:r>
        <w:rPr>
          <w:color w:val="000000"/>
        </w:rPr>
        <w:t xml:space="preserve"> </w:t>
      </w:r>
      <w:r>
        <w:rPr>
          <w:rFonts w:ascii="Times New Roman;serif" w:hAnsi="Times New Roman;serif"/>
          <w:b w:val="false"/>
          <w:color w:val="000000"/>
          <w:sz w:val="20"/>
        </w:rPr>
        <w:t>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Hedging of variable interest rates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our exposure to certain interest rate risks related to our variable-rate debt through the use of interest rate swaps and collars. We enter into these agreements to hedge the variability of interest expense and cash flows attributable to changes in interest rates of our variable-rate debt. As of June 30, 2026, we had an aggregate notional amount of $200.0 million in interest rate collars that are designated as cash flow hedges. The $300.0 million aggregate notional amount of interest rate swaps, previously designated as cash flow hedges, expired on April 15, 2026. As of June 30, 2026, there were no interest rate swaps outstanding.</w:t>
      </w:r>
    </w:p>
    <w:p>
      <w:pPr>
        <w:pStyle w:val="TextBody"/>
        <w:bidi w:val="0"/>
        <w:spacing w:lineRule="auto" w:line="288" w:before="180" w:after="180"/>
        <w:jc w:val="both"/>
        <w:rPr/>
      </w:pPr>
      <w:r>
        <w:rPr>
          <w:rFonts w:ascii="Times New Roman;serif" w:hAnsi="Times New Roman;serif"/>
          <w:b w:val="false"/>
          <w:color w:val="000000"/>
          <w:sz w:val="20"/>
        </w:rPr>
        <w:t xml:space="preserve">Unrealized gains and losses related to the fair value of the interest rate swaps and collars are recorded in </w:t>
      </w:r>
      <w:r>
        <w:rPr>
          <w:rFonts w:ascii="Times New Roman;serif" w:hAnsi="Times New Roman;serif"/>
          <w:b w:val="false"/>
          <w:i/>
          <w:color w:val="000000"/>
          <w:sz w:val="20"/>
        </w:rPr>
        <w:t xml:space="preserve">Accumulated other comprehensive loss </w:t>
      </w:r>
      <w:r>
        <w:rPr>
          <w:rFonts w:ascii="Times New Roman;serif" w:hAnsi="Times New Roman;serif"/>
          <w:b w:val="false"/>
          <w:color w:val="000000"/>
          <w:sz w:val="20"/>
        </w:rPr>
        <w:t xml:space="preserve">on our Condensed Consolidated Balance Sheets. We had an unrealized gain of $0.2 million at June 30, 2026 and an unrealized loss of $0.2 million at December 31, 2025, recorded in </w:t>
      </w:r>
      <w:r>
        <w:rPr>
          <w:rFonts w:ascii="Times New Roman;serif" w:hAnsi="Times New Roman;serif"/>
          <w:b w:val="false"/>
          <w:i/>
          <w:color w:val="000000"/>
          <w:sz w:val="20"/>
        </w:rPr>
        <w:t>Accumulated other comprehensive loss</w:t>
      </w:r>
      <w:r>
        <w:rPr>
          <w:color w:val="000000"/>
        </w:rPr>
        <w:t xml:space="preserve"> </w:t>
      </w:r>
      <w:r>
        <w:rPr>
          <w:rFonts w:ascii="Times New Roman;serif" w:hAnsi="Times New Roman;serif"/>
          <w:b w:val="false"/>
          <w:color w:val="000000"/>
          <w:sz w:val="20"/>
        </w:rPr>
        <w:t>associated with our interest rate swap and collar activity. The periodic interest settlements related to our interest rate swaps and collars are classified as operating activities.</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2716"/>
        <w:gridCol w:w="2663"/>
        <w:gridCol w:w="3771"/>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based on observable inputs such as quoted market prices (unadjusted) for identical assets or liabilities in active markets.</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based upon other unobservable inputs that are significant to the fair value measurement.</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0"/>
        <w:jc w:val="both"/>
        <w:rPr/>
      </w:pPr>
      <w:r>
        <w:rPr>
          <w:rFonts w:ascii="Times New Roman;serif" w:hAnsi="Times New Roman;serif"/>
          <w:b w:val="false"/>
          <w:color w:val="000000"/>
          <w:sz w:val="20"/>
        </w:rPr>
        <w:t>The following methods were used to estimate the fair values of each class of financial instrument:</w:t>
      </w:r>
      <w:r>
        <w:rPr>
          <w:color w:val="000000"/>
        </w:rPr>
        <w:t>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short-term financial instruments (cash and cash equivalents, accounts and notes receivable, accounts payable and variable-rate debt)</w:t>
      </w:r>
      <w:r>
        <w:rPr>
          <w:color w:val="000000"/>
        </w:rPr>
        <w:t xml:space="preserve"> — </w:t>
      </w:r>
      <w:r>
        <w:rPr>
          <w:rFonts w:ascii="Times New Roman;serif" w:hAnsi="Times New Roman;serif"/>
          <w:b w:val="false"/>
          <w:color w:val="000000"/>
          <w:sz w:val="20"/>
        </w:rPr>
        <w:t>recorded amount approximates fair value because of the short maturity period;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long-term fixed-rate debt, including current maturities</w:t>
      </w:r>
      <w:r>
        <w:rPr>
          <w:color w:val="000000"/>
        </w:rPr>
        <w:t xml:space="preserve"> — </w:t>
      </w:r>
      <w:r>
        <w:rPr>
          <w:rFonts w:ascii="Times New Roman;serif" w:hAnsi="Times New Roman;serif"/>
          <w:b w:val="false"/>
          <w:color w:val="000000"/>
          <w:sz w:val="20"/>
        </w:rPr>
        <w:t>fair value is based on market quotes available for issuance of debt with similar terms, which are inputs that are classified as Level 2 in the valuation hierarchy defined above;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foreign currency contracts, interest rate swap and collar agreements</w:t>
      </w:r>
      <w:r>
        <w:rPr>
          <w:color w:val="000000"/>
        </w:rPr>
        <w:t xml:space="preserve"> — </w:t>
      </w:r>
      <w:r>
        <w:rPr>
          <w:rFonts w:ascii="Times New Roman;serif" w:hAnsi="Times New Roman;serif"/>
          <w:b w:val="false"/>
          <w:color w:val="000000"/>
          <w:sz w:val="20"/>
        </w:rPr>
        <w:t>fair values are determined through the use of models that consider various assumptions, including time value, yield curves, as well as other relevant economic measures, which are inputs that are classified as Level 2 in the valuation hierarchy defined above;</w:t>
      </w:r>
    </w:p>
    <w:p>
      <w:pPr>
        <w:pStyle w:val="TextBody"/>
        <w:bidi w:val="0"/>
        <w:spacing w:lineRule="auto" w:line="288" w:before="180" w:after="120"/>
        <w:ind w:left="0" w:right="0" w:hanging="360"/>
        <w:jc w:val="both"/>
        <w:rPr/>
      </w:pPr>
      <w:r>
        <w:rPr>
          <w:color w:val="000000"/>
        </w:rPr>
        <w:t>•</w:t>
      </w:r>
      <w:r>
        <w:rPr>
          <w:rFonts w:ascii="Times New Roman;serif" w:hAnsi="Times New Roman;serif"/>
          <w:b w:val="false"/>
          <w:i/>
          <w:color w:val="000000"/>
          <w:sz w:val="20"/>
        </w:rPr>
        <w:t>deferred compensation plan assets (mutual funds and cash equivalents for payment of certain non-qualified benefits for retired, terminated and active employees)</w:t>
      </w:r>
      <w:r>
        <w:rPr>
          <w:color w:val="000000"/>
        </w:rPr>
        <w:t xml:space="preserve"> — </w:t>
      </w:r>
      <w:r>
        <w:rPr>
          <w:rFonts w:ascii="Times New Roman;serif" w:hAnsi="Times New Roman;serif"/>
          <w:b w:val="false"/>
          <w:color w:val="000000"/>
          <w:sz w:val="20"/>
        </w:rPr>
        <w:t xml:space="preserve">fair value of mutual funds and cash equivalents are based on quoted market prices in active markets that are classified as Level 1 in the valuation hierarchy defined above; and </w:t>
      </w:r>
    </w:p>
    <w:p>
      <w:pPr>
        <w:pStyle w:val="TextBody"/>
        <w:bidi w:val="0"/>
        <w:spacing w:lineRule="auto" w:line="288" w:before="180" w:after="120"/>
        <w:ind w:left="0" w:right="0" w:hanging="360"/>
        <w:jc w:val="both"/>
        <w:rPr/>
      </w:pPr>
      <w:r>
        <w:rPr>
          <w:color w:val="000000"/>
        </w:rPr>
        <w:t>•</w:t>
      </w:r>
      <w:r>
        <w:rPr>
          <w:rFonts w:ascii="Times New Roman;serif" w:hAnsi="Times New Roman;serif"/>
          <w:b w:val="false"/>
          <w:i/>
          <w:color w:val="000000"/>
          <w:sz w:val="20"/>
        </w:rPr>
        <w:t>contingent earn-out liabilities</w:t>
      </w:r>
      <w:r>
        <w:rPr>
          <w:color w:val="000000"/>
        </w:rPr>
        <w:t xml:space="preserve"> — </w:t>
      </w:r>
      <w:r>
        <w:rPr>
          <w:rFonts w:ascii="Times New Roman;serif" w:hAnsi="Times New Roman;serif"/>
          <w:b w:val="false"/>
          <w:color w:val="000000"/>
          <w:sz w:val="20"/>
        </w:rPr>
        <w:t>fair value is generally established using a probability-weighted discounted income approach to convert future estimated cash flows to a single present value amount. The related inputs are classified as Level 3 in the valuation hierarchy defined above.</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The recorded amounts and estimated fair values of total debt, excluding unamortized issuance costs and discounts, were as follows:</w:t>
      </w:r>
    </w:p>
    <w:tbl>
      <w:tblPr>
        <w:tblW w:w="6276" w:type="dxa"/>
        <w:jc w:val="left"/>
        <w:tblInd w:w="0" w:type="dxa"/>
        <w:tblLayout w:type="fixed"/>
        <w:tblCellMar>
          <w:top w:w="28" w:type="dxa"/>
          <w:left w:w="28" w:type="dxa"/>
          <w:bottom w:w="28" w:type="dxa"/>
          <w:right w:w="28" w:type="dxa"/>
        </w:tblCellMar>
      </w:tblPr>
      <w:tblGrid>
        <w:gridCol w:w="566"/>
        <w:gridCol w:w="495"/>
        <w:gridCol w:w="499"/>
        <w:gridCol w:w="211"/>
        <w:gridCol w:w="766"/>
        <w:gridCol w:w="109"/>
        <w:gridCol w:w="211"/>
        <w:gridCol w:w="766"/>
        <w:gridCol w:w="109"/>
        <w:gridCol w:w="109"/>
        <w:gridCol w:w="109"/>
        <w:gridCol w:w="109"/>
        <w:gridCol w:w="211"/>
        <w:gridCol w:w="766"/>
        <w:gridCol w:w="109"/>
        <w:gridCol w:w="211"/>
        <w:gridCol w:w="766"/>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Recorded</w:t>
              <w:br/>
              <w:t>Amount</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Recorded</w:t>
              <w:br/>
              <w:t>Amount</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measured at fair value on a recurring and nonrecurring basis were as follows:</w:t>
      </w:r>
    </w:p>
    <w:tbl>
      <w:tblPr>
        <w:tblW w:w="6927" w:type="dxa"/>
        <w:jc w:val="left"/>
        <w:tblInd w:w="0" w:type="dxa"/>
        <w:tblLayout w:type="fixed"/>
        <w:tblCellMar>
          <w:top w:w="28" w:type="dxa"/>
          <w:left w:w="28" w:type="dxa"/>
          <w:bottom w:w="28" w:type="dxa"/>
          <w:right w:w="28" w:type="dxa"/>
        </w:tblCellMar>
      </w:tblPr>
      <w:tblGrid>
        <w:gridCol w:w="1206"/>
        <w:gridCol w:w="1057"/>
        <w:gridCol w:w="1066"/>
        <w:gridCol w:w="211"/>
        <w:gridCol w:w="511"/>
        <w:gridCol w:w="109"/>
        <w:gridCol w:w="211"/>
        <w:gridCol w:w="586"/>
        <w:gridCol w:w="109"/>
        <w:gridCol w:w="211"/>
        <w:gridCol w:w="481"/>
        <w:gridCol w:w="109"/>
        <w:gridCol w:w="109"/>
        <w:gridCol w:w="211"/>
        <w:gridCol w:w="58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7"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951" w:type="dxa"/>
            <w:gridSpan w:val="3"/>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contract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earn-out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 fair value measurements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tbl>
      <w:tblPr>
        <w:tblW w:w="7227" w:type="dxa"/>
        <w:jc w:val="left"/>
        <w:tblInd w:w="0" w:type="dxa"/>
        <w:tblLayout w:type="fixed"/>
        <w:tblCellMar>
          <w:top w:w="28" w:type="dxa"/>
          <w:left w:w="28" w:type="dxa"/>
          <w:bottom w:w="28" w:type="dxa"/>
          <w:right w:w="28" w:type="dxa"/>
        </w:tblCellMar>
      </w:tblPr>
      <w:tblGrid>
        <w:gridCol w:w="1315"/>
        <w:gridCol w:w="1152"/>
        <w:gridCol w:w="1162"/>
        <w:gridCol w:w="211"/>
        <w:gridCol w:w="511"/>
        <w:gridCol w:w="109"/>
        <w:gridCol w:w="211"/>
        <w:gridCol w:w="586"/>
        <w:gridCol w:w="109"/>
        <w:gridCol w:w="211"/>
        <w:gridCol w:w="481"/>
        <w:gridCol w:w="109"/>
        <w:gridCol w:w="109"/>
        <w:gridCol w:w="211"/>
        <w:gridCol w:w="58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7"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951" w:type="dxa"/>
            <w:gridSpan w:val="3"/>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contract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compensation plan assets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earn-out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 fair value measurements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Nonrecurring fair value measurements </w:t>
            </w:r>
            <w:r>
              <w:rPr>
                <w:rFonts w:ascii="Times New Roman;serif" w:hAnsi="Times New Roman;serif"/>
                <w:b/>
                <w:color w:val="000000"/>
                <w:sz w:val="13"/>
              </w:rPr>
              <w:t>(1)</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During the year ended December 31, 2025, we recorded an impairment charge on a definite-lived customer relationship intangible asset of $30.9 million. We determined the value using unobservable inputs and wrote the balance of the definite-lived intangible asset to zero. The impairment charge was recorded in </w:t>
      </w:r>
      <w:r>
        <w:rPr>
          <w:rFonts w:ascii="Times New Roman;serif" w:hAnsi="Times New Roman;serif"/>
          <w:b w:val="false"/>
          <w:i/>
          <w:color w:val="000000"/>
          <w:sz w:val="18"/>
        </w:rPr>
        <w:t>Selling, general and administrative</w:t>
      </w:r>
      <w:r>
        <w:rPr>
          <w:color w:val="000000"/>
        </w:rPr>
        <w:t xml:space="preserve"> </w:t>
      </w:r>
      <w:r>
        <w:rPr>
          <w:rFonts w:ascii="Times New Roman;serif" w:hAnsi="Times New Roman;serif"/>
          <w:b w:val="false"/>
          <w:color w:val="000000"/>
          <w:sz w:val="18"/>
        </w:rPr>
        <w:t>expense in the Condensed Consolidated Statements of Operations and Comprehensive Income.</w:t>
      </w:r>
    </w:p>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In December 2024, we completed the acquisition of G &amp; F Manufacturing, LLC (“G &amp; F Manufacturing”). In conjunction with the acquisition, we recorded an estimated fair value of $8.0 million of contingent earn-out liabilities, which are considered Level 3 under the fair value hierarchy. During the second quarter of 2026, we made the first earn-out period payment and reduced the contingent earn-out liability to an estimated fair value of $4.0 million. The fair value of the remaining contingent earn-out liability was reviewed as of June 30, 2026, with no further change in fair value. The fair value of the remaining contingent earn-out liability will continue to be re-measured for each reporting period until resolution of the final contingent earn-out payment, and any resulting changes to fair value would be recorded in earnings.</w:t>
      </w:r>
    </w:p>
    <w:p>
      <w:pPr>
        <w:pStyle w:val="TextBody"/>
        <w:bidi w:val="0"/>
        <w:spacing w:before="18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income tax rate for the six months ended June 30, 2026 was 13.9%, compared to 14.6% for the six months ended June 30, 2025. We continue to actively pursue initiatives to reduce our effective tax rate. The tax rate in any quarter can be affected positively or negatively by the mix of global earnings or adjustments that are required to be reported in the specific quarter of resolution. </w:t>
      </w:r>
    </w:p>
    <w:p>
      <w:pPr>
        <w:pStyle w:val="TextBody"/>
        <w:bidi w:val="0"/>
        <w:spacing w:lineRule="auto" w:line="288" w:before="180" w:after="200"/>
        <w:jc w:val="both"/>
        <w:rPr/>
      </w:pPr>
      <w:r>
        <w:rPr>
          <w:rFonts w:ascii="Times New Roman;serif" w:hAnsi="Times New Roman;serif"/>
          <w:b w:val="false"/>
          <w:color w:val="000000"/>
          <w:sz w:val="20"/>
        </w:rPr>
        <w:t xml:space="preserve">The total gross liability for uncertain tax positions was $6.6 million and $6.7 million at June 30, 2026 and December 31, 2025, respectively. We record penalties and interest related to unrecognized tax benefits in </w:t>
      </w: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 interest expense</w:t>
      </w:r>
      <w:r>
        <w:rPr>
          <w:rFonts w:ascii="Times New Roman;serif" w:hAnsi="Times New Roman;serif"/>
          <w:b w:val="false"/>
          <w:color w:val="000000"/>
          <w:sz w:val="20"/>
        </w:rPr>
        <w:t>, respectively, on the Condensed Consolidated Statements of Operations and Comprehensive Income, which is consistent with our past practices.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Organisation for Economic Co-operation and Development Pillar Two Model Rules (“Pillar Two”) for a global 15.0% minimum tax have been adopted by a number of jurisdictions in which we operate. For the six months ended June 30, 2026 and June 30, 2025, the impact of Pillar Two on our condensed consolidated financial statements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12.    Benefit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Components of net periodic benefit expense for our pension plans for the three and six months ended June 30, 2026 and 2025 were as follows:</w:t>
      </w:r>
    </w:p>
    <w:tbl>
      <w:tblPr>
        <w:tblW w:w="6382" w:type="dxa"/>
        <w:jc w:val="left"/>
        <w:tblInd w:w="0" w:type="dxa"/>
        <w:tblLayout w:type="fixed"/>
        <w:tblCellMar>
          <w:top w:w="28" w:type="dxa"/>
          <w:left w:w="28" w:type="dxa"/>
          <w:bottom w:w="28" w:type="dxa"/>
          <w:right w:w="28" w:type="dxa"/>
        </w:tblCellMar>
      </w:tblPr>
      <w:tblGrid>
        <w:gridCol w:w="936"/>
        <w:gridCol w:w="818"/>
        <w:gridCol w:w="825"/>
        <w:gridCol w:w="263"/>
        <w:gridCol w:w="507"/>
        <w:gridCol w:w="136"/>
        <w:gridCol w:w="263"/>
        <w:gridCol w:w="507"/>
        <w:gridCol w:w="136"/>
        <w:gridCol w:w="109"/>
        <w:gridCol w:w="109"/>
        <w:gridCol w:w="109"/>
        <w:gridCol w:w="235"/>
        <w:gridCol w:w="453"/>
        <w:gridCol w:w="121"/>
        <w:gridCol w:w="234"/>
        <w:gridCol w:w="451"/>
        <w:gridCol w:w="170"/>
      </w:tblGrid>
      <w:tr>
        <w:trPr/>
        <w:tc>
          <w:tcPr>
            <w:tcW w:w="93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expense</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Components of net periodic benefit expense for our other post-retirement plans for the three and six months ended June 30, 2026 and 2025 were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13.    Shareholders’ Equity</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Board of Directors authorized the repurchase of our ordinary shares up to a maximum dollar limit of $1.0 billion. The authorization expires on December 31, 2028. During the six months ended June 30, 2026, we repurchased 4.0 million of our ordinary shares for $350.0 million. As of June 30, 2026, we had $650.0 million available for share repurchases under this authorization.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Dividends payable</w:t>
      </w:r>
    </w:p>
    <w:p>
      <w:pPr>
        <w:pStyle w:val="TextBody"/>
        <w:bidi w:val="0"/>
        <w:spacing w:lineRule="auto" w:line="288" w:before="0" w:after="200"/>
        <w:jc w:val="both"/>
        <w:rPr/>
      </w:pPr>
      <w:r>
        <w:rPr>
          <w:rFonts w:ascii="Times New Roman;serif" w:hAnsi="Times New Roman;serif"/>
          <w:b w:val="false"/>
          <w:color w:val="000000"/>
          <w:sz w:val="20"/>
        </w:rPr>
        <w:t xml:space="preserve">On May 4, 2026, the Board of Directors declared a quarterly cash dividend of $0.27 per share, payable on August 7, 2026 to shareholders of record at the close of business on July 24, 2026. As a result, the balance of dividends payable included in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on our Condensed Consolidated Balance Sheets was $43.1 million at June 30, 2026, compared to $44.1 million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classify our operations into three reportable segments:</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Flow </w:t>
      </w:r>
      <w:r>
        <w:rPr>
          <w:color w:val="000000"/>
        </w:rPr>
        <w:t xml:space="preserve">— </w:t>
      </w:r>
      <w:r>
        <w:rPr>
          <w:rFonts w:ascii="Times New Roman;serif" w:hAnsi="Times New Roman;serif"/>
          <w:b w:val="false"/>
          <w:color w:val="000000"/>
          <w:sz w:val="20"/>
        </w:rPr>
        <w:t>The focus of this segment is to deliver water where it is needed, when it is needed, more efficiently and to transform waste into value. This segment designs, manufactures and sells a variety of fluid treatment and pump products and systems, including pressure vessels, gas recovery solutions, membrane bioreactors, wastewater reuse systems and advanced membrane filtration, separation systems, specialty insertion valves, line stop fittings and installation equipment, turbine pumps and solid handling pumps, while serving the global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fire suppression and flood control.</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Water Solutions </w:t>
      </w:r>
      <w:r>
        <w:rPr>
          <w:color w:val="000000"/>
        </w:rPr>
        <w:t xml:space="preserve">— </w:t>
      </w:r>
      <w:r>
        <w:rPr>
          <w:rFonts w:ascii="Times New Roman;serif" w:hAnsi="Times New Roman;serif"/>
          <w:b w:val="false"/>
          <w:color w:val="000000"/>
          <w:sz w:val="20"/>
        </w:rPr>
        <w:t>The focus of this segment is to provide great tasting, higher-quality water and ice while helping people use water more productively. This segment designs, manufactures and sells commercial and residential water treatment products and systems including pressure tanks, control valves, activated carbon products, commercial ice machines, conventional filtration products, point-of-entry and point-of-use water treatment systems, fluid transfer pumps, agricultural spray nozzles, as well as certain water disposal and water supply pumps. These water treatment products and systems are for use in residential whole home water filtration, drinking water filtration and water softening solutions in addition to commercial total water management and filtration in foodservice operations, circulation and transfer, agricultural irrigation and crop spray.</w:t>
      </w:r>
    </w:p>
    <w:p>
      <w:pPr>
        <w:pStyle w:val="TextBody"/>
        <w:bidi w:val="0"/>
        <w:spacing w:lineRule="auto" w:line="288" w:before="180" w:after="100"/>
        <w:ind w:left="0" w:right="0" w:hanging="360"/>
        <w:jc w:val="both"/>
        <w:rPr/>
      </w:pPr>
      <w:r>
        <w:rPr>
          <w:color w:val="000000"/>
        </w:rPr>
        <w:t>•</w:t>
      </w:r>
      <w:r>
        <w:rPr>
          <w:rFonts w:ascii="Times New Roman;serif" w:hAnsi="Times New Roman;serif"/>
          <w:b/>
          <w:i/>
          <w:color w:val="000000"/>
          <w:sz w:val="20"/>
        </w:rPr>
        <w:t xml:space="preserve">Pool </w:t>
      </w:r>
      <w:r>
        <w:rPr>
          <w:color w:val="000000"/>
        </w:rPr>
        <w:t xml:space="preserve">— </w:t>
      </w:r>
      <w:r>
        <w:rPr>
          <w:rFonts w:ascii="Times New Roman;serif" w:hAnsi="Times New Roman;serif"/>
          <w:b w:val="false"/>
          <w:color w:val="000000"/>
          <w:sz w:val="20"/>
        </w:rPr>
        <w:t>The focus of this segment is to provide innovative, energy-efficient pool solutions to help people more sustainably enjoy water. This segment designs, manufactures and sells a complete line of energy-efficient residential and commercial pool equipment and accessories including pumps, filters, heaters, lights, automatic controls, chlorinators, automatic cleaners, maintenance equipment and pool accessories. Applications for our pool products include residential and commercial pool maintenance, pool repair, renovation, service, construction and aquaculture solutions.</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We evaluate performance based on net sales and reportable segment income and use certain ratios, particularly return on sales, to measure performance of our reportable segments. These results are not necessarily indicative of the results of operations that would have occurred had each segment been an independent, stand-alone entity during the periods presented. Reportable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 “Corporate and other” activity primarily consists of corporate expenses not allocated to the segments, including executive office, board of directors, and centrally-managed corporate functional or shared service costs related to finance, human resources, communications and corporate development. These activities do not meet the criteria for a stand-alone reportable segment under accounting standards codification (“ASC”) 280. The accounting policies of our reportable segments are consistent with those described in the summary of significant accounting policies in our Annual Report on Form 10-K for the year ended December 31,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Financial information by reportable segment as well as a reconciliation of reportable segment income to consolidated income from continuing operations before income taxes is as follows:</w:t>
      </w:r>
    </w:p>
    <w:tbl>
      <w:tblPr>
        <w:tblW w:w="4550" w:type="dxa"/>
        <w:jc w:val="left"/>
        <w:tblInd w:w="0" w:type="dxa"/>
        <w:tblLayout w:type="fixed"/>
        <w:tblCellMar>
          <w:top w:w="28" w:type="dxa"/>
          <w:left w:w="28" w:type="dxa"/>
          <w:bottom w:w="28" w:type="dxa"/>
          <w:right w:w="28" w:type="dxa"/>
        </w:tblCellMar>
      </w:tblPr>
      <w:tblGrid>
        <w:gridCol w:w="784"/>
        <w:gridCol w:w="685"/>
        <w:gridCol w:w="691"/>
        <w:gridCol w:w="211"/>
        <w:gridCol w:w="766"/>
        <w:gridCol w:w="109"/>
        <w:gridCol w:w="243"/>
        <w:gridCol w:w="884"/>
        <w:gridCol w:w="177"/>
      </w:tblGrid>
      <w:tr>
        <w:trPr/>
        <w:tc>
          <w:tcPr>
            <w:tcW w:w="7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3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Identifiable assets </w:t>
            </w:r>
            <w:r>
              <w:rPr>
                <w:rFonts w:ascii="Times New Roman;serif" w:hAnsi="Times New Roman;serif"/>
                <w:b/>
                <w:color w:val="000000"/>
                <w:sz w:val="13"/>
              </w:rPr>
              <w:t>(1)</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total</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All cash and cash equivalents are included in “Corporate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tbl>
      <w:tblPr>
        <w:tblW w:w="6008" w:type="dxa"/>
        <w:jc w:val="left"/>
        <w:tblInd w:w="0" w:type="dxa"/>
        <w:tblLayout w:type="fixed"/>
        <w:tblCellMar>
          <w:top w:w="28" w:type="dxa"/>
          <w:left w:w="28" w:type="dxa"/>
          <w:bottom w:w="28" w:type="dxa"/>
          <w:right w:w="28" w:type="dxa"/>
        </w:tblCellMar>
      </w:tblPr>
      <w:tblGrid>
        <w:gridCol w:w="784"/>
        <w:gridCol w:w="685"/>
        <w:gridCol w:w="691"/>
        <w:gridCol w:w="230"/>
        <w:gridCol w:w="558"/>
        <w:gridCol w:w="119"/>
        <w:gridCol w:w="230"/>
        <w:gridCol w:w="558"/>
        <w:gridCol w:w="119"/>
        <w:gridCol w:w="109"/>
        <w:gridCol w:w="109"/>
        <w:gridCol w:w="109"/>
        <w:gridCol w:w="211"/>
        <w:gridCol w:w="511"/>
        <w:gridCol w:w="109"/>
        <w:gridCol w:w="211"/>
        <w:gridCol w:w="511"/>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8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Capital expenditures</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total</w:t>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tbl>
      <w:tblPr>
        <w:tblW w:w="6008" w:type="dxa"/>
        <w:jc w:val="left"/>
        <w:tblInd w:w="0" w:type="dxa"/>
        <w:tblLayout w:type="fixed"/>
        <w:tblCellMar>
          <w:top w:w="28" w:type="dxa"/>
          <w:left w:w="28" w:type="dxa"/>
          <w:bottom w:w="28" w:type="dxa"/>
          <w:right w:w="28" w:type="dxa"/>
        </w:tblCellMar>
      </w:tblPr>
      <w:tblGrid>
        <w:gridCol w:w="784"/>
        <w:gridCol w:w="685"/>
        <w:gridCol w:w="691"/>
        <w:gridCol w:w="230"/>
        <w:gridCol w:w="558"/>
        <w:gridCol w:w="119"/>
        <w:gridCol w:w="230"/>
        <w:gridCol w:w="558"/>
        <w:gridCol w:w="119"/>
        <w:gridCol w:w="109"/>
        <w:gridCol w:w="109"/>
        <w:gridCol w:w="109"/>
        <w:gridCol w:w="211"/>
        <w:gridCol w:w="511"/>
        <w:gridCol w:w="109"/>
        <w:gridCol w:w="211"/>
        <w:gridCol w:w="511"/>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8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Depreciation</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total</w:t>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tbl>
      <w:tblPr>
        <w:tblW w:w="8972" w:type="dxa"/>
        <w:jc w:val="left"/>
        <w:tblInd w:w="0" w:type="dxa"/>
        <w:tblLayout w:type="fixed"/>
        <w:tblCellMar>
          <w:top w:w="28" w:type="dxa"/>
          <w:left w:w="28" w:type="dxa"/>
          <w:bottom w:w="28" w:type="dxa"/>
          <w:right w:w="28" w:type="dxa"/>
        </w:tblCellMar>
      </w:tblPr>
      <w:tblGrid>
        <w:gridCol w:w="1684"/>
        <w:gridCol w:w="1475"/>
        <w:gridCol w:w="1490"/>
        <w:gridCol w:w="211"/>
        <w:gridCol w:w="616"/>
        <w:gridCol w:w="109"/>
        <w:gridCol w:w="331"/>
        <w:gridCol w:w="968"/>
        <w:gridCol w:w="171"/>
        <w:gridCol w:w="211"/>
        <w:gridCol w:w="616"/>
        <w:gridCol w:w="109"/>
        <w:gridCol w:w="211"/>
        <w:gridCol w:w="61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4323" w:type="dxa"/>
            <w:gridSpan w:val="12"/>
            <w:tcBorders/>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Flow</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 Solutions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Pool</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(1)(2)(3)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tbl>
      <w:tblPr>
        <w:tblW w:w="9122" w:type="dxa"/>
        <w:jc w:val="left"/>
        <w:tblInd w:w="0" w:type="dxa"/>
        <w:tblLayout w:type="fixed"/>
        <w:tblCellMar>
          <w:top w:w="28" w:type="dxa"/>
          <w:left w:w="28" w:type="dxa"/>
          <w:bottom w:w="28" w:type="dxa"/>
          <w:right w:w="28" w:type="dxa"/>
        </w:tblCellMar>
      </w:tblPr>
      <w:tblGrid>
        <w:gridCol w:w="1684"/>
        <w:gridCol w:w="1475"/>
        <w:gridCol w:w="1490"/>
        <w:gridCol w:w="211"/>
        <w:gridCol w:w="616"/>
        <w:gridCol w:w="109"/>
        <w:gridCol w:w="331"/>
        <w:gridCol w:w="968"/>
        <w:gridCol w:w="171"/>
        <w:gridCol w:w="211"/>
        <w:gridCol w:w="616"/>
        <w:gridCol w:w="109"/>
        <w:gridCol w:w="211"/>
        <w:gridCol w:w="76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4473" w:type="dxa"/>
            <w:gridSpan w:val="12"/>
            <w:tcBorders/>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Flow</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 Solutions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Pool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(1)(2)(3)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22" w:type="dxa"/>
        <w:jc w:val="left"/>
        <w:tblInd w:w="0" w:type="dxa"/>
        <w:tblLayout w:type="fixed"/>
        <w:tblCellMar>
          <w:top w:w="28" w:type="dxa"/>
          <w:left w:w="28" w:type="dxa"/>
          <w:bottom w:w="28" w:type="dxa"/>
          <w:right w:w="28" w:type="dxa"/>
        </w:tblCellMar>
      </w:tblPr>
      <w:tblGrid>
        <w:gridCol w:w="1684"/>
        <w:gridCol w:w="1475"/>
        <w:gridCol w:w="1490"/>
        <w:gridCol w:w="211"/>
        <w:gridCol w:w="616"/>
        <w:gridCol w:w="109"/>
        <w:gridCol w:w="331"/>
        <w:gridCol w:w="968"/>
        <w:gridCol w:w="171"/>
        <w:gridCol w:w="211"/>
        <w:gridCol w:w="616"/>
        <w:gridCol w:w="109"/>
        <w:gridCol w:w="211"/>
        <w:gridCol w:w="76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4473" w:type="dxa"/>
            <w:gridSpan w:val="12"/>
            <w:tcBorders/>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Flow</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 Solutions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Pool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(1)(2)(3)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tbl>
      <w:tblPr>
        <w:tblW w:w="9122" w:type="dxa"/>
        <w:jc w:val="left"/>
        <w:tblInd w:w="0" w:type="dxa"/>
        <w:tblLayout w:type="fixed"/>
        <w:tblCellMar>
          <w:top w:w="28" w:type="dxa"/>
          <w:left w:w="28" w:type="dxa"/>
          <w:bottom w:w="28" w:type="dxa"/>
          <w:right w:w="28" w:type="dxa"/>
        </w:tblCellMar>
      </w:tblPr>
      <w:tblGrid>
        <w:gridCol w:w="1684"/>
        <w:gridCol w:w="1475"/>
        <w:gridCol w:w="1490"/>
        <w:gridCol w:w="211"/>
        <w:gridCol w:w="616"/>
        <w:gridCol w:w="109"/>
        <w:gridCol w:w="331"/>
        <w:gridCol w:w="968"/>
        <w:gridCol w:w="171"/>
        <w:gridCol w:w="211"/>
        <w:gridCol w:w="616"/>
        <w:gridCol w:w="109"/>
        <w:gridCol w:w="211"/>
        <w:gridCol w:w="76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4473" w:type="dxa"/>
            <w:gridSpan w:val="12"/>
            <w:tcBorders/>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Flow</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 Solutions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Pool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(1)(2)(3)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The significant expense categories and amounts align with the segment-level information that is regularly provided to the chief operating decision maker which includes certain corporate overhead allocations directly attributable to each of the segments.</w:t>
      </w:r>
    </w:p>
    <w:p>
      <w:pPr>
        <w:pStyle w:val="TextBody"/>
        <w:bidi w:val="0"/>
        <w:spacing w:lineRule="auto" w:line="288" w:before="40" w:after="283"/>
        <w:ind w:left="0" w:right="0" w:hanging="180"/>
        <w:jc w:val="both"/>
        <w:rPr/>
      </w:pPr>
      <w:r>
        <w:rPr>
          <w:rFonts w:ascii="Times New Roman;serif" w:hAnsi="Times New Roman;serif"/>
          <w:b w:val="false"/>
          <w:color w:val="000000"/>
          <w:sz w:val="13"/>
        </w:rPr>
        <w:t xml:space="preserve">(2) </w:t>
      </w:r>
      <w:r>
        <w:rPr>
          <w:rFonts w:ascii="Times New Roman;serif" w:hAnsi="Times New Roman;serif"/>
          <w:b w:val="false"/>
          <w:color w:val="000000"/>
          <w:sz w:val="18"/>
        </w:rPr>
        <w:t>Operating expenses include selling, general, administrative, research and development costs which primarily consist of non-manufacturing employee compensation, non-manufacturing overhead and professional service costs as well as depreciation expense.</w:t>
      </w:r>
    </w:p>
    <w:p>
      <w:pPr>
        <w:pStyle w:val="TextBody"/>
        <w:bidi w:val="0"/>
        <w:spacing w:lineRule="auto" w:line="288" w:before="40" w:after="283"/>
        <w:ind w:left="0" w:right="0" w:hanging="18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18"/>
        </w:rPr>
        <w:t>These costs exclude certain expenses reported in the Condensed Consolidated Statements of Operations and Comprehensive Income, including costs that are reflected in "Corporate and other,” and expenses excluded from reportable segment income as defined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Warranties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service and product warranties from continuing operations for the six months ended June 30, 2026 were as follows:</w:t>
      </w:r>
    </w:p>
    <w:tbl>
      <w:tblPr>
        <w:tblW w:w="4191" w:type="dxa"/>
        <w:jc w:val="left"/>
        <w:tblInd w:w="0" w:type="dxa"/>
        <w:tblLayout w:type="fixed"/>
        <w:tblCellMar>
          <w:top w:w="28" w:type="dxa"/>
          <w:left w:w="28" w:type="dxa"/>
          <w:bottom w:w="28" w:type="dxa"/>
          <w:right w:w="28" w:type="dxa"/>
        </w:tblCellMar>
      </w:tblPr>
      <w:tblGrid>
        <w:gridCol w:w="1201"/>
        <w:gridCol w:w="1050"/>
        <w:gridCol w:w="1064"/>
        <w:gridCol w:w="211"/>
        <w:gridCol w:w="511"/>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product warranty provision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Stand-by letters of credit, bank guarantees and bonds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outstanding value of bonds, letters of credit and bank guarantees totaled $114.6 million and $115.0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jc w:val="left"/>
        <w:rPr/>
      </w:pPr>
      <w:r>
        <w:rPr>
          <w:rFonts w:ascii="Times New Roman;serif" w:hAnsi="Times New Roman;serif"/>
          <w:b/>
          <w:color w:val="000000"/>
          <w:sz w:val="20"/>
        </w:rPr>
        <w:t>16.</w:t>
      </w:r>
      <w:r>
        <w:rPr>
          <w:color w:val="000000"/>
        </w:rPr>
        <w:t xml:space="preserve"> </w:t>
      </w:r>
      <w:r>
        <w:rPr>
          <w:rFonts w:ascii="Times New Roman;serif" w:hAnsi="Times New Roman;serif"/>
          <w:b/>
          <w:color w:val="000000"/>
          <w:sz w:val="20"/>
        </w:rPr>
        <w:t>Subsequent Events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27, 2026, as part of our Water Solutions reportable segment, we entered into a definitive agreement to acquire the issued and outstanding equity securities of Taco Group Holdings (“Taco”), for a purchase price of $1.425 billion, subject to customary adjustments contemplated by the definitive agreement. We expect to finance the acquisition with a combination of cash on hand and committed bridge financing, which we intend to refinance through a permanent debt issuance that we anticipate to be investment grade. We expect to close the acquisition of Taco in the fourth quarter of 2026, subject to customary closing conditions and necessary regulatory approvals.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entering into the definitive agreement to acquire Taco, PFSA entered into a commitment letter, dated July 27, 2026 (the “Commitment Letter”), pursuant to which, among other things, the lender has committed to provide debt financing for the acquisition of Taco, consisting of a senior unsecured bridge facility of $1.4 billion (the “Bridge Facility”), on the terms and subject to the conditions set forth in the Commitment Letter. The Bridge Facility will be subject to mandatory reduction and prepayment for 100% of the net cash proceeds from the issuance of any debt and other of our securities and other specified events, subject to certain exceptions.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All statements made about the Taco acquisition, including the anticipated time for completing the acquisition, and the anticipated benefits of the acquisition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our ability to close and fund the Taco acquisition on the expected terms and time schedule, including obtaining regulatory approvals and satisfying other closing conditions; our ability to integrate the Taco acquisition successfully; our ability to retain customers and employees of Taco;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including this Form 10-Q and our Annual Report on Form 10-K for the year ended December 31, 2025. All forward-looking statements speak only as of the date of this report. Pentair assumes no obligation, and disclaims any obligation, to update the information contained in this report.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terms “us,” “we,” “our” or “Pentair” refer to Pentair plc and its consolidated subsidiaries. At Pentair, we help the world sustainably move, improve and enjoy water, life’s most essential resource. From our residential and commercial water solutions to industrial water management and everything in between, Pentair is an S&amp;P 500 company focused on smart, sustainable water solutions that help our planet and people thrive.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comprised of three reportable segments: Flow, Water Solutions and Pool. Effective January 1, 2026, we reorganized the composition of our Flow and Water Solutions reportable segments to reflect how we are managing our business. As a result of this reorganization, our legacy residential and irrigation flow business moved from our Flow segment into our Water Solutions segment. The Pool segment remains unchanged. We believe the new alignment with our residential and irrigation flow business in our Water Solutions segment will help us accelerate our efforts to improve customer experiences, enhance operational efficiencies and deliver more comprehensive solutions. The applicable prior period amounts related to this change have been retrospectively reclassified to conform to the new composition. These changes have no impact on the Company’s historical consolidated financial performance or results of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first six months of 2026, the Flow, Water Solutions and Pool reportable segments represented approximately 27%, 41% and 32% of total consolidated net sales, respectively. We classify our operations into reportable segments based primarily on types of products offered and markets served:</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Flow </w:t>
      </w:r>
      <w:r>
        <w:rPr>
          <w:color w:val="000000"/>
        </w:rPr>
        <w:t xml:space="preserve">— </w:t>
      </w:r>
      <w:r>
        <w:rPr>
          <w:rFonts w:ascii="Times New Roman;serif" w:hAnsi="Times New Roman;serif"/>
          <w:b w:val="false"/>
          <w:color w:val="000000"/>
          <w:sz w:val="20"/>
        </w:rPr>
        <w:t>The focus of this segment is to deliver water where it is needed, when it is needed, more efficiently and to transform waste into value. This segment designs, manufactures and sells a variety of fluid treatment and pump products and systems, including pressure vessels, gas recovery solutions, membrane bioreactors, wastewater reuse systems and advanced membrane filtration, separation systems, specialty insertion valves, line stop fittings and installation equipment, turbine pumps and solid handling pumps, while serving the global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fire suppression and flood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Water Solutions </w:t>
      </w:r>
      <w:r>
        <w:rPr>
          <w:color w:val="000000"/>
        </w:rPr>
        <w:t xml:space="preserve">— </w:t>
      </w:r>
      <w:r>
        <w:rPr>
          <w:rFonts w:ascii="Times New Roman;serif" w:hAnsi="Times New Roman;serif"/>
          <w:b w:val="false"/>
          <w:color w:val="000000"/>
          <w:sz w:val="20"/>
        </w:rPr>
        <w:t>The focus of this segment is to provide great tasting, higher-quality water and ice while helping people use water more productively. This segment designs, manufactures and sells commercial and residential water treatment products and systems including pressure tanks, control valves, activated carbon products, commercial ice machines, conventional filtration products, point-of-entry and point-of-use water treatment systems, fluid transfer pumps, agricultural spray nozzles, as well as certain water disposal and water supply pumps. These water treatment products and systems are for use in residential whole home water filtration, drinking water filtration and water softening solutions in addition to commercial total water management and filtration in foodservice operations, circulation and transfer, agricultural irrigation and crop spray.</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Pool </w:t>
      </w:r>
      <w:r>
        <w:rPr>
          <w:color w:val="000000"/>
        </w:rPr>
        <w:t xml:space="preserve">— </w:t>
      </w:r>
      <w:r>
        <w:rPr>
          <w:rFonts w:ascii="Times New Roman;serif" w:hAnsi="Times New Roman;serif"/>
          <w:b w:val="false"/>
          <w:color w:val="000000"/>
          <w:sz w:val="20"/>
        </w:rPr>
        <w:t>The focus of this segment is to provide innovative, energy-efficient pool solutions to help people more sustainably enjoy water. This segment designs, manufactures and sells a complete line of energy-efficient residential and commercial pool equipment and accessories including pumps, filters, heaters, lights, automatic controls, chlorinators, automatic cleaners, maintenance equipment and pool accessories. Applications for our pool products include residential and commercial pool maintenance, pool repair, renovation, service, construction and aquaculture solutions.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September 2025, as part of our Flow reportable segment, we completed the acquisition of Hydra-Stop, LLC (“Hydra-Stop”) for $292.1 million in cash, net of cash acquired, and subject to customary adjustments. Hydra-Stop manufactures specialty insertion valves, line stop fittings and installation equipment.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27, 2026, as part of our Water Solutions reportable segment, we entered into a definitive agreement to acquire the issued and outstanding equity securities of Taco Group Holdings (“Taco”), for a purchase price of $1.425 billion, subject to customary adjustments contemplated by the definitive agreement. We expect to finance the acquisition with a combination of cash on hand and committed bridge financing, which we intend to refinance through a permanent debt issuance that we anticipate to be investment grade. We expect to close the acquisition of Taco in the fourth quarter of 2026, subject to customary closing conditions and necessary regulatory approvals.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Key trends and uncertainties regarding our existing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trends and uncertainties affected our financial performance in the first six months of 2026 and are reasonably likely to impact our results in the future: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have a Transformation Program designed to accelerate growth and drive margin expansion through transformation of our business model to drive operational excellence, reduce complexity and streamline our processes. During 2025 and the first six months of 2026, we made strategic progress on our Transformation Program initiatives with a focus on our four key themes of pricing excellence, sourcing excellence, operational excellence and organizational effectiveness. We expect to continue to execute on our key Transformation Program initiatives to drive margin expansion and to incur transformation costs throughout the remainder of 2026 and beyond.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During 2025 and the first six months of 2026, we implemented 80/20 guiding principles to enable our Transformation Program. As we continue to focus on 80/20 guiding principles in 2026, we expect to create value by increasing focus on key customers and products through quadrant-based strategies. We expect this approach to enable improved operating performance by driving margin growth with our highest value customers, reducing lower margin sales and removing complexity in the future.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During 2025 and the first six months of 2026, we executed certain business restructuring initiatives aimed at reducing our fixed cost structure and realigning our business. We expect these actions to continue throughout the remainder of 2026 and to drive margin expansion.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During the second quarter of 2026, performance was negatively impacted by a decline in Pool sales largely attributed to a more pronounced inventory realignment with major channel partners than previously estimated and worsening business conditions, including higher interest rates and inflation. Destocking of inventory in the Pool channel is expected to negatively impact net sales for the twelve months ended 2026 by approximately $250 million. While we expect channel inventory levels to improve over time, the timing and pace of normalization remain uncertain and could negatively impact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During 2025 and the first six months of 2026, we experienced inflationary cost increases, including tariffs, for certain raw materials as well as logistics and transportation costs. Tariffs, along with potential retaliatory measures by other countries, have contributed to higher input costs and supply chain complexity. The ongoing volatility in the commodities market also has the potential to continue to drive price increases in our supply chain. To address these inflationary pressures, we have implemented pricing increases and taken other actions including inventory pre-buys and supply chain optimization. In addition, our Transformation Program initiatives are intended to improve productivity and offset cost increases. We anticipate that inflationary cost increases and supply chain pressures, including additional or increased tariffs in the future, as well as any related impacts on macroeconomic conditions and our business, will likely persist throughout the remainder of 2026.</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During 2025, the current U.S. administration implemented tariffs under the International Emergency Economic Powers Act (“IEEPA”). In February 2026, the U.S. Supreme Court invalidated certain tariffs imposed under the IEEPA. While we have received refunds in the second quarter of 2026 of certain previously paid IEEPA tariffs, uncertainty remains regarding the timing and ultimate amount of any additional potential refunds, as well as the scope and impact of replacement tariffs or other trade policy actions. We will continue to monitor these developments and evaluate their potential impact on our business, results of operations, cash flows and future tariff exposure.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Organisation for Economic Co-operation and Development Pillar Two Model Rules (“Pillar Two”) for a global 15.0% minimum tax have been adopted by a number of jurisdictions in which we operate. Pillar Two has negatively impacted our effective tax rate during the first six months of 2026 and is likely to continue to impact our effective tax rate in the future. We continue to evaluate the enacted legislative changes and new guidance as it becomes available.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2026, our operating objectives focus on delivering our core and building our future. We expect to execute these objectives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Delivering profitable revenue growth and productivity for customers and shareholders;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Continuing to focus on capital allocation through:</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Committing to maintain our investment grade rating;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Focusing on reducing our long-term debt;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Returning cash to shareholders through dividends and share repurchases;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Accelerating our performance with strategically aligned mergers and acquisitions;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Focusing growth initiatives that accelerate our investments in digital, innovation, technology and sustainability;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Evolving the Pentair Business System which includes executing our Transformation Program initiatives and using the Pentair leadership tools to drive operational excellence, reduce complexity and improve our organizational structure, with a continued focus on 80/20 guiding principles for profitable growth;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Building a high-performance growth culture and delivering on our commitments while living our Win Right values.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results of operations for the three months ended June 30, 2026 and 2025 were as follows:</w:t>
      </w:r>
    </w:p>
    <w:tbl>
      <w:tblPr>
        <w:tblW w:w="9261" w:type="dxa"/>
        <w:jc w:val="left"/>
        <w:tblInd w:w="0" w:type="dxa"/>
        <w:tblLayout w:type="fixed"/>
        <w:tblCellMar>
          <w:top w:w="28" w:type="dxa"/>
          <w:left w:w="28" w:type="dxa"/>
          <w:bottom w:w="28" w:type="dxa"/>
          <w:right w:w="28" w:type="dxa"/>
        </w:tblCellMar>
      </w:tblPr>
      <w:tblGrid>
        <w:gridCol w:w="1687"/>
        <w:gridCol w:w="1474"/>
        <w:gridCol w:w="1488"/>
        <w:gridCol w:w="211"/>
        <w:gridCol w:w="616"/>
        <w:gridCol w:w="271"/>
        <w:gridCol w:w="211"/>
        <w:gridCol w:w="766"/>
        <w:gridCol w:w="271"/>
        <w:gridCol w:w="211"/>
        <w:gridCol w:w="691"/>
        <w:gridCol w:w="109"/>
        <w:gridCol w:w="293"/>
        <w:gridCol w:w="293"/>
        <w:gridCol w:w="669"/>
      </w:tblGrid>
      <w:tr>
        <w:trPr/>
        <w:tc>
          <w:tcPr>
            <w:tcW w:w="168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w:t>
              <w:br/>
              <w:t>Change</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w:t>
              <w:br/>
              <w:t>Change</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 of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0.3 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Effective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results of operations for the six months ended June 30, 2026 and 2025 were as follows: </w:t>
      </w:r>
    </w:p>
    <w:tbl>
      <w:tblPr>
        <w:tblW w:w="9410" w:type="dxa"/>
        <w:jc w:val="left"/>
        <w:tblInd w:w="0" w:type="dxa"/>
        <w:tblLayout w:type="fixed"/>
        <w:tblCellMar>
          <w:top w:w="28" w:type="dxa"/>
          <w:left w:w="28" w:type="dxa"/>
          <w:bottom w:w="28" w:type="dxa"/>
          <w:right w:w="28" w:type="dxa"/>
        </w:tblCellMar>
      </w:tblPr>
      <w:tblGrid>
        <w:gridCol w:w="1687"/>
        <w:gridCol w:w="1474"/>
        <w:gridCol w:w="1488"/>
        <w:gridCol w:w="211"/>
        <w:gridCol w:w="766"/>
        <w:gridCol w:w="271"/>
        <w:gridCol w:w="211"/>
        <w:gridCol w:w="766"/>
        <w:gridCol w:w="271"/>
        <w:gridCol w:w="211"/>
        <w:gridCol w:w="691"/>
        <w:gridCol w:w="109"/>
        <w:gridCol w:w="291"/>
        <w:gridCol w:w="294"/>
        <w:gridCol w:w="669"/>
      </w:tblGrid>
      <w:tr>
        <w:trPr/>
        <w:tc>
          <w:tcPr>
            <w:tcW w:w="168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w:t>
              <w:br/>
              <w:t>Change</w:t>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w:t>
              <w:br/>
              <w:t>Change</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0.1 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(0.6)</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Effective tax 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(0.7)</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the consolidated net sales change from the prior period were as follows:</w:t>
      </w:r>
    </w:p>
    <w:tbl>
      <w:tblPr>
        <w:tblW w:w="7978" w:type="dxa"/>
        <w:jc w:val="left"/>
        <w:tblInd w:w="0" w:type="dxa"/>
        <w:tblLayout w:type="fixed"/>
        <w:tblCellMar>
          <w:top w:w="28" w:type="dxa"/>
          <w:left w:w="28" w:type="dxa"/>
          <w:bottom w:w="28" w:type="dxa"/>
          <w:right w:w="28" w:type="dxa"/>
        </w:tblCellMar>
      </w:tblPr>
      <w:tblGrid>
        <w:gridCol w:w="764"/>
        <w:gridCol w:w="673"/>
        <w:gridCol w:w="678"/>
        <w:gridCol w:w="672"/>
        <w:gridCol w:w="672"/>
        <w:gridCol w:w="1685"/>
        <w:gridCol w:w="577"/>
        <w:gridCol w:w="577"/>
        <w:gridCol w:w="1680"/>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over the prior year period </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growth</w:t>
            </w:r>
          </w:p>
        </w:tc>
        <w:tc>
          <w:tcPr>
            <w:tcW w:w="13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6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6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Acquisition/Divestitures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4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6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6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both"/>
        <w:rPr/>
      </w:pPr>
      <w:r>
        <w:rPr>
          <w:rFonts w:ascii="Times New Roman;serif" w:hAnsi="Times New Roman;serif"/>
          <w:b w:val="false"/>
          <w:i/>
          <w:color w:val="000000"/>
          <w:sz w:val="20"/>
        </w:rPr>
        <w:t>The 17.0</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7.7</w:t>
      </w:r>
      <w:r>
        <w:rPr>
          <w:color w:val="000000"/>
        </w:rPr>
        <w:t xml:space="preserve"> </w:t>
      </w:r>
      <w:r>
        <w:rPr>
          <w:rFonts w:ascii="Times New Roman;serif" w:hAnsi="Times New Roman;serif"/>
          <w:b w:val="false"/>
          <w:i/>
          <w:color w:val="000000"/>
          <w:sz w:val="20"/>
        </w:rPr>
        <w:t>percent decreases in net sales in the second quarter and first half, respectively, of 2026 from 2025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decreased sales volume primarily driven by destocking of channel inventory within our Pool segment;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 business exit in the commercial business of our Water Solutions segment that occurred during the second quarter of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These decreases were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across all of our segments to mitigate inflationary cost increases;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sales due to the acquisition of Hydra-Stop completed in the third quarter of 2025;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favorable foreign currency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0"/>
        <w:jc w:val="both"/>
        <w:rPr/>
      </w:pPr>
      <w:r>
        <w:rPr>
          <w:rFonts w:ascii="Times New Roman;serif" w:hAnsi="Times New Roman;serif"/>
          <w:b w:val="false"/>
          <w:i/>
          <w:color w:val="000000"/>
          <w:sz w:val="20"/>
        </w:rPr>
        <w:t>The 1.7 and 1.8</w:t>
      </w:r>
      <w:r>
        <w:rPr>
          <w:color w:val="000000"/>
        </w:rPr>
        <w:t xml:space="preserve"> </w:t>
      </w:r>
      <w:r>
        <w:rPr>
          <w:rFonts w:ascii="Times New Roman;serif" w:hAnsi="Times New Roman;serif"/>
          <w:b w:val="false"/>
          <w:i/>
          <w:color w:val="000000"/>
          <w:sz w:val="20"/>
        </w:rPr>
        <w:t>percentage point increases in gross profit as a percentage of net sales in the second quarter and first half, respectively, of 2026 from 2025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across all our segments to mitigate inflationary cost increases;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productivity across all our segments;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no asset impairment and write-offs in the second quarter or first half of 2026, compared to $10.3 million and $15.5 million in the second quarter and first half, respectively, of 2025;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positive impact of $34.9 million in refunds during the second quarter of 2026 associated with tariffs previously collected under IEEPA which partially mitigated inflationary costs increases.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These increases were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inflationary cost increases related to certain raw material costs.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 (“SG&amp;A”)</w:t>
      </w:r>
    </w:p>
    <w:p>
      <w:pPr>
        <w:pStyle w:val="TextBody"/>
        <w:bidi w:val="0"/>
        <w:spacing w:lineRule="auto" w:line="288" w:before="0" w:after="0"/>
        <w:jc w:val="both"/>
        <w:rPr/>
      </w:pPr>
      <w:r>
        <w:rPr>
          <w:rFonts w:ascii="Times New Roman;serif" w:hAnsi="Times New Roman;serif"/>
          <w:b w:val="false"/>
          <w:i/>
          <w:color w:val="000000"/>
          <w:sz w:val="20"/>
        </w:rPr>
        <w:t>The 3.0 and 2.2</w:t>
      </w:r>
      <w:r>
        <w:rPr>
          <w:color w:val="000000"/>
        </w:rPr>
        <w:t xml:space="preserve"> </w:t>
      </w:r>
      <w:r>
        <w:rPr>
          <w:rFonts w:ascii="Times New Roman;serif" w:hAnsi="Times New Roman;serif"/>
          <w:b w:val="false"/>
          <w:i/>
          <w:color w:val="000000"/>
          <w:sz w:val="20"/>
        </w:rPr>
        <w:t>percentage point increases in SG&amp;A as a percentage of net sales in the second quarter and first half, respectively, of 2026 from 2025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restructuring costs of $34.6 million in the second quarter of 2026, compared to $14.3 million in the second quarter of 2025, and $48.3 million in the first half of 2026, compared to $23.9 million in the first half of 2025;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transformation costs of $17.5 million in the second quarter of 2026 compared to $12.7 million in the second quarter of 2025, and $29.0 million in the first half of 2026, compared to $21.9 million in the first half of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These increases were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 impairment charge of $30.9 million related to the write-off of a definite-lived customer relationship intangible asset as a result of a business exit within our Water Solutions segment during the second quarter of 2025 that did not reoccur in the second quarter of 2026.</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Net interest expense</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8.4 and 5.1 percent increases in net interest expense in the second quarter and first half, respectively, of 2026 from 2025 were primarily driven by: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higher debt levels compared to the same periods of the prior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180"/>
        <w:jc w:val="both"/>
        <w:rPr/>
      </w:pPr>
      <w:r>
        <w:rPr>
          <w:rFonts w:ascii="Times New Roman;serif" w:hAnsi="Times New Roman;serif"/>
          <w:b w:val="false"/>
          <w:i/>
          <w:color w:val="000000"/>
          <w:sz w:val="20"/>
        </w:rPr>
        <w:t>The 1.4</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0.7</w:t>
      </w:r>
      <w:r>
        <w:rPr>
          <w:color w:val="000000"/>
        </w:rPr>
        <w:t xml:space="preserve"> </w:t>
      </w:r>
      <w:r>
        <w:rPr>
          <w:rFonts w:ascii="Times New Roman;serif" w:hAnsi="Times New Roman;serif"/>
          <w:b w:val="false"/>
          <w:i/>
          <w:color w:val="000000"/>
          <w:sz w:val="20"/>
        </w:rPr>
        <w:t>percentage point</w:t>
      </w:r>
      <w:r>
        <w:rPr>
          <w:color w:val="000000"/>
        </w:rPr>
        <w:t xml:space="preserve"> </w:t>
      </w:r>
      <w:r>
        <w:rPr>
          <w:rFonts w:ascii="Times New Roman;serif" w:hAnsi="Times New Roman;serif"/>
          <w:b w:val="false"/>
          <w:i/>
          <w:color w:val="000000"/>
          <w:sz w:val="20"/>
        </w:rPr>
        <w:t>decreases</w:t>
      </w:r>
      <w:r>
        <w:rPr>
          <w:color w:val="000000"/>
        </w:rPr>
        <w:t xml:space="preserve"> </w:t>
      </w:r>
      <w:r>
        <w:rPr>
          <w:rFonts w:ascii="Times New Roman;serif" w:hAnsi="Times New Roman;serif"/>
          <w:b w:val="false"/>
          <w:i/>
          <w:color w:val="000000"/>
          <w:sz w:val="20"/>
        </w:rPr>
        <w:t>in the effective tax rate in the second quarter and first half, respectively, of 2026 from 2025 were primarily driven by: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 favorable mix of global earnings.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These decreases were partially offset by: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 decrease in the amount of favorable discrete items in 2026 compared to 2025.</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summary that follows provides a discussion of the results of operations of our three reportable segments (Flow, Water Solutions and Pool). Each of these segments comprises various product offerings that serve multiple end users.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evaluate performance based on net sales and reportable segment income (“segment income”) and use certain ratios, particularly return on sales, to measure performance of our reportable segments.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Flow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sales and segment income for Flow were as follows:</w:t>
      </w:r>
    </w:p>
    <w:tbl>
      <w:tblPr>
        <w:tblW w:w="10203" w:type="dxa"/>
        <w:jc w:val="left"/>
        <w:tblInd w:w="0" w:type="dxa"/>
        <w:tblLayout w:type="fixed"/>
        <w:tblCellMar>
          <w:top w:w="28" w:type="dxa"/>
          <w:left w:w="28" w:type="dxa"/>
          <w:bottom w:w="28" w:type="dxa"/>
          <w:right w:w="28" w:type="dxa"/>
        </w:tblCellMar>
      </w:tblPr>
      <w:tblGrid>
        <w:gridCol w:w="582"/>
        <w:gridCol w:w="509"/>
        <w:gridCol w:w="514"/>
        <w:gridCol w:w="211"/>
        <w:gridCol w:w="616"/>
        <w:gridCol w:w="271"/>
        <w:gridCol w:w="211"/>
        <w:gridCol w:w="616"/>
        <w:gridCol w:w="271"/>
        <w:gridCol w:w="109"/>
        <w:gridCol w:w="109"/>
        <w:gridCol w:w="109"/>
        <w:gridCol w:w="277"/>
        <w:gridCol w:w="277"/>
        <w:gridCol w:w="1036"/>
        <w:gridCol w:w="109"/>
        <w:gridCol w:w="109"/>
        <w:gridCol w:w="109"/>
        <w:gridCol w:w="211"/>
        <w:gridCol w:w="616"/>
        <w:gridCol w:w="271"/>
        <w:gridCol w:w="211"/>
        <w:gridCol w:w="616"/>
        <w:gridCol w:w="271"/>
        <w:gridCol w:w="109"/>
        <w:gridCol w:w="109"/>
        <w:gridCol w:w="109"/>
        <w:gridCol w:w="266"/>
        <w:gridCol w:w="266"/>
        <w:gridCol w:w="1103"/>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4.7 </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3.4 </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components of the change in </w:t>
      </w:r>
      <w:r>
        <w:rPr>
          <w:rFonts w:ascii="Times New Roman;serif" w:hAnsi="Times New Roman;serif"/>
          <w:b w:val="false"/>
          <w:color w:val="000000"/>
          <w:sz w:val="20"/>
        </w:rPr>
        <w:t>Flow</w:t>
      </w:r>
      <w:r>
        <w:rPr>
          <w:color w:val="000000"/>
          <w:shd w:fill="FFFFFF" w:val="clear"/>
        </w:rPr>
        <w:t xml:space="preserve"> </w:t>
      </w:r>
      <w:r>
        <w:rPr>
          <w:rFonts w:ascii="Times New Roman;serif" w:hAnsi="Times New Roman;serif"/>
          <w:b w:val="false"/>
          <w:color w:val="000000"/>
          <w:sz w:val="20"/>
          <w:shd w:fill="FFFFFF" w:val="clear"/>
        </w:rPr>
        <w:t>net sales from the prior period were as follows:</w:t>
      </w:r>
    </w:p>
    <w:tbl>
      <w:tblPr>
        <w:tblW w:w="7902" w:type="dxa"/>
        <w:jc w:val="left"/>
        <w:tblInd w:w="0" w:type="dxa"/>
        <w:tblLayout w:type="fixed"/>
        <w:tblCellMar>
          <w:top w:w="28" w:type="dxa"/>
          <w:left w:w="28" w:type="dxa"/>
          <w:bottom w:w="28" w:type="dxa"/>
          <w:right w:w="28" w:type="dxa"/>
        </w:tblCellMar>
      </w:tblPr>
      <w:tblGrid>
        <w:gridCol w:w="736"/>
        <w:gridCol w:w="649"/>
        <w:gridCol w:w="654"/>
        <w:gridCol w:w="672"/>
        <w:gridCol w:w="672"/>
        <w:gridCol w:w="1685"/>
        <w:gridCol w:w="577"/>
        <w:gridCol w:w="577"/>
        <w:gridCol w:w="1680"/>
      </w:tblGrid>
      <w:tr>
        <w:trPr/>
        <w:tc>
          <w:tcPr>
            <w:tcW w:w="7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growth</w:t>
            </w:r>
          </w:p>
        </w:tc>
        <w:tc>
          <w:tcPr>
            <w:tcW w:w="13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6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Acquisition/Divestiture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4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both"/>
        <w:rPr/>
      </w:pPr>
      <w:r>
        <w:rPr>
          <w:rFonts w:ascii="Times New Roman;serif" w:hAnsi="Times New Roman;serif"/>
          <w:b w:val="false"/>
          <w:i/>
          <w:color w:val="000000"/>
          <w:sz w:val="20"/>
        </w:rPr>
        <w:t>The 5.1 and 7.9</w:t>
      </w:r>
      <w:r>
        <w:rPr>
          <w:color w:val="000000"/>
        </w:rPr>
        <w:t xml:space="preserve"> </w:t>
      </w:r>
      <w:r>
        <w:rPr>
          <w:rFonts w:ascii="Times New Roman;serif" w:hAnsi="Times New Roman;serif"/>
          <w:b w:val="false"/>
          <w:i/>
          <w:color w:val="000000"/>
          <w:sz w:val="20"/>
        </w:rPr>
        <w:t>percent increases in net sales for Flow in the second quarter and first half, respectively, of 2026 from 2025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sales due to the acquisition of Hydra-Stop completed in the third quarter of 2025;</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inflationary cost increases;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favorable foreign currency effects.</w:t>
      </w:r>
    </w:p>
    <w:p>
      <w:pPr>
        <w:pStyle w:val="TextBody"/>
        <w:bidi w:val="0"/>
        <w:spacing w:lineRule="auto" w:line="288" w:before="18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These increases were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decreased sales volume.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Segment income</w:t>
      </w:r>
    </w:p>
    <w:p>
      <w:pPr>
        <w:pStyle w:val="TextBody"/>
        <w:bidi w:val="0"/>
        <w:spacing w:lineRule="auto" w:line="288" w:before="0" w:after="0"/>
        <w:jc w:val="both"/>
        <w:rPr/>
      </w:pPr>
      <w:r>
        <w:rPr>
          <w:rFonts w:ascii="Times New Roman;serif" w:hAnsi="Times New Roman;serif"/>
          <w:b w:val="false"/>
          <w:color w:val="000000"/>
          <w:sz w:val="20"/>
        </w:rPr>
        <w:t>The components of the change in Flow segment income as</w:t>
      </w:r>
      <w:r>
        <w:rPr>
          <w:color w:val="000000"/>
          <w:shd w:fill="FFFFFF" w:val="clear"/>
        </w:rPr>
        <w:t xml:space="preserve"> </w:t>
      </w:r>
      <w:r>
        <w:rPr>
          <w:rFonts w:ascii="Times New Roman;serif" w:hAnsi="Times New Roman;serif"/>
          <w:b w:val="false"/>
          <w:color w:val="000000"/>
          <w:sz w:val="20"/>
          <w:shd w:fill="FFFFFF" w:val="clear"/>
        </w:rPr>
        <w:t>a percentage of net sales from the prior period were as follows:</w:t>
      </w:r>
      <w:r>
        <w:rPr>
          <w:color w:val="000000"/>
        </w:rPr>
        <w:t xml:space="preserve"> </w:t>
      </w:r>
    </w:p>
    <w:tbl>
      <w:tblPr>
        <w:tblW w:w="9075" w:type="dxa"/>
        <w:jc w:val="center"/>
        <w:tblInd w:w="0" w:type="dxa"/>
        <w:tblLayout w:type="fixed"/>
        <w:tblCellMar>
          <w:top w:w="28" w:type="dxa"/>
          <w:left w:w="28" w:type="dxa"/>
          <w:bottom w:w="28" w:type="dxa"/>
          <w:right w:w="28" w:type="dxa"/>
        </w:tblCellMar>
      </w:tblPr>
      <w:tblGrid>
        <w:gridCol w:w="1162"/>
        <w:gridCol w:w="1021"/>
        <w:gridCol w:w="1027"/>
        <w:gridCol w:w="525"/>
        <w:gridCol w:w="525"/>
        <w:gridCol w:w="1980"/>
        <w:gridCol w:w="459"/>
        <w:gridCol w:w="459"/>
        <w:gridCol w:w="1917"/>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Volume/Price/Acquisition/Divestiture</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5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9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91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80" w:after="283"/>
        <w:jc w:val="both"/>
        <w:rPr/>
      </w:pPr>
      <w:r>
        <w:rPr>
          <w:rFonts w:ascii="Times New Roman;serif" w:hAnsi="Times New Roman;serif"/>
          <w:b w:val="false"/>
          <w:i/>
          <w:color w:val="000000"/>
          <w:sz w:val="20"/>
        </w:rPr>
        <w:t>The 4.7 and 3.4</w:t>
      </w:r>
      <w:r>
        <w:rPr>
          <w:color w:val="000000"/>
        </w:rPr>
        <w:t xml:space="preserve"> </w:t>
      </w:r>
      <w:r>
        <w:rPr>
          <w:rFonts w:ascii="Times New Roman;serif" w:hAnsi="Times New Roman;serif"/>
          <w:b w:val="false"/>
          <w:i/>
          <w:color w:val="000000"/>
          <w:sz w:val="20"/>
        </w:rPr>
        <w:t>percentage point increases in segment income for Flow as a percentage of net sales in the second quarter and first half, respectively, of 2026 from 2025 were primarily driven by:</w:t>
      </w:r>
      <w:r>
        <w:rPr>
          <w:color w:val="000000"/>
        </w:rPr>
        <w:t xml:space="preserv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impacts of inflation;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productivity;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the positive impact of $5.4 million in refunds during the second quarter of 2026 associated with tariffs previously collected under IEEPA which partially mitigated inflationary costs increases.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These increases were partially offset by:</w:t>
      </w:r>
    </w:p>
    <w:p>
      <w:pPr>
        <w:pStyle w:val="TextBody"/>
        <w:bidi w:val="0"/>
        <w:spacing w:lineRule="auto" w:line="288" w:before="180" w:after="200"/>
        <w:ind w:left="0" w:right="0" w:hanging="360"/>
        <w:jc w:val="both"/>
        <w:rPr/>
      </w:pPr>
      <w:r>
        <w:rPr>
          <w:color w:val="000000"/>
        </w:rPr>
        <w:t>•</w:t>
      </w:r>
      <w:r>
        <w:rPr>
          <w:rFonts w:ascii="Times New Roman;serif" w:hAnsi="Times New Roman;serif"/>
          <w:b w:val="false"/>
          <w:color w:val="000000"/>
          <w:sz w:val="20"/>
        </w:rPr>
        <w:t>inflationary cost increases related to certain raw material costs.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Water Solutions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sales and segment income for Water Solutions were as follows:</w:t>
      </w:r>
    </w:p>
    <w:tbl>
      <w:tblPr>
        <w:tblW w:w="10203" w:type="dxa"/>
        <w:jc w:val="left"/>
        <w:tblInd w:w="0" w:type="dxa"/>
        <w:tblLayout w:type="fixed"/>
        <w:tblCellMar>
          <w:top w:w="28" w:type="dxa"/>
          <w:left w:w="28" w:type="dxa"/>
          <w:bottom w:w="28" w:type="dxa"/>
          <w:right w:w="28" w:type="dxa"/>
        </w:tblCellMar>
      </w:tblPr>
      <w:tblGrid>
        <w:gridCol w:w="582"/>
        <w:gridCol w:w="509"/>
        <w:gridCol w:w="514"/>
        <w:gridCol w:w="211"/>
        <w:gridCol w:w="616"/>
        <w:gridCol w:w="271"/>
        <w:gridCol w:w="211"/>
        <w:gridCol w:w="616"/>
        <w:gridCol w:w="271"/>
        <w:gridCol w:w="109"/>
        <w:gridCol w:w="109"/>
        <w:gridCol w:w="109"/>
        <w:gridCol w:w="277"/>
        <w:gridCol w:w="277"/>
        <w:gridCol w:w="1036"/>
        <w:gridCol w:w="109"/>
        <w:gridCol w:w="109"/>
        <w:gridCol w:w="109"/>
        <w:gridCol w:w="211"/>
        <w:gridCol w:w="616"/>
        <w:gridCol w:w="271"/>
        <w:gridCol w:w="211"/>
        <w:gridCol w:w="616"/>
        <w:gridCol w:w="271"/>
        <w:gridCol w:w="109"/>
        <w:gridCol w:w="109"/>
        <w:gridCol w:w="109"/>
        <w:gridCol w:w="266"/>
        <w:gridCol w:w="266"/>
        <w:gridCol w:w="1103"/>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5.6 </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3.6 </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the change in Water Solutions net sales from the prior period were as follows:</w:t>
      </w:r>
    </w:p>
    <w:tbl>
      <w:tblPr>
        <w:tblW w:w="7902" w:type="dxa"/>
        <w:jc w:val="center"/>
        <w:tblInd w:w="0" w:type="dxa"/>
        <w:tblLayout w:type="fixed"/>
        <w:tblCellMar>
          <w:top w:w="28" w:type="dxa"/>
          <w:left w:w="28" w:type="dxa"/>
          <w:bottom w:w="28" w:type="dxa"/>
          <w:right w:w="28" w:type="dxa"/>
        </w:tblCellMar>
      </w:tblPr>
      <w:tblGrid>
        <w:gridCol w:w="736"/>
        <w:gridCol w:w="649"/>
        <w:gridCol w:w="654"/>
        <w:gridCol w:w="672"/>
        <w:gridCol w:w="672"/>
        <w:gridCol w:w="1685"/>
        <w:gridCol w:w="577"/>
        <w:gridCol w:w="577"/>
        <w:gridCol w:w="1680"/>
      </w:tblGrid>
      <w:tr>
        <w:trPr/>
        <w:tc>
          <w:tcPr>
            <w:tcW w:w="7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growth</w:t>
            </w:r>
          </w:p>
        </w:tc>
        <w:tc>
          <w:tcPr>
            <w:tcW w:w="13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Acquisition/Divestiture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4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both"/>
        <w:rPr/>
      </w:pPr>
      <w:r>
        <w:rPr>
          <w:rFonts w:ascii="Times New Roman;serif" w:hAnsi="Times New Roman;serif"/>
          <w:b w:val="false"/>
          <w:i/>
          <w:color w:val="000000"/>
          <w:sz w:val="20"/>
        </w:rPr>
        <w:t>The 5.1 and 3.0</w:t>
      </w:r>
      <w:r>
        <w:rPr>
          <w:color w:val="000000"/>
        </w:rPr>
        <w:t xml:space="preserve"> </w:t>
      </w:r>
      <w:r>
        <w:rPr>
          <w:rFonts w:ascii="Times New Roman;serif" w:hAnsi="Times New Roman;serif"/>
          <w:b w:val="false"/>
          <w:i/>
          <w:color w:val="000000"/>
          <w:sz w:val="20"/>
        </w:rPr>
        <w:t>percent decreases in net sales for Water Solutions in the second quarter and first half, respectively, of 2026 from 2025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decreased sales volume;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 business exit in our commercial business that occurred in the second quarter of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These decreases were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inflationary cost increases;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favorable foreign currency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Segment income</w:t>
      </w:r>
    </w:p>
    <w:p>
      <w:pPr>
        <w:pStyle w:val="TextBody"/>
        <w:bidi w:val="0"/>
        <w:spacing w:lineRule="auto" w:line="288" w:before="0" w:after="0"/>
        <w:jc w:val="both"/>
        <w:rPr/>
      </w:pPr>
      <w:r>
        <w:rPr>
          <w:rFonts w:ascii="Times New Roman;serif" w:hAnsi="Times New Roman;serif"/>
          <w:b w:val="false"/>
          <w:color w:val="000000"/>
          <w:sz w:val="20"/>
          <w:shd w:fill="FFFFFF" w:val="clear"/>
        </w:rPr>
        <w:t>The components of the change in Water Solutions segment income as a percentage of net sales from the prior period were as follows:</w:t>
      </w:r>
      <w:r>
        <w:rPr>
          <w:color w:val="000000"/>
        </w:rPr>
        <w:t xml:space="preserve"> </w:t>
      </w:r>
    </w:p>
    <w:tbl>
      <w:tblPr>
        <w:tblW w:w="9075" w:type="dxa"/>
        <w:jc w:val="left"/>
        <w:tblInd w:w="0" w:type="dxa"/>
        <w:tblLayout w:type="fixed"/>
        <w:tblCellMar>
          <w:top w:w="28" w:type="dxa"/>
          <w:left w:w="28" w:type="dxa"/>
          <w:bottom w:w="28" w:type="dxa"/>
          <w:right w:w="28" w:type="dxa"/>
        </w:tblCellMar>
      </w:tblPr>
      <w:tblGrid>
        <w:gridCol w:w="1162"/>
        <w:gridCol w:w="1021"/>
        <w:gridCol w:w="1027"/>
        <w:gridCol w:w="479"/>
        <w:gridCol w:w="479"/>
        <w:gridCol w:w="2072"/>
        <w:gridCol w:w="422"/>
        <w:gridCol w:w="422"/>
        <w:gridCol w:w="1991"/>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Volume/Price/Acquisition/Divestiture</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5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84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bl>
    <w:p>
      <w:pPr>
        <w:pStyle w:val="TextBody"/>
        <w:bidi w:val="0"/>
        <w:spacing w:lineRule="auto" w:line="288" w:before="100" w:after="283"/>
        <w:jc w:val="both"/>
        <w:rPr/>
      </w:pPr>
      <w:r>
        <w:rPr>
          <w:rFonts w:ascii="Times New Roman;serif" w:hAnsi="Times New Roman;serif"/>
          <w:b w:val="false"/>
          <w:i/>
          <w:color w:val="000000"/>
          <w:sz w:val="20"/>
        </w:rPr>
        <w:t>The 5.6 and 3.6</w:t>
      </w:r>
      <w:r>
        <w:rPr>
          <w:color w:val="000000"/>
        </w:rPr>
        <w:t xml:space="preserve"> </w:t>
      </w:r>
      <w:r>
        <w:rPr>
          <w:rFonts w:ascii="Times New Roman;serif" w:hAnsi="Times New Roman;serif"/>
          <w:b w:val="false"/>
          <w:i/>
          <w:color w:val="000000"/>
          <w:sz w:val="20"/>
        </w:rPr>
        <w:t>percentage point increases</w:t>
      </w:r>
      <w:r>
        <w:rPr>
          <w:color w:val="000000"/>
        </w:rPr>
        <w:t xml:space="preserve"> </w:t>
      </w:r>
      <w:r>
        <w:rPr>
          <w:rFonts w:ascii="Times New Roman;serif" w:hAnsi="Times New Roman;serif"/>
          <w:b w:val="false"/>
          <w:i/>
          <w:color w:val="000000"/>
          <w:sz w:val="20"/>
        </w:rPr>
        <w:t>in segment income for Water Solutions as a percentage of net sales in the second quarter and first half, respectively, of 2026 from 2025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impacts of inflation;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productivity;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the positive impact of $18.3 million in refunds in the second quarter of 2026 associated with tariffs previously collected under IEEPA which more than offset inflationary costs increases compared to second quarter of 2025.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These increases were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inflationary cost increases related to certain raw material costs.</w:t>
      </w:r>
    </w:p>
    <w:p>
      <w:pPr>
        <w:pStyle w:val="TextBody"/>
        <w:bidi w:val="0"/>
        <w:spacing w:lineRule="auto" w:line="288" w:before="180" w:after="40"/>
        <w:jc w:val="both"/>
        <w:rPr>
          <w:rFonts w:ascii="Times New Roman;serif" w:hAnsi="Times New Roman;serif"/>
          <w:b/>
          <w:color w:val="000000"/>
          <w:sz w:val="20"/>
        </w:rPr>
      </w:pPr>
      <w:r>
        <w:rPr>
          <w:rFonts w:ascii="Times New Roman;serif" w:hAnsi="Times New Roman;serif"/>
          <w:b/>
          <w:color w:val="000000"/>
          <w:sz w:val="20"/>
        </w:rPr>
        <w:t>Pool</w:t>
      </w:r>
    </w:p>
    <w:p>
      <w:pPr>
        <w:pStyle w:val="TextBody"/>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The net sales and segment income for Pool were as follows:</w:t>
      </w:r>
    </w:p>
    <w:tbl>
      <w:tblPr>
        <w:tblW w:w="10205" w:type="dxa"/>
        <w:jc w:val="left"/>
        <w:tblInd w:w="0" w:type="dxa"/>
        <w:tblLayout w:type="fixed"/>
        <w:tblCellMar>
          <w:top w:w="28" w:type="dxa"/>
          <w:left w:w="28" w:type="dxa"/>
          <w:bottom w:w="28" w:type="dxa"/>
          <w:right w:w="28" w:type="dxa"/>
        </w:tblCellMar>
      </w:tblPr>
      <w:tblGrid>
        <w:gridCol w:w="578"/>
        <w:gridCol w:w="504"/>
        <w:gridCol w:w="509"/>
        <w:gridCol w:w="211"/>
        <w:gridCol w:w="616"/>
        <w:gridCol w:w="271"/>
        <w:gridCol w:w="211"/>
        <w:gridCol w:w="616"/>
        <w:gridCol w:w="271"/>
        <w:gridCol w:w="109"/>
        <w:gridCol w:w="109"/>
        <w:gridCol w:w="109"/>
        <w:gridCol w:w="292"/>
        <w:gridCol w:w="292"/>
        <w:gridCol w:w="1028"/>
        <w:gridCol w:w="109"/>
        <w:gridCol w:w="109"/>
        <w:gridCol w:w="109"/>
        <w:gridCol w:w="211"/>
        <w:gridCol w:w="616"/>
        <w:gridCol w:w="271"/>
        <w:gridCol w:w="211"/>
        <w:gridCol w:w="616"/>
        <w:gridCol w:w="271"/>
        <w:gridCol w:w="109"/>
        <w:gridCol w:w="109"/>
        <w:gridCol w:w="109"/>
        <w:gridCol w:w="266"/>
        <w:gridCol w:w="264"/>
        <w:gridCol w:w="1099"/>
      </w:tblGrid>
      <w:tr>
        <w:trPr/>
        <w:tc>
          <w:tcPr>
            <w:tcW w:w="5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(12.3)</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(5.1)</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components of the change in </w:t>
      </w:r>
      <w:r>
        <w:rPr>
          <w:rFonts w:ascii="Times New Roman;serif" w:hAnsi="Times New Roman;serif"/>
          <w:b w:val="false"/>
          <w:color w:val="000000"/>
          <w:sz w:val="20"/>
        </w:rPr>
        <w:t>Pool</w:t>
      </w:r>
      <w:r>
        <w:rPr>
          <w:color w:val="000000"/>
          <w:shd w:fill="FFFFFF" w:val="clear"/>
        </w:rPr>
        <w:t xml:space="preserve"> </w:t>
      </w:r>
      <w:r>
        <w:rPr>
          <w:rFonts w:ascii="Times New Roman;serif" w:hAnsi="Times New Roman;serif"/>
          <w:b w:val="false"/>
          <w:color w:val="000000"/>
          <w:sz w:val="20"/>
          <w:shd w:fill="FFFFFF" w:val="clear"/>
        </w:rPr>
        <w:t>net sales from the prior period were as follows:</w:t>
      </w:r>
    </w:p>
    <w:tbl>
      <w:tblPr>
        <w:tblW w:w="6988" w:type="dxa"/>
        <w:jc w:val="left"/>
        <w:tblInd w:w="0" w:type="dxa"/>
        <w:tblLayout w:type="fixed"/>
        <w:tblCellMar>
          <w:top w:w="28" w:type="dxa"/>
          <w:left w:w="28" w:type="dxa"/>
          <w:bottom w:w="28" w:type="dxa"/>
          <w:right w:w="28" w:type="dxa"/>
        </w:tblCellMar>
      </w:tblPr>
      <w:tblGrid>
        <w:gridCol w:w="407"/>
        <w:gridCol w:w="358"/>
        <w:gridCol w:w="360"/>
        <w:gridCol w:w="672"/>
        <w:gridCol w:w="672"/>
        <w:gridCol w:w="1685"/>
        <w:gridCol w:w="577"/>
        <w:gridCol w:w="577"/>
        <w:gridCol w:w="1680"/>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growth</w:t>
            </w:r>
          </w:p>
        </w:tc>
        <w:tc>
          <w:tcPr>
            <w:tcW w:w="13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6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6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80"/>
        <w:jc w:val="both"/>
        <w:rPr/>
      </w:pPr>
      <w:r>
        <w:rPr>
          <w:rFonts w:ascii="Times New Roman;serif" w:hAnsi="Times New Roman;serif"/>
          <w:b w:val="false"/>
          <w:i/>
          <w:color w:val="000000"/>
          <w:sz w:val="20"/>
        </w:rPr>
        <w:t>The 42.3 and 21.9</w:t>
      </w:r>
      <w:r>
        <w:rPr>
          <w:color w:val="000000"/>
        </w:rPr>
        <w:t xml:space="preserve"> </w:t>
      </w:r>
      <w:r>
        <w:rPr>
          <w:rFonts w:ascii="Times New Roman;serif" w:hAnsi="Times New Roman;serif"/>
          <w:b w:val="false"/>
          <w:i/>
          <w:color w:val="000000"/>
          <w:sz w:val="20"/>
        </w:rPr>
        <w:t>percent decreases in net sales for Pool in the second quarter and first half, respectively, of 2026 from 2025 were primarily driven by: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decreased sales volume primarily driven by destocking of inventory in the Pool channel.</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These decreases were partially offset by: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increased selling prices to mitigate inflationary cost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Segment income</w:t>
      </w:r>
    </w:p>
    <w:p>
      <w:pPr>
        <w:pStyle w:val="TextBody"/>
        <w:bidi w:val="0"/>
        <w:spacing w:lineRule="auto" w:line="288" w:before="0" w:after="180"/>
        <w:jc w:val="both"/>
        <w:rPr/>
      </w:pPr>
      <w:r>
        <w:rPr>
          <w:rFonts w:ascii="Times New Roman;serif" w:hAnsi="Times New Roman;serif"/>
          <w:b w:val="false"/>
          <w:color w:val="000000"/>
          <w:sz w:val="20"/>
          <w:shd w:fill="FFFFFF" w:val="clear"/>
        </w:rPr>
        <w:t>The components of the change in Pool segment income as a percentage of net sales from the prior period were as follows:</w:t>
      </w:r>
      <w:r>
        <w:rPr>
          <w:color w:val="000000"/>
        </w:rPr>
        <w:t xml:space="preserve"> </w:t>
      </w:r>
    </w:p>
    <w:tbl>
      <w:tblPr>
        <w:tblW w:w="9075" w:type="dxa"/>
        <w:jc w:val="left"/>
        <w:tblInd w:w="0" w:type="dxa"/>
        <w:tblLayout w:type="fixed"/>
        <w:tblCellMar>
          <w:top w:w="28" w:type="dxa"/>
          <w:left w:w="28" w:type="dxa"/>
          <w:bottom w:w="28" w:type="dxa"/>
          <w:right w:w="28" w:type="dxa"/>
        </w:tblCellMar>
      </w:tblPr>
      <w:tblGrid>
        <w:gridCol w:w="1162"/>
        <w:gridCol w:w="1021"/>
        <w:gridCol w:w="1027"/>
        <w:gridCol w:w="479"/>
        <w:gridCol w:w="479"/>
        <w:gridCol w:w="2072"/>
        <w:gridCol w:w="422"/>
        <w:gridCol w:w="422"/>
        <w:gridCol w:w="1991"/>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Volume/Price/Acquisition/Divestiture</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5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20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84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9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bl>
    <w:p>
      <w:pPr>
        <w:pStyle w:val="TextBody"/>
        <w:bidi w:val="0"/>
        <w:spacing w:lineRule="auto" w:line="288" w:before="100" w:after="283"/>
        <w:jc w:val="both"/>
        <w:rPr/>
      </w:pPr>
      <w:r>
        <w:rPr>
          <w:rFonts w:ascii="Times New Roman;serif" w:hAnsi="Times New Roman;serif"/>
          <w:b w:val="false"/>
          <w:i/>
          <w:color w:val="000000"/>
          <w:sz w:val="20"/>
        </w:rPr>
        <w:t>The 12.3 and 5.1</w:t>
      </w:r>
      <w:r>
        <w:rPr>
          <w:color w:val="000000"/>
        </w:rPr>
        <w:t xml:space="preserve"> </w:t>
      </w:r>
      <w:r>
        <w:rPr>
          <w:rFonts w:ascii="Times New Roman;serif" w:hAnsi="Times New Roman;serif"/>
          <w:b w:val="false"/>
          <w:i/>
          <w:color w:val="000000"/>
          <w:sz w:val="20"/>
        </w:rPr>
        <w:t>percentage point decreases in segment income for Pool as a percentage of net sales in the second quarter of 2026 from 2025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decreased sales volume primarily driven by destocking of inventory in the Pool channel;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inflationary cost increases related to certain raw material costs.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These decreases were partially offset by: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increased selling prices to mitigate impacts of inflation;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productivity;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the positive impact of $11.2 million in refunds during the second quarter of 2026 associated with tariffs previously collected under IEEPA which partially mitigated inflationary costs increases.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experience seasonal cash flows primarily due to seasonal demand in a number of markets. Consistent with historical trends, we experienced seasonal cash usage in the first quarter of 2026 and drew on our revolving credit facility to fund our operations. This cash usage reversed in the second quarter of 2026 as the seasonality of our businesses peaked and generated significant cash to fund our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End-user demand for pool equipment in the Pool segment and water solutions, residential water supply and agricultural products in the Water Solutions segment follows warm weather trends, with seasonal highs ranging from April to September. The magnitude of the sales spike has historically been partially mitigated within the Pool segment by employing advance sale “early buy” programs (generally including extended payment terms and/or additional discounts). Demand for residential and agricultural water systems is also impacted by weather patterns, particularly temperature, heavy flooding and droughts.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Summary of cash flows</w:t>
      </w:r>
    </w:p>
    <w:tbl>
      <w:tblPr>
        <w:tblW w:w="4631" w:type="dxa"/>
        <w:jc w:val="left"/>
        <w:tblInd w:w="0" w:type="dxa"/>
        <w:tblLayout w:type="fixed"/>
        <w:tblCellMar>
          <w:top w:w="28" w:type="dxa"/>
          <w:left w:w="28" w:type="dxa"/>
          <w:bottom w:w="28" w:type="dxa"/>
          <w:right w:w="28" w:type="dxa"/>
        </w:tblCellMar>
      </w:tblPr>
      <w:tblGrid>
        <w:gridCol w:w="984"/>
        <w:gridCol w:w="861"/>
        <w:gridCol w:w="869"/>
        <w:gridCol w:w="211"/>
        <w:gridCol w:w="616"/>
        <w:gridCol w:w="109"/>
        <w:gridCol w:w="211"/>
        <w:gridCol w:w="61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 the first six months of 2026 primarily reflects net income from continuing operations, inclusive of $34.9 million of tariff refunds previously collected under IEEPA and net of non-cash depreciation, definite-lived intangible amortization and share-based compensation, of $369.7 million. Additionally, we had a cash inflow of $138.0 million as a result of changes in net working capital, primarily due to decreased accounts receivable and increased inventory balances primarily driven by lower sales volume within our Pool segment attributed to higher channel inventory and lower demand as well as an increase in cash collections during the period.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 the first six months of 2025 primarily reflects net income from continuing operations, net of non-cash depreciation, definite-lived intangible amortization, share-based compensation, loss on sale of business and asset impairment, of $455.8 million. Additionally, we had a cash inflow of $83.3 million as a result of changes in net working capital, primarily due to decreased accounts receivable and increased accounts payable balances. The decrease in accounts receivable was attributed to an increase in cash collections during the period. The increased accounts payable balance was primarily due to an increase in purchases for our peak sales season in the second quarter of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in the first six months of 2026 primarily reflects capital expenditures of $37.4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in the first six months of 2025 primarily reflects capital expenditures of $27.7 million and the purchase of investments of $18.0 million.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 in the first six months of 2026 primarily relates to the repayment $575.0 million of the remaining principal under the Prior Term Loan Facility, share repurchases of $348.2 million and dividend payments of $87.5 million, partially offset by proceeds received from the term loan facility under the Senior Credit Facility of $500.0 million and net borrowings of revolving long-term debt of $42.3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 in the first six months of 2025 primarily relates to the repayment of $250.0 million of the principal balance under the Prior Term Loan Facility, share repurchases of $125.0 million and dividend payments of $82.4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free cash flow:</w:t>
      </w:r>
    </w:p>
    <w:tbl>
      <w:tblPr>
        <w:tblW w:w="6644" w:type="dxa"/>
        <w:jc w:val="left"/>
        <w:tblInd w:w="0" w:type="dxa"/>
        <w:tblLayout w:type="fixed"/>
        <w:tblCellMar>
          <w:top w:w="28" w:type="dxa"/>
          <w:left w:w="28" w:type="dxa"/>
          <w:bottom w:w="28" w:type="dxa"/>
          <w:right w:w="28" w:type="dxa"/>
        </w:tblCellMar>
      </w:tblPr>
      <w:tblGrid>
        <w:gridCol w:w="1403"/>
        <w:gridCol w:w="1228"/>
        <w:gridCol w:w="1239"/>
        <w:gridCol w:w="109"/>
        <w:gridCol w:w="109"/>
        <w:gridCol w:w="164"/>
        <w:gridCol w:w="318"/>
        <w:gridCol w:w="929"/>
        <w:gridCol w:w="164"/>
        <w:gridCol w:w="211"/>
        <w:gridCol w:w="616"/>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981" w:type="dxa"/>
            <w:gridSpan w:val="3"/>
            <w:tcBorders/>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sale of property and equipment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i/>
          <w:color w:val="000000"/>
          <w:sz w:val="20"/>
        </w:rPr>
      </w:pPr>
      <w:r>
        <w:rPr>
          <w:rFonts w:ascii="Times New Roman;serif" w:hAnsi="Times New Roman;serif"/>
          <w:b/>
          <w:i/>
          <w:color w:val="000000"/>
          <w:sz w:val="20"/>
        </w:rPr>
        <w:t>Debt and capital</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Pentair, Pentair Finance S.à r.l (“PFSA”) and Pentair, Inc. are parties to a credit agreement (the “Senior Credit Facility”), with Pentair as guarantor and PFSA and Pentair, Inc. as borrowers, which was amended and restated in May 2025 and May 2026, providing for a $900.0 million senior unsecured revolving credit facility and a $500.0 million senior unsecured term loan facility. The revolving credit and term loan facilities have a maturity date of May 5, 2030. The term loan facility has required quarterly installment payments of $3.1 million beginning on the last day of the second quarter of 2027 and increasing to $6.3 million beginning with the last day of the second quarter of 2028.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total availability under the Senior Credit Facility was $580.0 million. Additionally, PFSA has the option to request to increase the revolving credit facility and/or to enter into one or more additional tranches of term loans in an aggregate amount of up to $450.0 million, subject to customary conditions, including the commitment of the participating lenders.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Pentair and PFSA were parties to a senior unsecured term loan facility (the “Prior Term Loan Facility”), with PFSA as borrower and Pentair as guarantor providing for an aggregate principal amount of $1.0 billion and a maturity date of July 28, 2027. In May 2026, PFSA repaid the remaining $575.0 million outstanding under the Prior Term Loan Facility using proceeds from borrowings under the amended Senior Credit Facility, and the Prior Term Loan Facility was terminated.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entering into the definitive agreement to acquire Taco, PFSA entered into a commitment letter, dated July 27, 2026 (the “Commitment Letter”), pursuant to which, among other things, the lender has committed to provide debt financing for the acquisition of Taco, consisting of a senior unsecured bridge facility of $1.4 billion (the “Bridge Facility”), on the terms and subject to the conditions set forth in the Commitment Letter. The Bridge Facility will be subject to mandatory reduction and prepayment for 100% of the net cash proceeds from the issuance of any debt and other of our securities and other specified events, subject to certain exceptions.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cash interest expense, for the same period to be less than 3.00 to 1.00 as of the end of each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quarter. For purposes of the Leverage Ratio, the Senior Credit Facility provides for the calculation of EBITDA giving pro forma effect to certain acquisitions, divestitures and liquidations during the period to which such calculation relates.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Senior Credit Facility, we have various other credit facilities with an aggregate availability of $21.1 million, of which there were no outstanding borrowings at June 30, 2026. Borrowings under these credit facilities bear interest at variable rates.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have $3.1 million of payments due in the next twelve months under the term loan facility of the Senior Credit Facility. We classified this debt as long-term as of June 30, 2026, as we have the intent and ability to refinance such obligation on a long-term basis utilizing the Senior Credit Facility’s revolving credit facility.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we had $38.5 million of cash held in certain countries in which the ability to repatriate is limited due to local regulations or significant potential tax consequences.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2025, the Board of Directors authorized the repurchase of our ordinary shares up to a maximum dollar limit of $1.0 billion. This authorization expires on December 31, 2028. During the six months ended June 30, 2026, we repurchased 4.0 million of our ordinary shares for $350.0 million. As of June 30, 2026, we had $650.0 million available for share repurchases under this authorization.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Dividends payable</w:t>
      </w:r>
    </w:p>
    <w:p>
      <w:pPr>
        <w:pStyle w:val="TextBody"/>
        <w:bidi w:val="0"/>
        <w:spacing w:lineRule="auto" w:line="288" w:before="0" w:after="200"/>
        <w:jc w:val="both"/>
        <w:rPr/>
      </w:pPr>
      <w:r>
        <w:rPr>
          <w:rFonts w:ascii="Times New Roman;serif" w:hAnsi="Times New Roman;serif"/>
          <w:b w:val="false"/>
          <w:color w:val="000000"/>
          <w:sz w:val="20"/>
        </w:rPr>
        <w:t xml:space="preserve">On May 4, 2026, the Board of Directors declared a quarterly cash dividend of $0.27 per share, payable on August 7, 2026 to shareholders of record at the close of business on July 24, 2026. As a result, the balance of dividends payable included in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on our Condensed Consolidated Balance Sheets was $43.1 million at June 30, 2026, compared to $44.1 million at December 31,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paid dividends in the first six months of 2026 of $87.5 million, or $0.54 per ordinary share compared with $82.4 million, or $0.50 per ordinary share, in the prior year period.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$6.4 billion as of December 31, 2025.</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Supplemental guarantor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Pentair plc (the “Parent Company Guarantor”), fully and unconditionally, guarantees the senior notes of PFSA (the “Subsidiary Issuer”). The Subsidiary Issuer is a Luxembourg private limited liability company and 100 percent-owned subsidiary of the Parent Company Guarantor.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financial information as of June 30, 2026 and December 31, 2025 for the Parent Company Guarantor and Subsidiary Issuer on a combined basis after elimination of (i) intercompany transactions and balances among the guarantors and the issuer and (ii) equity in earnings from and investments in any subsidiary that is a non-guarantor or issuer.</w:t>
      </w:r>
    </w:p>
    <w:tbl>
      <w:tblPr>
        <w:tblW w:w="10205" w:type="dxa"/>
        <w:jc w:val="left"/>
        <w:tblInd w:w="0" w:type="dxa"/>
        <w:tblLayout w:type="fixed"/>
        <w:tblCellMar>
          <w:top w:w="28" w:type="dxa"/>
          <w:left w:w="28" w:type="dxa"/>
          <w:bottom w:w="28" w:type="dxa"/>
          <w:right w:w="28" w:type="dxa"/>
        </w:tblCellMar>
      </w:tblPr>
      <w:tblGrid>
        <w:gridCol w:w="1791"/>
        <w:gridCol w:w="1543"/>
        <w:gridCol w:w="1559"/>
        <w:gridCol w:w="631"/>
        <w:gridCol w:w="1220"/>
        <w:gridCol w:w="290"/>
        <w:gridCol w:w="875"/>
        <w:gridCol w:w="1684"/>
        <w:gridCol w:w="453"/>
        <w:gridCol w:w="159"/>
      </w:tblGrid>
      <w:tr>
        <w:trPr/>
        <w:tc>
          <w:tcPr>
            <w:tcW w:w="179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8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0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59" w:type="dxa"/>
            <w:tcBorders/>
          </w:tcPr>
          <w:p>
            <w:pPr>
              <w:pStyle w:val="TableContents"/>
              <w:bidi w:val="0"/>
              <w:spacing w:before="0" w:after="283"/>
              <w:jc w:val="left"/>
              <w:rPr>
                <w:sz w:val="4"/>
                <w:szCs w:val="4"/>
              </w:rPr>
            </w:pPr>
            <w:r>
              <w:rPr>
                <w:sz w:val="4"/>
                <w:szCs w:val="4"/>
              </w:rPr>
            </w:r>
          </w:p>
        </w:tc>
      </w:tr>
      <w:tr>
        <w:trPr/>
        <w:tc>
          <w:tcPr>
            <w:tcW w:w="4893" w:type="dxa"/>
            <w:gridSpan w:val="3"/>
            <w:vMerge w:val="continue"/>
            <w:tcBorders/>
            <w:tcMar>
              <w:top w:w="0" w:type="dxa"/>
              <w:left w:w="0" w:type="dxa"/>
              <w:bottom w:w="0" w:type="dxa"/>
              <w:right w:w="0" w:type="dxa"/>
            </w:tcMar>
            <w:vAlign w:val="center"/>
          </w:tcPr>
          <w:p>
            <w:pPr>
              <w:pStyle w:val="Normal"/>
              <w:bidi w:val="0"/>
              <w:jc w:val="left"/>
              <w:rPr/>
            </w:pPr>
            <w:r>
              <w:rPr/>
            </w:r>
          </w:p>
        </w:tc>
        <w:tc>
          <w:tcPr>
            <w:tcW w:w="2141" w:type="dxa"/>
            <w:gridSpan w:val="3"/>
            <w:vMerge w:val="continue"/>
            <w:tcBorders/>
            <w:tcMar>
              <w:top w:w="0" w:type="dxa"/>
              <w:left w:w="0" w:type="dxa"/>
              <w:bottom w:w="0" w:type="dxa"/>
              <w:right w:w="0" w:type="dxa"/>
            </w:tcMar>
            <w:vAlign w:val="center"/>
          </w:tcPr>
          <w:p>
            <w:pPr>
              <w:pStyle w:val="Normal"/>
              <w:bidi w:val="0"/>
              <w:jc w:val="left"/>
              <w:rPr/>
            </w:pPr>
            <w:r>
              <w:rPr/>
            </w:r>
          </w:p>
        </w:tc>
        <w:tc>
          <w:tcPr>
            <w:tcW w:w="3012"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assets </w:t>
            </w:r>
            <w:r>
              <w:rPr>
                <w:rFonts w:ascii="Times New Roman;serif" w:hAnsi="Times New Roman;serif"/>
                <w:b w:val="false"/>
                <w:color w:val="000000"/>
                <w:sz w:val="13"/>
              </w:rPr>
              <w:t>(1)</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Noncurrent assets </w:t>
            </w:r>
            <w:r>
              <w:rPr>
                <w:rFonts w:ascii="Times New Roman;serif" w:hAnsi="Times New Roman;serif"/>
                <w:b w:val="false"/>
                <w:color w:val="000000"/>
                <w:sz w:val="13"/>
              </w:rPr>
              <w:t>(2)</w:t>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2,503.6 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liabilities </w:t>
            </w:r>
            <w:r>
              <w:rPr>
                <w:rFonts w:ascii="Times New Roman;serif" w:hAnsi="Times New Roman;serif"/>
                <w:b w:val="false"/>
                <w:color w:val="000000"/>
                <w:sz w:val="13"/>
              </w:rPr>
              <w:t>(3)</w:t>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2,310.8 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Noncurrent liabilities </w:t>
            </w:r>
            <w:r>
              <w:rPr>
                <w:rFonts w:ascii="Times New Roman;serif" w:hAnsi="Times New Roman;serif"/>
                <w:b w:val="false"/>
                <w:color w:val="000000"/>
                <w:sz w:val="13"/>
              </w:rPr>
              <w:t>(4)</w:t>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1"/>
              </w:rPr>
              <w:t xml:space="preserve">(1) </w:t>
            </w:r>
            <w:r>
              <w:rPr>
                <w:rFonts w:ascii="Times New Roman;serif" w:hAnsi="Times New Roman;serif"/>
                <w:b w:val="false"/>
                <w:color w:val="000000"/>
                <w:sz w:val="17"/>
              </w:rPr>
              <w:t>No assets due from non-guarantor subsidiaries were included as of June 30, 2026 and December 31, 2025, respectively.</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1"/>
              </w:rPr>
              <w:t xml:space="preserve">(2) </w:t>
            </w:r>
            <w:r>
              <w:rPr>
                <w:rFonts w:ascii="Times New Roman;serif" w:hAnsi="Times New Roman;serif"/>
                <w:b w:val="false"/>
                <w:color w:val="000000"/>
                <w:sz w:val="17"/>
              </w:rPr>
              <w:t xml:space="preserve">Includes assets due from non-guarantor subsidiaries of $2,498.6 million and $2,503.6 million as of June 30, 2026 and December 31, 2025, respectively. </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1"/>
              </w:rPr>
              <w:t xml:space="preserve">(3) </w:t>
            </w:r>
            <w:r>
              <w:rPr>
                <w:rFonts w:ascii="Times New Roman;serif" w:hAnsi="Times New Roman;serif"/>
                <w:b w:val="false"/>
                <w:color w:val="000000"/>
                <w:sz w:val="17"/>
              </w:rPr>
              <w:t>Includes liabilities due to non-guarantor subsidiaries of $2,676.8 million and $2,235.8 million as of June 30, 2026 and December 31, 2025, respectively.</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1"/>
              </w:rPr>
              <w:t xml:space="preserve">(4) </w:t>
            </w:r>
            <w:r>
              <w:rPr>
                <w:rFonts w:ascii="Times New Roman;serif" w:hAnsi="Times New Roman;serif"/>
                <w:b w:val="false"/>
                <w:color w:val="000000"/>
                <w:sz w:val="17"/>
              </w:rPr>
              <w:t>Includes liabilities due to non-guarantor subsidiaries of $165.7 million and $171.4 million as of June 30, 2026 and December 31, 2025, respectively.</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Parent Company Guarantor and Subsidiary Issuer do not have material results of operations on a combined basis.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2025,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during the quarter ended June 30, 2026. For additional information refer to Item 7A of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before="18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    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2026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June 30, 2026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    Changes in Internal Control over Financial Reporting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quarter ended June 30, 2026 that has materially affected, or is reasonably likely to materially affect, our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we began a multi-year implementation of our new global enterprise resource planning (“ERP”) system. Ultimately, this ERP system will modernize several of our existing operating and transactional financial systems. We believe this implementation will enhance our internal control over financial reporting due to improved operational functionality and further integration of related processes. As a result of this ERP implementation process, we have automated, modified or implemented certain internal controls as appropriate. We will continue to monitor our internal control over financial reporting for effectiveness throughout the remainder of this implementation.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customers, authorities or parties to acquisitions and divestitures; intellectual property matters; environmental, asbestos, safety and health matters; product liability; claims relating to the use or installation of our products; consumer matters; and employment and labor matters.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Item 1A. of our Annual Report on Form 10-K for the year ended December 31, 2025, except for the additional risk factors relating to the Taco acquisition set forth below.</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not realize the anticipated benefits of the Taco acquisition and any benefit may take longer to realize than we expect.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Taco acquisition will involve the integration of Taco’s operations with our existing operations, and there are uncertainties inherent in such an integration. We will be required to devote significant management attention and resources to integrating Taco’s operations. Delays or unexpected difficulties in the integration process could adversely affect our business, financial results and financial condition. Even if we are able to integrate Taco’s operations successfully, this integration may not result in the realization of the full benefits of revenue synergies, cost savings and operational efficiencies that we expect or the achievement of these benefits within a reasonable period of time or at all.</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could be subject to new risks, known and unknown, relating to the Taco acquisition.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experience risks, losses and damages associated with the Taco acquisition. The risks we could face include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Taco acquisition may lead to the incurrence of costs to review, upgrade and integrate Taco’s systems with our compliance and reporting systems, including our systems of internal control over financial reporting. The process of integrating Taco into our internal control over financial reporting could require significant time and effort from our management and other personnel and could increase our compliance costs;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Taco acquisition involves the inherent risk of liabilities, and these liabilities may prove more costly or produce more adverse effects than we anticipate, such as actual or potential litigation and regulatory matters. In addition, in the course of the due diligence review of Taco, we may not have discovered, or may have been unable to quantify, undisclosed liabilities of Taco, and we may not be indemnified or have insurance for any of these liabilities. Any such liabilities could have an adverse effect on our business, results of operations, financial condition and cash flows following the completion of the Taco acquisition.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Any of these risks associated with the Taco acquisition could have a material adverse impact on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Increased leverage may harm our financial condition and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$1,606.0 million of total debt on a consolidated basis. We expect our indebtedness to increase materially in connection with our acquisition of Taco. We intend to fund the Taco acquisition with new debt, together with cash on hand and/or borrowings under our revolving credit facility, and, if necessary, borrowings under the bridge facility for an aggregate amount of approximately $1.4 billion of new indebtedness in connection with the Taco acquisition. We and our subsidiaries may incur additional indebtedness in the future. Future increases in our level of indebtedness will have several important effects on our future operations, including, without limitation: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will have additional cash requirements in order to support the payment of interest on our outstanding indebtedness;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increases in our outstanding indebtedness and leverage may increase our vulnerability to adverse changes in general economic and industry conditions, as well as to competitive pressure;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obtain additional financing for working capital, capital expenditures, general corporate and other purposes may be reduced;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flexibility in planning for, or reacting to, changes in our business and our industry may be reduced;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flexibility to make acquisitions and develop technology may be limited.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ability to make payments of principal and interest on our indebtedness depends upon our future performance, which will be subject to general economic conditions and financial, business and other factors affecting our consolidated operations, many of which are beyond our control. If we are unable to generate sufficient cash flow from operations in the future to service our debt and meet our other cash requirements, we may be required, among other things: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to seek additional financing in the debt or equity markets;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to refinance or restructure all or a portion of our indebtedness;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to sell selected assets or businesses; or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to reduce or delay planned capital or operating expenditures.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Such measures might not be sufficient to enable us to service our debt and meet our other cash requirements. In addition, any such financing, refinancing or sale of assets might not be available at all or on economically favorable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135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purchases we made of our ordinary shares during the second quarter of 2026:</w:t>
      </w:r>
    </w:p>
    <w:tbl>
      <w:tblPr>
        <w:tblW w:w="7946" w:type="dxa"/>
        <w:jc w:val="left"/>
        <w:tblInd w:w="0" w:type="dxa"/>
        <w:tblLayout w:type="fixed"/>
        <w:tblCellMar>
          <w:top w:w="28" w:type="dxa"/>
          <w:left w:w="28" w:type="dxa"/>
          <w:bottom w:w="28" w:type="dxa"/>
          <w:right w:w="28" w:type="dxa"/>
        </w:tblCellMar>
      </w:tblPr>
      <w:tblGrid>
        <w:gridCol w:w="554"/>
        <w:gridCol w:w="487"/>
        <w:gridCol w:w="489"/>
        <w:gridCol w:w="488"/>
        <w:gridCol w:w="488"/>
        <w:gridCol w:w="426"/>
        <w:gridCol w:w="297"/>
        <w:gridCol w:w="869"/>
        <w:gridCol w:w="155"/>
        <w:gridCol w:w="594"/>
        <w:gridCol w:w="594"/>
        <w:gridCol w:w="596"/>
        <w:gridCol w:w="246"/>
        <w:gridCol w:w="1382"/>
        <w:gridCol w:w="127"/>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w:t>
              <w:br/>
              <w:t>of shares</w:t>
              <w:br/>
              <w:t>purchased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br/>
              <w:t>paid per share</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purchased as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of publicly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announced plans or</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programs</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 value of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that may yet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 purchased under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plans or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programs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May 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800,004,397 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3 - May 30</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1,334,965 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1,331,437 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700,004,418 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 June 30</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677,082 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676,008 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650,004,399 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2,013,043 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2,007,445 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 purchases in this column include 996 shares for the period April 1 - May 2, 3,528 shares for the period May 3 - May 30 and 1,074 shares for the period May 31 - June 30 deemed surrendered to us by participants in our equity incentive plans to satisfy the exercise price or withholding of tax obligations related to the exercise of stock options and vesting of restricted and performance shares.</w:t>
      </w:r>
    </w:p>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(c)The number of shares in this column represents the number of shares repurchased as part of our publicly announced plans to repurchase our ordinary shares up to the maximum dollar limit authorized by the Board of Directors, discussed below.</w:t>
      </w:r>
    </w:p>
    <w:p>
      <w:pPr>
        <w:pStyle w:val="TextBody"/>
        <w:bidi w:val="0"/>
        <w:spacing w:lineRule="auto" w:line="288" w:before="180" w:after="3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(d)In December 2025, the Board of Directors authorized the repurchase of our ordinary shares up to a maximum dollar limit of $1.0 billion. This authorization expires on December 31, 2028. As of June 30, 2026, we had $650.0 million remaining availability for share repurchases under this authorization. From time to time, we may enter into a Rule 10b5-1 trading plan for the purpose of repurchasing shares under this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(c)During the second quarter of 2026, none of our directors or Section 16 officers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exhibits listed in the following Exhibit Index are filed as part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Index to Form 10-Q for the Period Ended June 30, 2026</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2866"/>
        <w:gridCol w:w="2705"/>
        <w:gridCol w:w="3826"/>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 to Second Amended and Restated Credit Agreement, dated as of May 5, 2026, among Pentair plc, Pentair Finance S.à r.l., Pentair, Inc. and the lenders and agents party thereto. (Incorporated by reference to Exhibit 4.1 to the Current Report on Form 8-K of Pentair plc dated May 5, 2026 (File No. 001-11625)).</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List of Guarantors and Subsidiary Issuers of Guaranteed Securities. (Incorporated by reference to Exhibit 22 to the Quarterly Report on Form 10-Q of Pentair plc for the quarter ended September 30, 2025 (File No. 001-11625)).</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ceocertificationq22026.htm">
              <w:r>
                <w:rPr>
                  <w:rStyle w:val="InternetLink"/>
                  <w:rFonts w:ascii="Times New Roman;serif" w:hAnsi="Times New Roman;serif"/>
                  <w:b/>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cfocertificationq22026.htm">
              <w:r>
                <w:rPr>
                  <w:rStyle w:val="InternetLink"/>
                  <w:rFonts w:ascii="Times New Roman;serif" w:hAnsi="Times New Roman;serif"/>
                  <w:b/>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ceocertificationq22026.htm">
              <w:r>
                <w:rPr>
                  <w:rStyle w:val="InternetLink"/>
                  <w:rFonts w:ascii="Times New Roman;serif" w:hAnsi="Times New Roman;serif"/>
                  <w:b/>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Section 1350, as Adopted Pursuant to Section 906 of the Sarbanes-Oxley Act of 2002.</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cfocertificationq22026.htm">
              <w:r>
                <w:rPr>
                  <w:rStyle w:val="InternetLink"/>
                  <w:rFonts w:ascii="Times New Roman;serif" w:hAnsi="Times New Roman;serif"/>
                  <w:b/>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Section 1350, as Adopted Pursuant to Section 906 of the Sarbanes-Oxley Act of 2002.</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Pentair plc’s Quarterly Report on Form 10-Q for the quarter ended June 30, 2026 are filed herewith, formatted in iXBRL (Inline Extensible Business Reporting Language): (i) the Condensed Consolidated Statements of Operations and Comprehensive Income for the three months and six months ended June 30, 2026 and 2025, (ii) the Condensed Consolidated Balance Sheets as of June 30, 2026 and December 31, 2025, (iii) the Condensed Consolidated Statements of Cash Flows for the six months ended June 30, 2026 and 2025, (iv) the Condensed Consolidated Statements of Changes in Equity for the three months and six months ended June 30, 2026 and 2025, (v) Notes to Condensed Consolidated Financial Statements, and (vi) the information included in Part II, Item 5(c). The instance document does not appear in the interactive data file because its XBRL tags are embedded within the Inline XBRL document.</w:t>
            </w:r>
          </w:p>
        </w:tc>
      </w:tr>
      <w:tr>
        <w:trPr/>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80" w:after="283"/>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240d2306f3748089a7795db9cfd89f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July 28, 2026.</w:t>
      </w:r>
    </w:p>
    <w:p>
      <w:pPr>
        <w:pStyle w:val="TextBody"/>
        <w:bidi w:val="0"/>
        <w:spacing w:lineRule="auto" w:line="288" w:before="0" w:after="0"/>
        <w:jc w:val="left"/>
        <w:rPr>
          <w:color w:val="000000"/>
        </w:rPr>
      </w:pPr>
      <w:r>
        <w:rPr>
          <w:color w:val="000000"/>
        </w:rPr>
        <w:t> </w:t>
      </w:r>
    </w:p>
    <w:tbl>
      <w:tblPr>
        <w:tblW w:w="6081" w:type="dxa"/>
        <w:jc w:val="left"/>
        <w:tblInd w:w="0" w:type="dxa"/>
        <w:tblLayout w:type="fixed"/>
        <w:tblCellMar>
          <w:top w:w="28" w:type="dxa"/>
          <w:left w:w="28" w:type="dxa"/>
          <w:bottom w:w="28" w:type="dxa"/>
          <w:right w:w="28" w:type="dxa"/>
        </w:tblCellMar>
      </w:tblPr>
      <w:tblGrid>
        <w:gridCol w:w="124"/>
        <w:gridCol w:w="109"/>
        <w:gridCol w:w="109"/>
        <w:gridCol w:w="158"/>
        <w:gridCol w:w="158"/>
        <w:gridCol w:w="158"/>
        <w:gridCol w:w="1609"/>
        <w:gridCol w:w="1609"/>
        <w:gridCol w:w="2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Pentair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Jennifer M. Hensley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Jennifer M. Hensley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 and Controller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John L. Stauch, certify that: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Pentair plc;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980" w:type="dxa"/>
        <w:jc w:val="left"/>
        <w:tblInd w:w="0" w:type="dxa"/>
        <w:tblLayout w:type="fixed"/>
        <w:tblCellMar>
          <w:top w:w="28" w:type="dxa"/>
          <w:left w:w="28" w:type="dxa"/>
          <w:bottom w:w="28" w:type="dxa"/>
          <w:right w:w="28" w:type="dxa"/>
        </w:tblCellMar>
      </w:tblPr>
      <w:tblGrid>
        <w:gridCol w:w="201"/>
        <w:gridCol w:w="177"/>
        <w:gridCol w:w="177"/>
        <w:gridCol w:w="404"/>
        <w:gridCol w:w="404"/>
        <w:gridCol w:w="407"/>
        <w:gridCol w:w="937"/>
        <w:gridCol w:w="937"/>
        <w:gridCol w:w="133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ind w:left="0" w:right="0" w:hanging="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Robert P. Fishman, certify that: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Pentair plc;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839" w:type="dxa"/>
        <w:jc w:val="left"/>
        <w:tblInd w:w="0" w:type="dxa"/>
        <w:tblLayout w:type="fixed"/>
        <w:tblCellMar>
          <w:top w:w="28" w:type="dxa"/>
          <w:left w:w="28" w:type="dxa"/>
          <w:bottom w:w="28" w:type="dxa"/>
          <w:right w:w="28" w:type="dxa"/>
        </w:tblCellMar>
      </w:tblPr>
      <w:tblGrid>
        <w:gridCol w:w="201"/>
        <w:gridCol w:w="177"/>
        <w:gridCol w:w="177"/>
        <w:gridCol w:w="404"/>
        <w:gridCol w:w="404"/>
        <w:gridCol w:w="407"/>
        <w:gridCol w:w="1482"/>
        <w:gridCol w:w="1482"/>
        <w:gridCol w:w="2105"/>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Pentair plc (the “Company”) on Form 10-Q for the period ended June 30, 2026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980" w:type="dxa"/>
        <w:jc w:val="left"/>
        <w:tblInd w:w="0" w:type="dxa"/>
        <w:tblLayout w:type="fixed"/>
        <w:tblCellMar>
          <w:top w:w="28" w:type="dxa"/>
          <w:left w:w="28" w:type="dxa"/>
          <w:bottom w:w="28" w:type="dxa"/>
          <w:right w:w="28" w:type="dxa"/>
        </w:tblCellMar>
      </w:tblPr>
      <w:tblGrid>
        <w:gridCol w:w="201"/>
        <w:gridCol w:w="177"/>
        <w:gridCol w:w="177"/>
        <w:gridCol w:w="404"/>
        <w:gridCol w:w="404"/>
        <w:gridCol w:w="407"/>
        <w:gridCol w:w="937"/>
        <w:gridCol w:w="937"/>
        <w:gridCol w:w="133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Pentair plc (the “Company”) on Form 10-Q for the period ended June 30, 2026 as filed with the Securities and Exchange Commission on the date hereof (the “Report”), I, Robert P. Fishman, Interim Executive Vice President and Chief Financial Officer of the Company, certify, pursuant to 18 U.S.C. § 1350, as adopted pursuant to Section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839" w:type="dxa"/>
        <w:jc w:val="left"/>
        <w:tblInd w:w="0" w:type="dxa"/>
        <w:tblLayout w:type="fixed"/>
        <w:tblCellMar>
          <w:top w:w="28" w:type="dxa"/>
          <w:left w:w="28" w:type="dxa"/>
          <w:bottom w:w="28" w:type="dxa"/>
          <w:right w:w="28" w:type="dxa"/>
        </w:tblCellMar>
      </w:tblPr>
      <w:tblGrid>
        <w:gridCol w:w="201"/>
        <w:gridCol w:w="177"/>
        <w:gridCol w:w="177"/>
        <w:gridCol w:w="404"/>
        <w:gridCol w:w="404"/>
        <w:gridCol w:w="407"/>
        <w:gridCol w:w="1482"/>
        <w:gridCol w:w="1482"/>
        <w:gridCol w:w="2105"/>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7360/000110465926056228/tm2613486d1_ex4-1.htm" TargetMode="External"/><Relationship Id="rId4" Type="http://schemas.openxmlformats.org/officeDocument/2006/relationships/hyperlink" Target="https://www.sec.gov/Archives/edgar/data/77360/000007736025000047/ex22guarantorsubsidiariesq.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18689</Words>
  <Characters>102934</Characters>
  <CharactersWithSpaces>120075</CharactersWithSpaces>
  <Paragraphs>3181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