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2021</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00" w:hanging="4274"/>
        <w:spacing w:after="0" w:line="387" w:lineRule="auto"/>
        <w:tabs>
          <w:tab w:leader="none" w:pos="11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-28575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4"/>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98-1141328</w:t>
            </w:r>
          </w:p>
        </w:tc>
      </w:tr>
      <w:tr>
        <w:trPr>
          <w:trHeight w:val="224"/>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3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w w:val="99"/>
              </w:rPr>
              <w:t>Regal House, 70 London Road,</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7680" w:type="dxa"/>
            <w:vAlign w:val="bottom"/>
            <w:gridSpan w:val="3"/>
          </w:tcPr>
          <w:p>
            <w:pPr>
              <w:ind w:left="3960"/>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9"/>
              </w:rPr>
              <w:t>Non-accelerated filer</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On June 30, 2021, 165,863,101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Pentair plc and Subsidiaries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17145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and Comprehensive Income</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w:t>
              </w:r>
            </w:hyperlink>
          </w:p>
        </w:tc>
        <w:tc>
          <w:tcPr>
            <w:tcW w:w="1060" w:type="dxa"/>
            <w:vAlign w:val="bottom"/>
            <w:gridSpan w:val="3"/>
          </w:tcPr>
          <w:p>
            <w:pPr>
              <w:ind w:left="88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Changes in Equity</w:t>
              </w:r>
            </w:hyperlink>
          </w:p>
        </w:tc>
        <w:tc>
          <w:tcPr>
            <w:tcW w:w="1060" w:type="dxa"/>
            <w:vAlign w:val="bottom"/>
            <w:gridSpan w:val="3"/>
          </w:tcPr>
          <w:p>
            <w:pPr>
              <w:ind w:left="88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4180" w:type="dxa"/>
            <w:vAlign w:val="bottom"/>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3160" w:type="dxa"/>
            <w:vAlign w:val="bottom"/>
            <w:gridSpan w:val="4"/>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734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13"/>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Quantitative and Qualitative Disclosures about Market Risk</w:t>
              </w:r>
            </w:hyperlink>
          </w:p>
        </w:tc>
        <w:tc>
          <w:tcPr>
            <w:tcW w:w="21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7"/>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Controls and Procedures</w:t>
              </w:r>
            </w:hyperlink>
          </w:p>
        </w:tc>
        <w:tc>
          <w:tcPr>
            <w:tcW w:w="2540" w:type="dxa"/>
            <w:vAlign w:val="bottom"/>
            <w:gridSpan w:val="6"/>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Risk Factors</w:t>
              </w:r>
            </w:hyperlink>
          </w:p>
        </w:tc>
        <w:tc>
          <w:tcPr>
            <w:tcW w:w="420" w:type="dxa"/>
            <w:vAlign w:val="bottom"/>
            <w:gridSpan w:val="2"/>
          </w:tcPr>
          <w:p>
            <w:pPr>
              <w:spacing w:after="0"/>
              <w:rPr>
                <w:sz w:val="22"/>
                <w:szCs w:val="22"/>
                <w:color w:val="auto"/>
              </w:rPr>
            </w:pPr>
          </w:p>
        </w:tc>
        <w:tc>
          <w:tcPr>
            <w:tcW w:w="6020" w:type="dxa"/>
            <w:vAlign w:val="bottom"/>
            <w:gridSpan w:val="10"/>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gridSpan w:val="13"/>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Unregistered Sales of Equity Securities and Use of Proceeds</w:t>
              </w:r>
            </w:hyperlink>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3700" w:type="dxa"/>
            <w:vAlign w:val="bottom"/>
            <w:gridSpan w:val="12"/>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Signatures</w:t>
              </w:r>
            </w:hyperlink>
          </w:p>
        </w:tc>
        <w:tc>
          <w:tcPr>
            <w:tcW w:w="6580" w:type="dxa"/>
            <w:vAlign w:val="bottom"/>
            <w:gridSpan w:val="1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3"/>
          </w:tcPr>
          <w:p>
            <w:pPr>
              <w:jc w:val="center"/>
              <w:ind w:left="36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6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520" w:type="dxa"/>
            <w:vAlign w:val="bottom"/>
            <w:gridSpan w:val="3"/>
          </w:tcPr>
          <w:p>
            <w:pPr>
              <w:jc w:val="center"/>
              <w:ind w:left="3630"/>
              <w:spacing w:after="0"/>
              <w:rPr>
                <w:sz w:val="20"/>
                <w:szCs w:val="20"/>
                <w:color w:val="auto"/>
              </w:rPr>
            </w:pPr>
            <w:r>
              <w:rPr>
                <w:rFonts w:ascii="Arial" w:cs="Arial" w:eastAsia="Arial" w:hAnsi="Arial"/>
                <w:sz w:val="18"/>
                <w:szCs w:val="18"/>
                <w:b w:val="1"/>
                <w:bCs w:val="1"/>
                <w:color w:val="auto"/>
                <w:w w:val="89"/>
              </w:rPr>
              <w:t>Pentair plc and Subsidiaries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40" w:type="dxa"/>
            <w:vAlign w:val="bottom"/>
            <w:gridSpan w:val="8"/>
          </w:tcPr>
          <w:p>
            <w:pPr>
              <w:jc w:val="center"/>
              <w:ind w:left="113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7"/>
              </w:rPr>
              <w:t>June 30,</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7"/>
              </w:rPr>
              <w:t>June 30,</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72.1</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Comprehensive income, net of tax</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market value of derivative financial instruments,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ordinary shares outstanding</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98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per-share data</w:t>
            </w:r>
          </w:p>
        </w:tc>
        <w:tc>
          <w:tcPr>
            <w:tcW w:w="300" w:type="dxa"/>
            <w:vAlign w:val="bottom"/>
          </w:tcPr>
          <w:p>
            <w:pPr>
              <w:spacing w:after="0"/>
              <w:rPr>
                <w:sz w:val="17"/>
                <w:szCs w:val="17"/>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Accounts receivable, net of allowances of $9.3 and $8.4, respectively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2,402.1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931.1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compensation and benefits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2,083.1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Ordinary shares $0.01 par value, 426.0 authorized, 165.9 and 166.1 issued at June 30, 2021 and December 31,</w:t>
            </w:r>
          </w:p>
        </w:tc>
        <w:tc>
          <w:tcPr>
            <w:tcW w:w="3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respectively</w:t>
            </w:r>
          </w:p>
        </w:tc>
        <w:tc>
          <w:tcPr>
            <w:tcW w:w="3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1,680.7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30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Arial" w:cs="Arial" w:eastAsia="Arial" w:hAnsi="Arial"/>
                <w:sz w:val="18"/>
                <w:szCs w:val="18"/>
                <w:b w:val="1"/>
                <w:bCs w:val="1"/>
                <w:color w:val="auto"/>
                <w:w w:val="93"/>
              </w:rPr>
              <w:t>Adjustments to reconcile net income from continuing operations to net cash provided by (used for)</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operating activities of continuing operations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unconsolidated subsidiaries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businesses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non-current assets and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of commercial paper and revolving long-term debt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employees, net of shares withheld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Repurchases of ordinary shares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upon the maturity of cross currency swaps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110"/>
              <w:spacing w:after="0" w:line="176" w:lineRule="exact"/>
              <w:rPr>
                <w:sz w:val="20"/>
                <w:szCs w:val="20"/>
                <w:color w:val="auto"/>
              </w:rPr>
            </w:pPr>
            <w:r>
              <w:rPr>
                <w:rFonts w:ascii="Arial" w:cs="Arial" w:eastAsia="Arial" w:hAnsi="Arial"/>
                <w:sz w:val="18"/>
                <w:szCs w:val="18"/>
                <w:b w:val="1"/>
                <w:bCs w:val="1"/>
                <w:color w:val="auto"/>
                <w:w w:val="97"/>
              </w:rPr>
              <w:t>Additional</w:t>
            </w:r>
          </w:p>
        </w:tc>
        <w:tc>
          <w:tcPr>
            <w:tcW w:w="200" w:type="dxa"/>
            <w:vAlign w:val="bottom"/>
          </w:tcPr>
          <w:p>
            <w:pPr>
              <w:spacing w:after="0"/>
              <w:rPr>
                <w:sz w:val="11"/>
                <w:szCs w:val="11"/>
                <w:color w:val="auto"/>
              </w:rPr>
            </w:pPr>
          </w:p>
        </w:tc>
        <w:tc>
          <w:tcPr>
            <w:tcW w:w="1040" w:type="dxa"/>
            <w:vAlign w:val="bottom"/>
            <w:vMerge w:val="restart"/>
          </w:tcPr>
          <w:p>
            <w:pPr>
              <w:jc w:val="right"/>
              <w:ind w:right="190"/>
              <w:spacing w:after="0" w:line="176" w:lineRule="exact"/>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1"/>
                <w:szCs w:val="11"/>
                <w:color w:val="auto"/>
              </w:rPr>
            </w:pPr>
          </w:p>
        </w:tc>
        <w:tc>
          <w:tcPr>
            <w:tcW w:w="140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10"/>
              <w:spacing w:after="0" w:line="149" w:lineRule="exact"/>
              <w:rPr>
                <w:sz w:val="20"/>
                <w:szCs w:val="20"/>
                <w:color w:val="auto"/>
              </w:rPr>
            </w:pPr>
            <w:r>
              <w:rPr>
                <w:rFonts w:ascii="Arial" w:cs="Arial" w:eastAsia="Arial" w:hAnsi="Arial"/>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jc w:val="right"/>
              <w:ind w:right="190"/>
              <w:spacing w:after="0" w:line="149" w:lineRule="exact"/>
              <w:rPr>
                <w:sz w:val="20"/>
                <w:szCs w:val="20"/>
                <w:color w:val="auto"/>
              </w:rPr>
            </w:pPr>
            <w:r>
              <w:rPr>
                <w:rFonts w:ascii="Arial" w:cs="Arial" w:eastAsia="Arial" w:hAnsi="Arial"/>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4"/>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June 30,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rate of vaccinations, the COVID-19 pandemic’s impact on our customers and suppliers and the range of governmental and community reactions to the pandemic. We may continue to experience reduced customer demand in certain parts of our business or constrained supply that could materially and adversely impact our business, financial condition, results of operations, liquidity and cash flows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941.1</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713.3</w:t>
            </w:r>
          </w:p>
        </w:tc>
        <w:tc>
          <w:tcPr>
            <w:tcW w:w="3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1,807.0</w:t>
            </w:r>
          </w:p>
        </w:tc>
        <w:tc>
          <w:tcPr>
            <w:tcW w:w="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00" w:hanging="174"/>
        <w:spacing w:after="0" w:line="191" w:lineRule="auto"/>
        <w:tabs>
          <w:tab w:leader="none" w:pos="2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173.2</w:t>
            </w:r>
          </w:p>
        </w:tc>
        <w:tc>
          <w:tcPr>
            <w:tcW w:w="3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June 30, 2021, we had $83.3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Pr>
          <w:p>
            <w:pPr>
              <w:spacing w:after="0"/>
              <w:rPr>
                <w:sz w:val="17"/>
                <w:szCs w:val="17"/>
                <w:color w:val="auto"/>
              </w:rPr>
            </w:pPr>
          </w:p>
        </w:tc>
        <w:tc>
          <w:tcPr>
            <w:tcW w:w="14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vMerge w:val="continue"/>
          </w:tcPr>
          <w:p>
            <w:pPr>
              <w:spacing w:after="0"/>
              <w:rPr>
                <w:sz w:val="19"/>
                <w:szCs w:val="19"/>
                <w:color w:val="auto"/>
              </w:rPr>
            </w:pPr>
          </w:p>
        </w:tc>
        <w:tc>
          <w:tcPr>
            <w:tcW w:w="2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9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5"/>
              </w:rPr>
              <w:t>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35.7</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5"/>
              </w:rPr>
              <w:t>8.2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29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(6.0)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$6.0 million decrease in net contract assets from December 31, 2020 to June 30, 2021 was primarily the result of timing of milestone payments and impact of foreign currency fluctuations. Approximately 65% of our contract liabilities at December 31, 2020 were recognized in revenue in the first half of 2021. There were no impairment losses recognized on our contract assets for the three months ended June 30, 2021.</w:t>
      </w:r>
    </w:p>
    <w:p>
      <w:pPr>
        <w:spacing w:after="0" w:line="18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19, 2021, as part of our Consumer Solutions reporting segment, we completed the acquisition of Ken’s Beverage, Inc. for $82.8 million in cash, net of cash acquired. The excess of purchase price over tangible net assets acquired has been preliminarily allocated to goodwill in the amount of $29.3 million, all of which is expected to be deductible for income tax purposes. Identifiable intangible assets acquired consisted of $38.0 million of definite-lived customer relationships with an estimated useful life of 22 years.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2020, our Consumer Solutions reporting segment completed acquisitions with purchase prices totaling $58.0 million in cash, net of cash acquired.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2021 and 2020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w:t>
            </w:r>
          </w:p>
        </w:tc>
        <w:tc>
          <w:tcPr>
            <w:tcW w:w="11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2021, we issued our annual share-based compensation grants under the Pentair plc 2020 Share and Incentive Plan to eligible employees. The total number of awards issued was approximately 0.7 million, of which 0.3 million were restricted stock units (“RSUs”), 0.3 million were stock options and 0.1 million were performance share units (“PSUs”). The weighted-average grant date fair value of the RSUs, stock options and PSUs issued was $55.42, $12.88, and $52.57,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522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2021</w:t>
            </w:r>
          </w:p>
        </w:tc>
      </w:tr>
      <w:tr>
        <w:trPr>
          <w:trHeight w:val="230"/>
        </w:trPr>
        <w:tc>
          <w:tcPr>
            <w:tcW w:w="6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Transformation Program</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During the second quarter of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and the year ended December 31, 2020, we initiated and continued execution of actions aimed at reducing our fixed cost structure and realigning our business associated with restructuring and the Transformation Program, including the reduction in headcount of approximately 50 and 175 employees,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and transformation-related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included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Transformation and other costs</w:t>
            </w: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8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Transformation and other costs primarily consist of professional services, project management and related costs, infrastructure charges to vacate facilities and consolidate operations, and asset impairment and various contract termination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transformation costs by reportable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1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2021:</w:t>
      </w:r>
    </w:p>
    <w:tbl>
      <w:tblPr>
        <w:tblLayout w:type="fixed"/>
        <w:tblInd w:w="0" w:type="dxa"/>
        <w:tblCellMar>
          <w:top w:w="0" w:type="dxa"/>
          <w:left w:w="0" w:type="dxa"/>
          <w:bottom w:w="0" w:type="dxa"/>
          <w:right w:w="0" w:type="dxa"/>
        </w:tblCellMar>
      </w:tblPr>
      <w:tr>
        <w:trPr>
          <w:trHeight w:val="181"/>
        </w:trPr>
        <w:tc>
          <w:tcPr>
            <w:tcW w:w="51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Costs incurred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2"/>
                <w:szCs w:val="22"/>
                <w:color w:val="auto"/>
              </w:rPr>
            </w:pPr>
          </w:p>
        </w:tc>
        <w:tc>
          <w:tcPr>
            <w:tcW w:w="27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260.7</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132.6</w:t>
            </w:r>
          </w:p>
        </w:tc>
        <w:tc>
          <w:tcPr>
            <w:tcW w:w="3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263.7</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Basic</w:t>
            </w:r>
          </w:p>
        </w:tc>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176"/>
        </w:trPr>
        <w:tc>
          <w:tcPr>
            <w:tcW w:w="5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impact of stock options, restricted stock units and</w:t>
            </w:r>
          </w:p>
        </w:tc>
        <w:tc>
          <w:tcPr>
            <w:tcW w:w="2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performance share units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4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4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w w:val="94"/>
              </w:rPr>
              <w:t>Diluted</w:t>
            </w:r>
          </w:p>
        </w:tc>
        <w:tc>
          <w:tcPr>
            <w:tcW w:w="4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40" w:type="dxa"/>
            <w:vAlign w:val="bottom"/>
            <w:gridSpan w:val="2"/>
          </w:tcPr>
          <w:p>
            <w:pPr>
              <w:ind w:left="20"/>
              <w:spacing w:after="0" w:line="150" w:lineRule="exact"/>
              <w:rPr>
                <w:sz w:val="20"/>
                <w:szCs w:val="20"/>
                <w:color w:val="auto"/>
              </w:rPr>
            </w:pPr>
            <w:r>
              <w:rPr>
                <w:rFonts w:ascii="Arial" w:cs="Arial" w:eastAsia="Arial" w:hAnsi="Arial"/>
                <w:sz w:val="17"/>
                <w:szCs w:val="17"/>
                <w:b w:val="1"/>
                <w:bCs w:val="1"/>
                <w:color w:val="auto"/>
              </w:rPr>
              <w:t>Anti-dilutive stock options excluded from the calculation of</w:t>
            </w:r>
          </w:p>
        </w:tc>
        <w:tc>
          <w:tcPr>
            <w:tcW w:w="2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vMerge w:val="continue"/>
          </w:tcPr>
          <w:p>
            <w:pPr>
              <w:spacing w:after="0"/>
              <w:rPr>
                <w:sz w:val="19"/>
                <w:szCs w:val="19"/>
                <w:color w:val="auto"/>
              </w:rPr>
            </w:pPr>
          </w:p>
        </w:tc>
        <w:tc>
          <w:tcPr>
            <w:tcW w:w="4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Bad debt expense (benefit) </w:t>
            </w:r>
            <w:r>
              <w:rPr>
                <w:rFonts w:ascii="Arial" w:cs="Arial" w:eastAsia="Arial" w:hAnsi="Arial"/>
                <w:sz w:val="23"/>
                <w:szCs w:val="23"/>
                <w:color w:val="auto"/>
                <w:vertAlign w:val="superscript"/>
              </w:rPr>
              <w:t>(1)</w:t>
            </w:r>
          </w:p>
        </w:tc>
        <w:tc>
          <w:tcPr>
            <w:tcW w:w="41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41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Write-offs, net of recoveries</w:t>
            </w:r>
          </w:p>
        </w:tc>
        <w:tc>
          <w:tcPr>
            <w:tcW w:w="41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4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4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right="2420" w:hanging="154"/>
        <w:spacing w:after="0" w:line="213" w:lineRule="auto"/>
        <w:tabs>
          <w:tab w:leader="none" w:pos="199"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The bad debt benefit for the year-ended December 31, 2020 includes the positive impact related to the adoption of ASU No. 2016-13 “Financial Instruments-Credit Losses.”</w:t>
      </w:r>
    </w:p>
    <w:p>
      <w:pPr>
        <w:ind w:left="200" w:hanging="174"/>
        <w:spacing w:after="0" w:line="228"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36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366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238.3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155.7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463.4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366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taxes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assets</w:t>
            </w:r>
          </w:p>
        </w:tc>
        <w:tc>
          <w:tcPr>
            <w:tcW w:w="3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assets</w:t>
            </w:r>
          </w:p>
        </w:tc>
        <w:tc>
          <w:tcPr>
            <w:tcW w:w="366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112.7</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366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192.6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600.2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Total property, plant and equipment</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962.2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948.7</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665.1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6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297.1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366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79.5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assets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assets</w:t>
            </w:r>
          </w:p>
        </w:tc>
        <w:tc>
          <w:tcPr>
            <w:tcW w:w="36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199.8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366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rebates and incentives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181.3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151.4</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liabilities</w:t>
            </w:r>
          </w:p>
        </w:tc>
        <w:tc>
          <w:tcPr>
            <w:tcW w:w="36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489.7</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3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366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Self-insurance liabilities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3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Foreign currency contract liabilities</w:t>
            </w:r>
          </w:p>
        </w:tc>
        <w:tc>
          <w:tcPr>
            <w:tcW w:w="3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liabilities</w:t>
            </w:r>
          </w:p>
        </w:tc>
        <w:tc>
          <w:tcPr>
            <w:tcW w:w="36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239.1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4"/>
        </w:trPr>
        <w:tc>
          <w:tcPr>
            <w:tcW w:w="54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Purchase Accounting</w:t>
            </w:r>
          </w:p>
        </w:tc>
        <w:tc>
          <w:tcPr>
            <w:tcW w:w="220" w:type="dxa"/>
            <w:vAlign w:val="bottom"/>
          </w:tcPr>
          <w:p>
            <w:pPr>
              <w:spacing w:after="0"/>
              <w:rPr>
                <w:sz w:val="17"/>
                <w:szCs w:val="17"/>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6"/>
              </w:rPr>
              <w:t>Acquisitions</w:t>
            </w:r>
          </w:p>
        </w:tc>
        <w:tc>
          <w:tcPr>
            <w:tcW w:w="200" w:type="dxa"/>
            <w:vAlign w:val="bottom"/>
          </w:tcPr>
          <w:p>
            <w:pPr>
              <w:spacing w:after="0"/>
              <w:rPr>
                <w:sz w:val="17"/>
                <w:szCs w:val="17"/>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Foreign currency</w:t>
            </w:r>
          </w:p>
        </w:tc>
        <w:tc>
          <w:tcPr>
            <w:tcW w:w="280" w:type="dxa"/>
            <w:vAlign w:val="bottom"/>
          </w:tcPr>
          <w:p>
            <w:pPr>
              <w:spacing w:after="0"/>
              <w:rPr>
                <w:sz w:val="17"/>
                <w:szCs w:val="17"/>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translation/other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1,603.5</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517.0</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intangible asset amortization expense was $6.3 million and $7.0 million for the three months ended June 30, 2021 and 2020, respectively, and $13.4 million and $14.6 million for the six months ended June 30,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2021 and the next five years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Q3 - 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7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80" w:type="dxa"/>
            <w:vAlign w:val="bottom"/>
          </w:tcPr>
          <w:p>
            <w:pPr>
              <w:spacing w:after="0"/>
              <w:rPr>
                <w:sz w:val="17"/>
                <w:szCs w:val="17"/>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of June 30, 2021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1.201%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1.149%</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3.150%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4.650%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4.500%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7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716.6</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hanging="174"/>
        <w:spacing w:after="0"/>
        <w:tabs>
          <w:tab w:leader="none" w:pos="20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provides for the extension of term loans in an aggregate amount of $200.0 million (the “Term Loans”). We have utilized the term loan extension since December 2019.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June 30, 2021 and December 31, 2020.</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 cash generated from operations, to fund our general operations. As of June 30, 2021, total availability under the Senior Credit Facility was $883.9 million.</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June 30, 2021. Borrowings under these credit facilities bear interest at variable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no fixed rate senior notes maturing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2021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Q3 - Q4</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r>
    </w:tbl>
    <w:p>
      <w:pPr>
        <w:spacing w:after="0" w:line="63" w:lineRule="exact"/>
        <w:rPr>
          <w:sz w:val="20"/>
          <w:szCs w:val="20"/>
          <w:color w:val="auto"/>
        </w:rPr>
      </w:pPr>
    </w:p>
    <w:p>
      <w:pPr>
        <w:ind w:right="7640" w:firstLine="8"/>
        <w:spacing w:after="0" w:line="276" w:lineRule="auto"/>
        <w:tabs>
          <w:tab w:leader="none" w:pos="63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jc w:val="both"/>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we had outstanding foreign currency derivative contracts with gross notional U.S. dollar equivalent amounts of $10.6 million and $12.4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At June 30, 2021 and December 31, 2020, we had outstanding cross currency swap agreements with a combined notional amount of $834.8 million and $855.1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$20.3 million and $32.8 million at June 30, 2021 and December 31, 2020,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89"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hanging="331"/>
        <w:spacing w:after="0" w:line="277" w:lineRule="auto"/>
        <w:tabs>
          <w:tab w:leader="none" w:pos="4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49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jc w:val="both"/>
        <w:ind w:left="500" w:right="20" w:hanging="330"/>
        <w:spacing w:after="0" w:line="263" w:lineRule="auto"/>
        <w:tabs>
          <w:tab w:leader="none" w:pos="49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jc w:val="both"/>
        <w:ind w:left="460" w:hanging="331"/>
        <w:spacing w:after="0" w:line="301" w:lineRule="auto"/>
        <w:tabs>
          <w:tab w:leader="none" w:pos="4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3"/>
          </w:tcPr>
          <w:p>
            <w:pPr>
              <w:spacing w:after="0"/>
              <w:rPr>
                <w:sz w:val="20"/>
                <w:szCs w:val="20"/>
                <w:color w:val="auto"/>
              </w:rPr>
            </w:pPr>
            <w:r>
              <w:rPr>
                <w:rFonts w:ascii="Arial" w:cs="Arial" w:eastAsia="Arial" w:hAnsi="Arial"/>
                <w:sz w:val="18"/>
                <w:szCs w:val="18"/>
                <w:color w:val="auto"/>
                <w:w w:val="94"/>
              </w:rPr>
              <w:t>The recorded amounts and estimated fair values of total debt, excluding unamortized issuance costs and discounts, were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65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right"/>
              <w:ind w:right="110"/>
              <w:spacing w:after="0" w:line="169" w:lineRule="exact"/>
              <w:rPr>
                <w:sz w:val="20"/>
                <w:szCs w:val="20"/>
                <w:color w:val="auto"/>
              </w:rPr>
            </w:pPr>
            <w:r>
              <w:rPr>
                <w:rFonts w:ascii="Arial" w:cs="Arial" w:eastAsia="Arial" w:hAnsi="Arial"/>
                <w:sz w:val="18"/>
                <w:szCs w:val="18"/>
                <w:b w:val="1"/>
                <w:bCs w:val="1"/>
                <w:color w:val="auto"/>
              </w:rPr>
              <w:t>Recorded</w:t>
            </w:r>
          </w:p>
        </w:tc>
        <w:tc>
          <w:tcPr>
            <w:tcW w:w="480" w:type="dxa"/>
            <w:vAlign w:val="bottom"/>
          </w:tcPr>
          <w:p>
            <w:pPr>
              <w:spacing w:after="0"/>
              <w:rPr>
                <w:sz w:val="14"/>
                <w:szCs w:val="14"/>
                <w:color w:val="auto"/>
              </w:rPr>
            </w:pPr>
          </w:p>
        </w:tc>
        <w:tc>
          <w:tcPr>
            <w:tcW w:w="840" w:type="dxa"/>
            <w:vAlign w:val="bottom"/>
          </w:tcPr>
          <w:p>
            <w:pPr>
              <w:ind w:left="40"/>
              <w:spacing w:after="0" w:line="169"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90"/>
              <w:spacing w:after="0" w:line="169" w:lineRule="exact"/>
              <w:rPr>
                <w:sz w:val="20"/>
                <w:szCs w:val="20"/>
                <w:color w:val="auto"/>
              </w:rPr>
            </w:pPr>
            <w:r>
              <w:rPr>
                <w:rFonts w:ascii="Arial" w:cs="Arial" w:eastAsia="Arial" w:hAnsi="Arial"/>
                <w:sz w:val="18"/>
                <w:szCs w:val="18"/>
                <w:b w:val="1"/>
                <w:bCs w:val="1"/>
                <w:color w:val="auto"/>
                <w:w w:val="93"/>
              </w:rPr>
              <w:t>Recorded</w:t>
            </w:r>
          </w:p>
        </w:tc>
        <w:tc>
          <w:tcPr>
            <w:tcW w:w="280" w:type="dxa"/>
            <w:vAlign w:val="bottom"/>
          </w:tcPr>
          <w:p>
            <w:pPr>
              <w:spacing w:after="0"/>
              <w:rPr>
                <w:sz w:val="14"/>
                <w:szCs w:val="14"/>
                <w:color w:val="auto"/>
              </w:rPr>
            </w:pPr>
          </w:p>
        </w:tc>
        <w:tc>
          <w:tcPr>
            <w:tcW w:w="9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Value</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216.1</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577.8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793.9</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gridSpan w:val="3"/>
          </w:tcPr>
          <w:p>
            <w:pPr>
              <w:spacing w:after="0" w:line="20" w:lineRule="exact"/>
              <w:rPr>
                <w:sz w:val="1"/>
                <w:szCs w:val="1"/>
                <w:color w:val="auto"/>
              </w:rPr>
            </w:pPr>
          </w:p>
        </w:tc>
        <w:tc>
          <w:tcPr>
            <w:tcW w:w="1680" w:type="dxa"/>
            <w:vAlign w:val="bottom"/>
            <w:tcBorders>
              <w:top w:val="single" w:sz="8" w:color="CCEEFF"/>
              <w:bottom w:val="single" w:sz="8" w:color="auto"/>
            </w:tcBorders>
            <w:gridSpan w:val="4"/>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80" w:type="dxa"/>
            <w:vAlign w:val="bottom"/>
            <w:gridSpan w:val="7"/>
          </w:tcPr>
          <w:p>
            <w:pPr>
              <w:spacing w:after="0"/>
              <w:rPr>
                <w:sz w:val="20"/>
                <w:szCs w:val="20"/>
                <w:color w:val="auto"/>
              </w:rPr>
            </w:pPr>
            <w:r>
              <w:rPr>
                <w:rFonts w:ascii="Arial" w:cs="Arial" w:eastAsia="Arial" w:hAnsi="Arial"/>
                <w:sz w:val="18"/>
                <w:szCs w:val="18"/>
                <w:color w:val="auto"/>
                <w:w w:val="90"/>
              </w:rPr>
              <w:t>Financial assets and liabilities measured at fair value on a recurring and nonrecurring basis were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(38.4)</w:t>
            </w: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gridSpan w:val="7"/>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470"/>
              <w:spacing w:after="0"/>
              <w:rPr>
                <w:sz w:val="20"/>
                <w:szCs w:val="20"/>
                <w:color w:val="auto"/>
              </w:rPr>
            </w:pPr>
            <w:r>
              <w:rPr>
                <w:rFonts w:ascii="Arial" w:cs="Arial" w:eastAsia="Arial" w:hAnsi="Arial"/>
                <w:sz w:val="18"/>
                <w:szCs w:val="18"/>
                <w:b w:val="1"/>
                <w:bCs w:val="1"/>
                <w:color w:val="auto"/>
                <w:w w:val="90"/>
              </w:rPr>
              <w:t>December 31, 2020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(69.6)</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(69.6)</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the six months ended June 30, 2021 was 14.7%, compared to 25.3% for the six months ended June 30, 2020.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liability for uncertain tax positions was $46.6 million and $46.3 million at June 30, 2021 and December 31, 2020,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expense for our pension plans for the three and six months ended June 30, 2021 and 2020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Arial" w:cs="Arial" w:eastAsia="Arial" w:hAnsi="Arial"/>
                <w:sz w:val="18"/>
                <w:szCs w:val="18"/>
                <w:color w:val="auto"/>
                <w:w w:val="87"/>
              </w:rPr>
              <w:t>1.0</w:t>
            </w: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7"/>
              </w:rPr>
              <w:t>(0.2)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2.2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expense for our other post-retirement plans for the three and six months ended June 30, 2021 and 2020 were not material.</w:t>
      </w:r>
    </w:p>
    <w:p>
      <w:pPr>
        <w:spacing w:after="0" w:line="193" w:lineRule="exact"/>
        <w:rPr>
          <w:sz w:val="20"/>
          <w:szCs w:val="20"/>
          <w:color w:val="auto"/>
        </w:rPr>
      </w:pPr>
    </w:p>
    <w:p>
      <w:pPr>
        <w:ind w:right="8960" w:firstLine="8"/>
        <w:spacing w:after="0" w:line="261" w:lineRule="auto"/>
        <w:tabs>
          <w:tab w:leader="none" w:pos="64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repurchased 0.8 million of our ordinary shares for $50.0 million under the 2018 Authorization. As of June 30, 2021, we had $750.0 million available for share repurchases under the 2020 Authorization.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4, 2021, the Board of Directors declared a quarterly cash dividend of $0.20, payable on August 6, 2021 to shareholders of record at the close of business on July 23,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$33.2 million at both June 30, 2021 and December 31, 2020, respectively.</w:t>
      </w:r>
    </w:p>
    <w:p>
      <w:pPr>
        <w:spacing w:after="0" w:line="14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7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Consumer Solutions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Segment income (loss)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7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transformation and other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COVID-19 related costs and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accrual adjustments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40" w:firstLine="8"/>
        <w:spacing w:after="0" w:line="261" w:lineRule="auto"/>
        <w:tabs>
          <w:tab w:leader="none" w:pos="643"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2021 and December 31, 2020, our recorded reserves for environmental matters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six months ended June 30, 2021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680" w:type="dxa"/>
            <w:vAlign w:val="bottom"/>
          </w:tcPr>
          <w:p>
            <w:pPr>
              <w:spacing w:after="0"/>
              <w:rPr>
                <w:sz w:val="17"/>
                <w:szCs w:val="17"/>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vMerge w:val="continue"/>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5"/>
              </w:rPr>
              <w:t>37.0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680" w:type="dxa"/>
            <w:vAlign w:val="bottom"/>
          </w:tcPr>
          <w:p>
            <w:pPr>
              <w:spacing w:after="0"/>
              <w:rPr>
                <w:sz w:val="19"/>
                <w:szCs w:val="19"/>
                <w:color w:val="auto"/>
              </w:rPr>
            </w:pPr>
          </w:p>
        </w:tc>
        <w:tc>
          <w:tcPr>
            <w:tcW w:w="1300" w:type="dxa"/>
            <w:vAlign w:val="bottom"/>
          </w:tcPr>
          <w:p>
            <w:pPr>
              <w:jc w:val="center"/>
              <w:ind w:left="750"/>
              <w:spacing w:after="0"/>
              <w:rPr>
                <w:sz w:val="20"/>
                <w:szCs w:val="20"/>
                <w:color w:val="auto"/>
              </w:rPr>
            </w:pPr>
            <w:r>
              <w:rPr>
                <w:rFonts w:ascii="Arial" w:cs="Arial" w:eastAsia="Arial" w:hAnsi="Arial"/>
                <w:sz w:val="18"/>
                <w:szCs w:val="18"/>
                <w:color w:val="auto"/>
                <w:w w:val="85"/>
              </w:rPr>
              <w:t>29.9</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3"/>
              </w:rPr>
              <w:t>(23.5)</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43.4</w:t>
            </w:r>
          </w:p>
        </w:tc>
        <w:tc>
          <w:tcPr>
            <w:tcW w:w="0" w:type="dxa"/>
            <w:vAlign w:val="bottom"/>
          </w:tcPr>
          <w:p>
            <w:pPr>
              <w:spacing w:after="0"/>
              <w:rPr>
                <w:sz w:val="1"/>
                <w:szCs w:val="1"/>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and December 31, 2020, the outstanding value of bonds, letters of credit and bank guarantees totaled $98.9 million and $99.1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5"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jc w:val="both"/>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the impact of virus variants and the rate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impacts of the COVID-19 pandemic on the global economy, our customers and suppliers, and customer demand; overall global economic and business conditions impacting our business, including the strength of housing and related markets; supply, demand, logistics, competition and pricing pressures related to and in the markets we serve; volatility in currency exchange rates; failure of markets to accept new product introductions and enhancements; the ability to successfully identify, finance, complete and integrate acquisitions; the ability to achieve the benefits of our restructuring plans, cost reduction initiatives and transformation program; risks associated with operating foreign businesses; the impact of raw material costs, labor costs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2020. All forward-looking statements speak only as of the date of this report. Pentair assumes no obligation, and disclaims any obligation, to update the information contained in this report.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six months of 2021, the Consumer Solutions and Industrial &amp; Flow Technologies segments represented approximately 61% and 39% of total revenues, respectively. We classify our operations into business segments based primarily on types of products offered and markets served:</w:t>
      </w:r>
    </w:p>
    <w:p>
      <w:pPr>
        <w:spacing w:after="0" w:line="138" w:lineRule="exact"/>
        <w:rPr>
          <w:sz w:val="20"/>
          <w:szCs w:val="20"/>
          <w:color w:val="auto"/>
        </w:rPr>
      </w:pPr>
    </w:p>
    <w:p>
      <w:pPr>
        <w:jc w:val="both"/>
        <w:ind w:left="660" w:hanging="328"/>
        <w:spacing w:after="0" w:line="27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60" w:hanging="328"/>
        <w:spacing w:after="0" w:line="272"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persist throughout the United States (“U.S.”) and the world, with the continued potential for significant impact. The COVID-19 pandemic has resulted in governments around the world implementing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businesses generally have been and continue to be considered essential under applicable government-mandated orders which has allowed us to maintain business continuity at substantially all of our manufacturing facilities throughout the COVID-19 pandemic. While our facilities have remained operational during the first half of 2021, we continue to experience various degrees of manufacturing cost pressures and inefficiencies as a result of supply chain issues and, in certain businesses, increased demand.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 Further, as the COVID-19 pandemic conditions improve and economic activity increases, we have experienced supply chain challenges, including increased lead times, as well as inflation of raw materials, logistics and labor costs due to availability constraints and high demand. We expect the inflationary trends to continue throughout the remainder of 2021.</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Consumer Solutions segment delivered significant growth in the first six months of 2021 led by continued strength in our pool and residential water treatment businesses. The high level of demand in these businesses continued as consumers invested in their homes and backyards. Demand in our commercial water treatment business improved in the second quarter of 2021 as the restaurant and hospitality industries began to reopen.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Industrial &amp; Flow Technologies segment had strong growth in the first six months of 2021 mainly driven by increased volume within our residential and irrigation flow businesses due to high demand in the residential vertical. Our commercial flow business experienced increased sales in the first half of 2021 due to strong demand in our water supply and water disposal product lines. Demand in our infrastructure business has stabilized but we remain disciplined in our project selection. In our industrial filtration business, demand is mostly driven by customer capital spending, which saw recovery in the second quarter of 2021 in most industries served.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our commitment to protect the health and safety of our employees, customers, and suppliers by continuing our enhanced safety protocols for those on-site at our manufacturing facilities and for those who provide manufacturing-support activities. In addition, employees who do not need to be physically present at our facilities and sites to perform their job responsibilities generally continue to work from home and essential business travel remains the main travel activity.</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extent of the COVID-19 pandemic’s effect on our operational and financial performance in the future will depend on future developments, including the duration, geographic location and intensity of the pandemic, the impact of virus variants, the rate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“Risk Factors - Risks Related to the COVID-19 Pandemic” included in Item 1A. “Risk Factors”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Transformation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are targeting at least 300 basis points of margin expansion by 2025 through the following Transformation Program pillars:</w:t>
      </w:r>
    </w:p>
    <w:p>
      <w:pPr>
        <w:spacing w:after="0" w:line="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business and product complexity;</w:t>
      </w:r>
    </w:p>
    <w:p>
      <w:pPr>
        <w:ind w:left="660" w:right="20" w:hanging="328"/>
        <w:spacing w:after="0" w:line="24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 future state digital enterprise by eliminating non-value add activities, streamlining processes and using automation to increase productivity;</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modernizing general and administrative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decision making speed through improved processes and analytics.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Throughout the remainder of 2021 and beyond we expect to incur transformation costs including and related to labor restructuring, non-labor restructuring, IT investments and design and execution charges.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six months of 2021 and/or may impact our results in the future:</w:t>
      </w:r>
    </w:p>
    <w:p>
      <w:pPr>
        <w:spacing w:after="0" w:line="168" w:lineRule="exact"/>
        <w:rPr>
          <w:sz w:val="20"/>
          <w:szCs w:val="20"/>
          <w:color w:val="auto"/>
        </w:rPr>
      </w:pPr>
    </w:p>
    <w:p>
      <w:pPr>
        <w:jc w:val="both"/>
        <w:ind w:left="660" w:hanging="328"/>
        <w:spacing w:after="0" w:line="27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the spread of increasing number of virus variants, the extent of worldwide social, political and economic disruption it may continue to cause and the development and distribution of vaccines to address the COVID-19 virus. The broader implications of the COVID-19 pandemic on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rate of vaccinations, the pandemic’s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 Pandemic Update”</w:t>
      </w:r>
      <w:r>
        <w:rPr>
          <w:rFonts w:ascii="Arial" w:cs="Arial" w:eastAsia="Arial" w:hAnsi="Arial"/>
          <w:sz w:val="17"/>
          <w:szCs w:val="17"/>
          <w:color w:val="auto"/>
        </w:rPr>
        <w:t xml:space="preserve"> for key trends and uncertainties with regard to the COVID-19 pandemic.</w:t>
      </w:r>
    </w:p>
    <w:p>
      <w:pPr>
        <w:spacing w:after="0" w:line="12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2020 and the first half of 2021, we executed certain business restructuring initiatives unrelated to the COVID-19 pandemic aimed at reducing our fixed cost structure and realigning our business. We expect these actions to continue throughout the remainder of 2021 and to drive margin growth.</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2021, we created a transformation office and launched and committed resources to the Transformation Program designed to accelerate growth and drive margin expansion by driving operational excellence, reducing complexity and streamlining our processes. We expect to implement Transformation Program initiatives and incur transformation costs throughout the remainder of 2021 and beyond.</w:t>
      </w:r>
    </w:p>
    <w:p>
      <w:pPr>
        <w:spacing w:after="0" w:line="111"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first half of 2021, we experienced supply chain challenges, including increased lead times, and inflationary increases of raw materials such as metals, resins and electronics, logistics and labor costs due to availability constraints and high demand. While we have taken pricing actions and we strive for productivity improvements that could help offset these cost increases, we expect supply chain pressures and inflationary cost increases to continue for the remainder of 2021, which may continue thereafter and could negatively impact our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In 2021,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prioritization of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Return cash to shareholders through dividends and buybacks;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Identification, building and implementation of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June 30, 2021 and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713.3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600.1</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468.2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341.0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34.4 %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116.7</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41.5</w:t>
            </w: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16.4 %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pts</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17.2 %</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15.6 %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110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157.7</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54.1</w:t>
            </w: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15.9 %</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28.8 %</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(12.9) pts</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six months ended June 30, 2021 and June 30, 2020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1,423.3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1,150.8</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926.6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656.2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496.7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159.5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36.3 %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34.9 %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248.6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46.2</w:t>
            </w: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16.3 %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 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pts</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17.6 %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309.3</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113.1</w:t>
            </w:r>
          </w:p>
        </w:tc>
        <w:tc>
          <w:tcPr>
            <w:tcW w:w="110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14.7 %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25.3 %</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(10.6) pts</w:t>
            </w:r>
          </w:p>
        </w:tc>
        <w:tc>
          <w:tcPr>
            <w:tcW w:w="0" w:type="dxa"/>
            <w:vAlign w:val="bottom"/>
          </w:tcPr>
          <w:p>
            <w:pPr>
              <w:spacing w:after="0"/>
              <w:rPr>
                <w:sz w:val="1"/>
                <w:szCs w:val="1"/>
                <w:color w:val="auto"/>
              </w:rPr>
            </w:pPr>
          </w:p>
        </w:tc>
      </w:tr>
      <w:tr>
        <w:trPr>
          <w:trHeight w:val="458"/>
        </w:trPr>
        <w:tc>
          <w:tcPr>
            <w:tcW w:w="528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Arial" w:cs="Arial" w:eastAsia="Arial" w:hAnsi="Arial"/>
                <w:sz w:val="18"/>
                <w:szCs w:val="18"/>
                <w:color w:val="auto"/>
                <w:w w:val="93"/>
              </w:rPr>
              <w:t>The components of the consolidated net sales change from the prior period were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920"/>
              <w:spacing w:after="0"/>
              <w:rPr>
                <w:sz w:val="20"/>
                <w:szCs w:val="20"/>
                <w:color w:val="auto"/>
              </w:rPr>
            </w:pPr>
            <w:r>
              <w:rPr>
                <w:rFonts w:ascii="Arial" w:cs="Arial" w:eastAsia="Arial" w:hAnsi="Arial"/>
                <w:sz w:val="18"/>
                <w:szCs w:val="18"/>
                <w:b w:val="1"/>
                <w:bCs w:val="1"/>
                <w:color w:val="auto"/>
                <w:w w:val="90"/>
              </w:rPr>
              <w:t>Three months ended June 30, 2021</w:t>
            </w:r>
          </w:p>
        </w:tc>
        <w:tc>
          <w:tcPr>
            <w:tcW w:w="980" w:type="dxa"/>
            <w:vAlign w:val="bottom"/>
          </w:tcPr>
          <w:p>
            <w:pPr>
              <w:spacing w:after="0"/>
              <w:rPr>
                <w:sz w:val="19"/>
                <w:szCs w:val="19"/>
                <w:color w:val="auto"/>
              </w:rPr>
            </w:pPr>
          </w:p>
        </w:tc>
        <w:tc>
          <w:tcPr>
            <w:tcW w:w="3620" w:type="dxa"/>
            <w:vAlign w:val="bottom"/>
          </w:tcPr>
          <w:p>
            <w:pPr>
              <w:jc w:val="right"/>
              <w:ind w:right="690"/>
              <w:spacing w:after="0"/>
              <w:rPr>
                <w:sz w:val="20"/>
                <w:szCs w:val="20"/>
                <w:color w:val="auto"/>
              </w:rPr>
            </w:pPr>
            <w:r>
              <w:rPr>
                <w:rFonts w:ascii="Arial" w:cs="Arial" w:eastAsia="Arial" w:hAnsi="Arial"/>
                <w:sz w:val="18"/>
                <w:szCs w:val="18"/>
                <w:b w:val="1"/>
                <w:bCs w:val="1"/>
                <w:color w:val="auto"/>
              </w:rPr>
              <w:t>Six months ended June 30, 2021</w:t>
            </w:r>
          </w:p>
        </w:tc>
      </w:tr>
      <w:tr>
        <w:trPr>
          <w:trHeight w:val="234"/>
        </w:trPr>
        <w:tc>
          <w:tcPr>
            <w:tcW w:w="664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26.1 %</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r>
      <w:tr>
        <w:trPr>
          <w:trHeight w:val="223"/>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27.7</w:t>
            </w:r>
          </w:p>
        </w:tc>
        <w:tc>
          <w:tcPr>
            <w:tcW w:w="3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2.5</w:t>
            </w:r>
          </w:p>
        </w:tc>
        <w:tc>
          <w:tcPr>
            <w:tcW w:w="3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31.9 %</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27.0 %</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31.9 and 27.0 percent increases in net sales in the second quarter and first half, respectively, of 2021 from 2020 were primarily driven by:</w:t>
      </w:r>
    </w:p>
    <w:p>
      <w:pPr>
        <w:spacing w:after="0" w:line="183" w:lineRule="exact"/>
        <w:rPr>
          <w:sz w:val="20"/>
          <w:szCs w:val="20"/>
          <w:color w:val="auto"/>
        </w:rPr>
      </w:pPr>
    </w:p>
    <w:p>
      <w:pPr>
        <w:ind w:left="500" w:hanging="330"/>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volume increase in our Consumer Solutions segment mainly driven by continued robust demand in our pool and residential water treatment businesses;</w:t>
      </w:r>
    </w:p>
    <w:p>
      <w:pPr>
        <w:spacing w:after="0" w:line="116"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volume increase in our residential and irrigation flow businesses in our Industrial &amp; Flow Technologies segment due to strong demand across all product lines in those businesses;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second quarter and first six month of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1.8 and 1.4 percentage point increases in gross profit as a percentage of net sales in the second quarter and first half, respectively, of 2021 from 2020 were primarily driven by:</w:t>
      </w:r>
    </w:p>
    <w:p>
      <w:pPr>
        <w:spacing w:after="0" w:line="131"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volume expansion in both our Consumer Solutions and Industrial &amp; Flow Technologies segments;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productivity in both the Consumer Solutions and Industrial &amp; Flow Technologies segments.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inflationary cost increases due to tight supply of raw materials such as metals, resins and electronics;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logistics and labor costs due to increased demand as well as factory labor wage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0.4 percentage point increase in SG&amp;A as a percentage of net sales in the </w:t>
      </w:r>
      <w:r>
        <w:rPr>
          <w:rFonts w:ascii="Arial" w:cs="Arial" w:eastAsia="Arial" w:hAnsi="Arial"/>
          <w:sz w:val="18"/>
          <w:szCs w:val="18"/>
          <w:color w:val="auto"/>
        </w:rPr>
        <w:t>second quarter</w:t>
      </w:r>
      <w:r>
        <w:rPr>
          <w:rFonts w:ascii="Arial" w:cs="Arial" w:eastAsia="Arial" w:hAnsi="Arial"/>
          <w:sz w:val="18"/>
          <w:szCs w:val="18"/>
          <w:i w:val="1"/>
          <w:iCs w:val="1"/>
          <w:color w:val="auto"/>
        </w:rPr>
        <w:t xml:space="preserve"> of 2021 from 2020 was primarily driven by:</w:t>
      </w:r>
    </w:p>
    <w:p>
      <w:pPr>
        <w:spacing w:after="0" w:line="157"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higher employee incentive compensation due to increased sales in our Consumer Solutions and Industrial &amp; Flow Technologies segments;</w:t>
      </w:r>
    </w:p>
    <w:p>
      <w:pPr>
        <w:spacing w:after="0" w:line="182"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transformation and other costs of $5.8 million in the second quarter of 2021, compared to $1.1 million in the second quarter of 2020; and</w:t>
      </w:r>
    </w:p>
    <w:p>
      <w:pPr>
        <w:spacing w:after="0" w:line="116"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travel and entertainment, trade show and advertising expenses in the second quarter of 2020 due to the government restrictions in place for the COVID-19 pandemic.</w:t>
      </w:r>
    </w:p>
    <w:p>
      <w:pPr>
        <w:spacing w:after="0" w:line="200" w:lineRule="exact"/>
        <w:rPr>
          <w:sz w:val="20"/>
          <w:szCs w:val="20"/>
          <w:color w:val="auto"/>
        </w:rPr>
      </w:pPr>
    </w:p>
    <w:p>
      <w:pPr>
        <w:spacing w:after="0" w:line="294"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amortization on definite-lived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1.2 percentage point decrease in SG&amp;A as a percentage of net sales in the </w:t>
      </w:r>
      <w:r>
        <w:rPr>
          <w:rFonts w:ascii="Arial" w:cs="Arial" w:eastAsia="Arial" w:hAnsi="Arial"/>
          <w:sz w:val="18"/>
          <w:szCs w:val="18"/>
          <w:color w:val="auto"/>
        </w:rPr>
        <w:t>first half</w:t>
      </w:r>
      <w:r>
        <w:rPr>
          <w:rFonts w:ascii="Arial" w:cs="Arial" w:eastAsia="Arial" w:hAnsi="Arial"/>
          <w:sz w:val="18"/>
          <w:szCs w:val="18"/>
          <w:i w:val="1"/>
          <w:iCs w:val="1"/>
          <w:color w:val="auto"/>
        </w:rPr>
        <w:t xml:space="preserve"> of 2021 from 2020 was primarily driven by:</w:t>
      </w:r>
    </w:p>
    <w:p>
      <w:pPr>
        <w:spacing w:after="0" w:line="171" w:lineRule="exact"/>
        <w:rPr>
          <w:sz w:val="20"/>
          <w:szCs w:val="20"/>
          <w:color w:val="auto"/>
        </w:rPr>
      </w:pPr>
    </w:p>
    <w:p>
      <w:pPr>
        <w:ind w:left="50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compared to the prior year due to the COVID-19 pandemic restrictions not beginning until March of 2020;</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accrual reductions of $2.4 million in the first quarter of 2021;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leverage on certain fixed costs due to the significant increase in sales year over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higher employee incentive compensation due to increased sales in our Consumer Solutions and Industrial &amp; Flow Technologies segments; and</w:t>
      </w:r>
    </w:p>
    <w:p>
      <w:pPr>
        <w:spacing w:after="0" w:line="182" w:lineRule="exact"/>
        <w:rPr>
          <w:rFonts w:ascii="Arial" w:cs="Arial" w:eastAsia="Arial" w:hAnsi="Arial"/>
          <w:sz w:val="17"/>
          <w:szCs w:val="17"/>
          <w:color w:val="auto"/>
        </w:rPr>
      </w:pPr>
    </w:p>
    <w:p>
      <w:pPr>
        <w:ind w:left="480" w:hanging="310"/>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restructuring, transformation and other costs of $7.3 million in the first six months of 2021, compared to $3.5 million in the first six months of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50.6 and 39.0 percent decreases in net interest expense in the second quarter and first half, respectively, of 2021 from 2020 were primarily driven by:</w:t>
      </w:r>
    </w:p>
    <w:p>
      <w:pPr>
        <w:spacing w:after="0" w:line="180" w:lineRule="exact"/>
        <w:rPr>
          <w:sz w:val="20"/>
          <w:szCs w:val="20"/>
          <w:color w:val="auto"/>
        </w:rPr>
      </w:pPr>
    </w:p>
    <w:p>
      <w:pPr>
        <w:ind w:left="50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strong cash flows in 2021 used to repay senior fixed notes that matured as well as reduce variable debt leading to overall lower debt levels compared to the same periods of the prior year;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interest rates on outstanding variable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12.9 and 10.6 percentage point decreases in the effective tax rate in the second quarter and first half, respectively, of 2021 from 2020 were primarily driven b</w:t>
      </w:r>
      <w:r>
        <w:rPr>
          <w:rFonts w:ascii="Arial" w:cs="Arial" w:eastAsia="Arial" w:hAnsi="Arial"/>
          <w:sz w:val="18"/>
          <w:szCs w:val="18"/>
          <w:color w:val="auto"/>
        </w:rPr>
        <w:t>y:</w:t>
      </w:r>
    </w:p>
    <w:p>
      <w:pPr>
        <w:spacing w:after="0" w:line="118" w:lineRule="exact"/>
        <w:rPr>
          <w:sz w:val="20"/>
          <w:szCs w:val="20"/>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Coronavirus Aid, Relief, and Economic Security Act and items related to final regulations as part of the Tax Cuts and Jobs Act of 2017 that limit the deductibility of interest expense for U.S. tax purposes that occurred during the second quarter and first half of 2020 that did not occur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4"/>
                <w:szCs w:val="14"/>
                <w:color w:val="auto"/>
              </w:rPr>
            </w:pPr>
          </w:p>
        </w:tc>
        <w:tc>
          <w:tcPr>
            <w:tcW w:w="124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10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1,098.3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96.7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274.4</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181.5</w:t>
            </w:r>
          </w:p>
        </w:tc>
        <w:tc>
          <w:tcPr>
            <w:tcW w:w="1060" w:type="dxa"/>
            <w:vAlign w:val="bottom"/>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24.9 %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24.1 %</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0.8</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23.0 %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ind w:left="3920"/>
              <w:spacing w:after="0"/>
              <w:rPr>
                <w:sz w:val="20"/>
                <w:szCs w:val="20"/>
                <w:color w:val="auto"/>
              </w:rPr>
            </w:pPr>
            <w:r>
              <w:rPr>
                <w:rFonts w:ascii="Arial" w:cs="Arial" w:eastAsia="Arial" w:hAnsi="Arial"/>
                <w:sz w:val="18"/>
                <w:szCs w:val="18"/>
                <w:b w:val="1"/>
                <w:bCs w:val="1"/>
                <w:color w:val="auto"/>
                <w:w w:val="90"/>
              </w:rPr>
              <w:t>Three months ended June 30, 2021</w:t>
            </w:r>
          </w:p>
        </w:tc>
        <w:tc>
          <w:tcPr>
            <w:tcW w:w="980" w:type="dxa"/>
            <w:vAlign w:val="bottom"/>
          </w:tcPr>
          <w:p>
            <w:pPr>
              <w:spacing w:after="0"/>
              <w:rPr>
                <w:sz w:val="19"/>
                <w:szCs w:val="19"/>
                <w:color w:val="auto"/>
              </w:rPr>
            </w:pPr>
          </w:p>
        </w:tc>
        <w:tc>
          <w:tcPr>
            <w:tcW w:w="3620" w:type="dxa"/>
            <w:vAlign w:val="bottom"/>
          </w:tcPr>
          <w:p>
            <w:pPr>
              <w:jc w:val="right"/>
              <w:ind w:right="690"/>
              <w:spacing w:after="0"/>
              <w:rPr>
                <w:sz w:val="20"/>
                <w:szCs w:val="20"/>
                <w:color w:val="auto"/>
              </w:rPr>
            </w:pPr>
            <w:r>
              <w:rPr>
                <w:rFonts w:ascii="Arial" w:cs="Arial" w:eastAsia="Arial" w:hAnsi="Arial"/>
                <w:sz w:val="18"/>
                <w:szCs w:val="18"/>
                <w:b w:val="1"/>
                <w:bCs w:val="1"/>
                <w:color w:val="auto"/>
              </w:rPr>
              <w:t>Six months ended June 30, 2021</w:t>
            </w:r>
          </w:p>
        </w:tc>
      </w:tr>
      <w:tr>
        <w:trPr>
          <w:trHeight w:val="234"/>
        </w:trPr>
        <w:tc>
          <w:tcPr>
            <w:tcW w:w="664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37.9 %</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r>
      <w:tr>
        <w:trPr>
          <w:trHeight w:val="223"/>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39.4</w:t>
            </w:r>
          </w:p>
        </w:tc>
        <w:tc>
          <w:tcPr>
            <w:tcW w:w="3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3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43.8 %</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39.0 %</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43.8 and 39.0 percent increases in net sales for Consumer Solutions in the second quarter and first half, respectively, of 2021 from 2020 were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 in our pool business due to consumers increasing their pool use while continuing to invest in their homes and backyards as a result of the COVID-19 pandemic;</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sales volume in our water treatment business as residential demand remained strong in the second quarter and first half of 2021;</w:t>
      </w:r>
    </w:p>
    <w:p>
      <w:pPr>
        <w:spacing w:after="0" w:line="182"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 in our commercial water treatment business in the second quarter of 2021 due to increased demand as the restaurant and hospitality industries reopen;</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due to acquisitions that occurred in the first half of 2021 and second half of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second quarter and first half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406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Three months ended June 30, 2021</w:t>
            </w:r>
          </w:p>
        </w:tc>
        <w:tc>
          <w:tcPr>
            <w:tcW w:w="660" w:type="dxa"/>
            <w:vAlign w:val="bottom"/>
          </w:tcPr>
          <w:p>
            <w:pPr>
              <w:spacing w:after="0"/>
              <w:rPr>
                <w:sz w:val="19"/>
                <w:szCs w:val="19"/>
                <w:color w:val="auto"/>
              </w:rPr>
            </w:pPr>
          </w:p>
        </w:tc>
        <w:tc>
          <w:tcPr>
            <w:tcW w:w="33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Six months ended June 30, 2021</w:t>
            </w:r>
          </w:p>
        </w:tc>
        <w:tc>
          <w:tcPr>
            <w:tcW w:w="280" w:type="dxa"/>
            <w:vAlign w:val="bottom"/>
          </w:tcPr>
          <w:p>
            <w:pPr>
              <w:spacing w:after="0"/>
              <w:rPr>
                <w:sz w:val="19"/>
                <w:szCs w:val="19"/>
                <w:color w:val="auto"/>
              </w:rPr>
            </w:pPr>
          </w:p>
        </w:tc>
      </w:tr>
      <w:tr>
        <w:trPr>
          <w:trHeight w:val="234"/>
        </w:trPr>
        <w:tc>
          <w:tcPr>
            <w:tcW w:w="29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1"/>
              </w:rPr>
              <w:t>over the prior year period</w:t>
            </w:r>
          </w:p>
        </w:tc>
        <w:tc>
          <w:tcPr>
            <w:tcW w:w="6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4060" w:type="dxa"/>
            <w:vAlign w:val="bottom"/>
            <w:shd w:val="clear" w:color="auto" w:fill="CCEEFF"/>
          </w:tcPr>
          <w:p>
            <w:pPr>
              <w:jc w:val="center"/>
              <w:ind w:left="3550"/>
              <w:spacing w:after="0"/>
              <w:rPr>
                <w:sz w:val="20"/>
                <w:szCs w:val="20"/>
                <w:color w:val="auto"/>
              </w:rPr>
            </w:pPr>
            <w:r>
              <w:rPr>
                <w:rFonts w:ascii="Arial" w:cs="Arial" w:eastAsia="Arial" w:hAnsi="Arial"/>
                <w:sz w:val="18"/>
                <w:szCs w:val="18"/>
                <w:color w:val="auto"/>
                <w:w w:val="87"/>
              </w:rPr>
              <w:t>2.9</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340" w:type="dxa"/>
            <w:vAlign w:val="bottom"/>
            <w:shd w:val="clear" w:color="auto" w:fill="CCEEFF"/>
          </w:tcPr>
          <w:p>
            <w:pPr>
              <w:jc w:val="center"/>
              <w:ind w:left="2850"/>
              <w:spacing w:after="0"/>
              <w:rPr>
                <w:sz w:val="20"/>
                <w:szCs w:val="20"/>
                <w:color w:val="auto"/>
              </w:rPr>
            </w:pPr>
            <w:r>
              <w:rPr>
                <w:rFonts w:ascii="Arial" w:cs="Arial" w:eastAsia="Arial" w:hAnsi="Arial"/>
                <w:sz w:val="18"/>
                <w:szCs w:val="18"/>
                <w:color w:val="auto"/>
                <w:w w:val="95"/>
              </w:rPr>
              <w:t>2.7</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Currency</w:t>
            </w:r>
          </w:p>
        </w:tc>
        <w:tc>
          <w:tcPr>
            <w:tcW w:w="4060" w:type="dxa"/>
            <w:vAlign w:val="bottom"/>
          </w:tcPr>
          <w:p>
            <w:pPr>
              <w:jc w:val="center"/>
              <w:ind w:left="3510"/>
              <w:spacing w:after="0"/>
              <w:rPr>
                <w:sz w:val="20"/>
                <w:szCs w:val="20"/>
                <w:color w:val="auto"/>
              </w:rPr>
            </w:pPr>
            <w:r>
              <w:rPr>
                <w:rFonts w:ascii="Arial" w:cs="Arial" w:eastAsia="Arial" w:hAnsi="Arial"/>
                <w:sz w:val="18"/>
                <w:szCs w:val="18"/>
                <w:color w:val="auto"/>
                <w:w w:val="91"/>
              </w:rPr>
              <w:t>(0.3)</w:t>
            </w:r>
          </w:p>
        </w:tc>
        <w:tc>
          <w:tcPr>
            <w:tcW w:w="660" w:type="dxa"/>
            <w:vAlign w:val="bottom"/>
          </w:tcPr>
          <w:p>
            <w:pPr>
              <w:spacing w:after="0"/>
              <w:rPr>
                <w:sz w:val="19"/>
                <w:szCs w:val="19"/>
                <w:color w:val="auto"/>
              </w:rPr>
            </w:pPr>
          </w:p>
        </w:tc>
        <w:tc>
          <w:tcPr>
            <w:tcW w:w="3340" w:type="dxa"/>
            <w:vAlign w:val="bottom"/>
          </w:tcPr>
          <w:p>
            <w:pPr>
              <w:jc w:val="center"/>
              <w:ind w:left="2830"/>
              <w:spacing w:after="0"/>
              <w:rPr>
                <w:sz w:val="20"/>
                <w:szCs w:val="20"/>
                <w:color w:val="auto"/>
              </w:rPr>
            </w:pPr>
            <w:r>
              <w:rPr>
                <w:rFonts w:ascii="Arial" w:cs="Arial" w:eastAsia="Arial" w:hAnsi="Arial"/>
                <w:sz w:val="18"/>
                <w:szCs w:val="18"/>
                <w:color w:val="auto"/>
                <w:w w:val="91"/>
              </w:rPr>
              <w:t>(0.1)</w:t>
            </w:r>
          </w:p>
        </w:tc>
        <w:tc>
          <w:tcPr>
            <w:tcW w:w="280" w:type="dxa"/>
            <w:vAlign w:val="bottom"/>
          </w:tcPr>
          <w:p>
            <w:pPr>
              <w:spacing w:after="0"/>
              <w:rPr>
                <w:sz w:val="19"/>
                <w:szCs w:val="19"/>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4060" w:type="dxa"/>
            <w:vAlign w:val="bottom"/>
            <w:shd w:val="clear" w:color="auto" w:fill="CCEEFF"/>
          </w:tcPr>
          <w:p>
            <w:pPr>
              <w:jc w:val="center"/>
              <w:ind w:left="3510"/>
              <w:spacing w:after="0"/>
              <w:rPr>
                <w:sz w:val="20"/>
                <w:szCs w:val="20"/>
                <w:color w:val="auto"/>
              </w:rPr>
            </w:pPr>
            <w:r>
              <w:rPr>
                <w:rFonts w:ascii="Arial" w:cs="Arial" w:eastAsia="Arial" w:hAnsi="Arial"/>
                <w:sz w:val="18"/>
                <w:szCs w:val="18"/>
                <w:color w:val="auto"/>
                <w:w w:val="91"/>
              </w:rPr>
              <w:t>(4.5)</w:t>
            </w:r>
          </w:p>
        </w:tc>
        <w:tc>
          <w:tcPr>
            <w:tcW w:w="660" w:type="dxa"/>
            <w:vAlign w:val="bottom"/>
            <w:shd w:val="clear" w:color="auto" w:fill="CCEEFF"/>
          </w:tcPr>
          <w:p>
            <w:pPr>
              <w:spacing w:after="0"/>
              <w:rPr>
                <w:sz w:val="19"/>
                <w:szCs w:val="19"/>
                <w:color w:val="auto"/>
              </w:rPr>
            </w:pPr>
          </w:p>
        </w:tc>
        <w:tc>
          <w:tcPr>
            <w:tcW w:w="3340" w:type="dxa"/>
            <w:vAlign w:val="bottom"/>
            <w:shd w:val="clear" w:color="auto" w:fill="CCEEFF"/>
          </w:tcPr>
          <w:p>
            <w:pPr>
              <w:jc w:val="center"/>
              <w:ind w:left="2830"/>
              <w:spacing w:after="0"/>
              <w:rPr>
                <w:sz w:val="20"/>
                <w:szCs w:val="20"/>
                <w:color w:val="auto"/>
              </w:rPr>
            </w:pPr>
            <w:r>
              <w:rPr>
                <w:rFonts w:ascii="Arial" w:cs="Arial" w:eastAsia="Arial" w:hAnsi="Arial"/>
                <w:sz w:val="18"/>
                <w:szCs w:val="18"/>
                <w:color w:val="auto"/>
                <w:w w:val="91"/>
              </w:rPr>
              <w:t>(3.6)</w:t>
            </w:r>
          </w:p>
        </w:tc>
        <w:tc>
          <w:tcPr>
            <w:tcW w:w="280" w:type="dxa"/>
            <w:vAlign w:val="bottom"/>
            <w:shd w:val="clear" w:color="auto" w:fill="CCEEFF"/>
          </w:tcPr>
          <w:p>
            <w:pPr>
              <w:spacing w:after="0"/>
              <w:rPr>
                <w:sz w:val="19"/>
                <w:szCs w:val="19"/>
                <w:color w:val="auto"/>
              </w:rPr>
            </w:pPr>
          </w:p>
        </w:tc>
      </w:tr>
      <w:tr>
        <w:trPr>
          <w:trHeight w:val="22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4060" w:type="dxa"/>
            <w:vAlign w:val="bottom"/>
            <w:tcBorders>
              <w:bottom w:val="single" w:sz="8" w:color="auto"/>
            </w:tcBorders>
          </w:tcPr>
          <w:p>
            <w:pPr>
              <w:jc w:val="center"/>
              <w:ind w:left="3550"/>
              <w:spacing w:after="0"/>
              <w:rPr>
                <w:sz w:val="20"/>
                <w:szCs w:val="20"/>
                <w:color w:val="auto"/>
              </w:rPr>
            </w:pPr>
            <w:r>
              <w:rPr>
                <w:rFonts w:ascii="Arial" w:cs="Arial" w:eastAsia="Arial" w:hAnsi="Arial"/>
                <w:sz w:val="18"/>
                <w:szCs w:val="18"/>
                <w:color w:val="auto"/>
                <w:w w:val="87"/>
              </w:rPr>
              <w:t>2.7</w:t>
            </w:r>
          </w:p>
        </w:tc>
        <w:tc>
          <w:tcPr>
            <w:tcW w:w="6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jc w:val="center"/>
              <w:ind w:left="2850"/>
              <w:spacing w:after="0"/>
              <w:rPr>
                <w:sz w:val="20"/>
                <w:szCs w:val="20"/>
                <w:color w:val="auto"/>
              </w:rPr>
            </w:pPr>
            <w:r>
              <w:rPr>
                <w:rFonts w:ascii="Arial" w:cs="Arial" w:eastAsia="Arial" w:hAnsi="Arial"/>
                <w:sz w:val="18"/>
                <w:szCs w:val="18"/>
                <w:color w:val="auto"/>
                <w:w w:val="95"/>
              </w:rPr>
              <w:t>3.0</w:t>
            </w:r>
          </w:p>
        </w:tc>
        <w:tc>
          <w:tcPr>
            <w:tcW w:w="280" w:type="dxa"/>
            <w:vAlign w:val="bottom"/>
            <w:tcBorders>
              <w:bottom w:val="single" w:sz="8" w:color="auto"/>
            </w:tcBorders>
          </w:tcPr>
          <w:p>
            <w:pPr>
              <w:spacing w:after="0"/>
              <w:rPr>
                <w:sz w:val="19"/>
                <w:szCs w:val="19"/>
                <w:color w:val="auto"/>
              </w:rPr>
            </w:pPr>
          </w:p>
        </w:tc>
      </w:tr>
      <w:tr>
        <w:trPr>
          <w:trHeight w:val="248"/>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auto"/>
            </w:tcBorders>
            <w:shd w:val="clear" w:color="auto" w:fill="CCEEFF"/>
          </w:tcPr>
          <w:p>
            <w:pPr>
              <w:jc w:val="center"/>
              <w:ind w:left="3550"/>
              <w:spacing w:after="0"/>
              <w:rPr>
                <w:sz w:val="20"/>
                <w:szCs w:val="20"/>
                <w:color w:val="auto"/>
              </w:rPr>
            </w:pPr>
            <w:r>
              <w:rPr>
                <w:rFonts w:ascii="Arial" w:cs="Arial" w:eastAsia="Arial" w:hAnsi="Arial"/>
                <w:sz w:val="18"/>
                <w:szCs w:val="18"/>
                <w:color w:val="auto"/>
                <w:w w:val="87"/>
              </w:rPr>
              <w:t>0.8</w:t>
            </w: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340" w:type="dxa"/>
            <w:vAlign w:val="bottom"/>
            <w:tcBorders>
              <w:bottom w:val="single" w:sz="8" w:color="auto"/>
            </w:tcBorders>
            <w:shd w:val="clear" w:color="auto" w:fill="CCEEFF"/>
          </w:tcPr>
          <w:p>
            <w:pPr>
              <w:jc w:val="center"/>
              <w:ind w:left="2850"/>
              <w:spacing w:after="0"/>
              <w:rPr>
                <w:sz w:val="20"/>
                <w:szCs w:val="20"/>
                <w:color w:val="auto"/>
              </w:rPr>
            </w:pPr>
            <w:r>
              <w:rPr>
                <w:rFonts w:ascii="Arial" w:cs="Arial" w:eastAsia="Arial" w:hAnsi="Arial"/>
                <w:sz w:val="18"/>
                <w:szCs w:val="18"/>
                <w:color w:val="auto"/>
                <w:w w:val="95"/>
              </w:rPr>
              <w:t>2.0</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0.8 and 2.0 percentage point increases in segment income for Consumer Solutions as a percentage of net sales in the second quarter and first half, respectively, of 2021 from 2020 were primarily driven by:</w:t>
      </w:r>
    </w:p>
    <w:p>
      <w:pPr>
        <w:spacing w:after="0" w:line="116"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in sales volume in our pool business resulting in cost leverage and favorable income drop through;</w:t>
      </w:r>
    </w:p>
    <w:p>
      <w:pPr>
        <w:spacing w:after="0" w:line="171"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compared to the first half of the prior year due to the COVID-19 pandemic;</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raw materials such as metals, resins and electronics along with increased logistics and labor costs;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higher sales rebates and employee incentive compensation expense in line with increased sales in our pool and water treatment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June 30,</w:t>
            </w:r>
          </w:p>
        </w:tc>
        <w:tc>
          <w:tcPr>
            <w:tcW w:w="10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708.0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44.1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107.1</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88.8</w:t>
            </w: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15.7 %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14.1 %</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1.6</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15.1 %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14.0 %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0" w:type="dxa"/>
            <w:vAlign w:val="bottom"/>
          </w:tcPr>
          <w:p>
            <w:pPr>
              <w:spacing w:after="0"/>
              <w:rPr>
                <w:sz w:val="1"/>
                <w:szCs w:val="1"/>
                <w:color w:val="auto"/>
              </w:rPr>
            </w:pPr>
          </w:p>
        </w:tc>
      </w:tr>
      <w:tr>
        <w:trPr>
          <w:trHeight w:val="864"/>
        </w:trPr>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Industrial &amp; Flow Technologies net sales from the prior period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ind w:left="3920"/>
              <w:spacing w:after="0"/>
              <w:rPr>
                <w:sz w:val="20"/>
                <w:szCs w:val="20"/>
                <w:color w:val="auto"/>
              </w:rPr>
            </w:pPr>
            <w:r>
              <w:rPr>
                <w:rFonts w:ascii="Arial" w:cs="Arial" w:eastAsia="Arial" w:hAnsi="Arial"/>
                <w:sz w:val="18"/>
                <w:szCs w:val="18"/>
                <w:b w:val="1"/>
                <w:bCs w:val="1"/>
                <w:color w:val="auto"/>
                <w:w w:val="90"/>
              </w:rPr>
              <w:t>Three months ended June 30, 2021</w:t>
            </w:r>
          </w:p>
        </w:tc>
        <w:tc>
          <w:tcPr>
            <w:tcW w:w="980" w:type="dxa"/>
            <w:vAlign w:val="bottom"/>
          </w:tcPr>
          <w:p>
            <w:pPr>
              <w:spacing w:after="0"/>
              <w:rPr>
                <w:sz w:val="19"/>
                <w:szCs w:val="19"/>
                <w:color w:val="auto"/>
              </w:rPr>
            </w:pPr>
          </w:p>
        </w:tc>
        <w:tc>
          <w:tcPr>
            <w:tcW w:w="3620" w:type="dxa"/>
            <w:vAlign w:val="bottom"/>
          </w:tcPr>
          <w:p>
            <w:pPr>
              <w:jc w:val="right"/>
              <w:ind w:right="690"/>
              <w:spacing w:after="0"/>
              <w:rPr>
                <w:sz w:val="20"/>
                <w:szCs w:val="20"/>
                <w:color w:val="auto"/>
              </w:rPr>
            </w:pPr>
            <w:r>
              <w:rPr>
                <w:rFonts w:ascii="Arial" w:cs="Arial" w:eastAsia="Arial" w:hAnsi="Arial"/>
                <w:sz w:val="18"/>
                <w:szCs w:val="18"/>
                <w:b w:val="1"/>
                <w:bCs w:val="1"/>
                <w:color w:val="auto"/>
              </w:rPr>
              <w:t>Six months ended June 30, 2021</w:t>
            </w:r>
          </w:p>
        </w:tc>
      </w:tr>
      <w:tr>
        <w:trPr>
          <w:trHeight w:val="234"/>
        </w:trPr>
        <w:tc>
          <w:tcPr>
            <w:tcW w:w="664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10.7 %</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r>
      <w:tr>
        <w:trPr>
          <w:trHeight w:val="223"/>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12.4</w:t>
            </w:r>
          </w:p>
        </w:tc>
        <w:tc>
          <w:tcPr>
            <w:tcW w:w="3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r>
      <w:tr>
        <w:trPr>
          <w:trHeight w:val="22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4.3</w:t>
            </w:r>
          </w:p>
        </w:tc>
        <w:tc>
          <w:tcPr>
            <w:tcW w:w="3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r>
      <w:tr>
        <w:trPr>
          <w:trHeight w:val="24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16.7 %</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16.7 and 11.9 percent increases in net sales for Industrial &amp; Flow Technologies in the second quarter and first half, respectively, of 2021 from 2020 were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volume in our residential and irrigation flow businesses in the second quarter and first half of 2021 due to strong demand across all product lines in these businesses;</w:t>
      </w:r>
    </w:p>
    <w:p>
      <w:pPr>
        <w:spacing w:after="0" w:line="116"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volume in our food and beverage business in the second quarter of 2021 due to demand in sustainable gas solutions and recovery in short cycle orders;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sales volume in our commercial flow business in the second quarter of 2021 driven by our water disposal and water supply product lines;</w:t>
      </w:r>
    </w:p>
    <w:p>
      <w:pPr>
        <w:spacing w:after="0" w:line="194"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favorable foreign currency effects in the second quarter and first half compared to the same periods of the prior year.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infrastructure flow business due to less project sales primarily in North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ind w:left="3920"/>
              <w:spacing w:after="0"/>
              <w:rPr>
                <w:sz w:val="20"/>
                <w:szCs w:val="20"/>
                <w:color w:val="auto"/>
              </w:rPr>
            </w:pPr>
            <w:r>
              <w:rPr>
                <w:rFonts w:ascii="Arial" w:cs="Arial" w:eastAsia="Arial" w:hAnsi="Arial"/>
                <w:sz w:val="18"/>
                <w:szCs w:val="18"/>
                <w:b w:val="1"/>
                <w:bCs w:val="1"/>
                <w:color w:val="auto"/>
                <w:w w:val="88"/>
              </w:rPr>
              <w:t>Three months ended June 30, 2021</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Six months ended June 30, 2021</w:t>
            </w:r>
          </w:p>
        </w:tc>
        <w:tc>
          <w:tcPr>
            <w:tcW w:w="260" w:type="dxa"/>
            <w:vAlign w:val="bottom"/>
          </w:tcPr>
          <w:p>
            <w:pPr>
              <w:spacing w:after="0"/>
              <w:rPr>
                <w:sz w:val="19"/>
                <w:szCs w:val="19"/>
                <w:color w:val="auto"/>
              </w:rPr>
            </w:pPr>
          </w:p>
        </w:tc>
      </w:tr>
      <w:tr>
        <w:trPr>
          <w:trHeight w:val="234"/>
        </w:trPr>
        <w:tc>
          <w:tcPr>
            <w:tcW w:w="6600" w:type="dxa"/>
            <w:vAlign w:val="bottom"/>
            <w:tcBorders>
              <w:bottom w:val="single" w:sz="8" w:color="auto"/>
            </w:tcBorders>
          </w:tcPr>
          <w:p>
            <w:pPr>
              <w:ind w:left="4240"/>
              <w:spacing w:after="0"/>
              <w:rPr>
                <w:sz w:val="20"/>
                <w:szCs w:val="20"/>
                <w:color w:val="auto"/>
              </w:rPr>
            </w:pPr>
            <w:r>
              <w:rPr>
                <w:rFonts w:ascii="Arial" w:cs="Arial" w:eastAsia="Arial" w:hAnsi="Arial"/>
                <w:sz w:val="18"/>
                <w:szCs w:val="18"/>
                <w:b w:val="1"/>
                <w:bCs w:val="1"/>
                <w:color w:val="auto"/>
              </w:rPr>
              <w:t>over the prior year period</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360" w:type="dxa"/>
            <w:vAlign w:val="bottom"/>
            <w:shd w:val="clear" w:color="auto" w:fill="CCEEFF"/>
          </w:tcPr>
          <w:p>
            <w:pPr>
              <w:jc w:val="center"/>
              <w:ind w:left="2910"/>
              <w:spacing w:after="0"/>
              <w:rPr>
                <w:sz w:val="20"/>
                <w:szCs w:val="20"/>
                <w:color w:val="auto"/>
              </w:rPr>
            </w:pPr>
            <w:r>
              <w:rPr>
                <w:rFonts w:ascii="Arial" w:cs="Arial" w:eastAsia="Arial" w:hAnsi="Arial"/>
                <w:sz w:val="18"/>
                <w:szCs w:val="18"/>
                <w:color w:val="auto"/>
                <w:w w:val="95"/>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Currency</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640" w:type="dxa"/>
            <w:vAlign w:val="bottom"/>
          </w:tcPr>
          <w:p>
            <w:pPr>
              <w:spacing w:after="0"/>
              <w:rPr>
                <w:sz w:val="19"/>
                <w:szCs w:val="19"/>
                <w:color w:val="auto"/>
              </w:rPr>
            </w:pPr>
          </w:p>
        </w:tc>
        <w:tc>
          <w:tcPr>
            <w:tcW w:w="3360" w:type="dxa"/>
            <w:vAlign w:val="bottom"/>
          </w:tcPr>
          <w:p>
            <w:pPr>
              <w:jc w:val="center"/>
              <w:ind w:left="2910"/>
              <w:spacing w:after="0"/>
              <w:rPr>
                <w:sz w:val="20"/>
                <w:szCs w:val="20"/>
                <w:color w:val="auto"/>
              </w:rPr>
            </w:pPr>
            <w:r>
              <w:rPr>
                <w:rFonts w:ascii="Arial" w:cs="Arial" w:eastAsia="Arial" w:hAnsi="Arial"/>
                <w:sz w:val="18"/>
                <w:szCs w:val="18"/>
                <w:color w:val="auto"/>
                <w:w w:val="95"/>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w:t>
            </w:r>
          </w:p>
        </w:tc>
        <w:tc>
          <w:tcPr>
            <w:tcW w:w="640" w:type="dxa"/>
            <w:vAlign w:val="bottom"/>
            <w:shd w:val="clear" w:color="auto" w:fill="CCEEFF"/>
          </w:tcPr>
          <w:p>
            <w:pPr>
              <w:spacing w:after="0"/>
              <w:rPr>
                <w:sz w:val="19"/>
                <w:szCs w:val="19"/>
                <w:color w:val="auto"/>
              </w:rPr>
            </w:pPr>
          </w:p>
        </w:tc>
        <w:tc>
          <w:tcPr>
            <w:tcW w:w="3360" w:type="dxa"/>
            <w:vAlign w:val="bottom"/>
            <w:shd w:val="clear" w:color="auto" w:fill="CCEEFF"/>
          </w:tcPr>
          <w:p>
            <w:pPr>
              <w:jc w:val="center"/>
              <w:ind w:left="2890"/>
              <w:spacing w:after="0"/>
              <w:rPr>
                <w:sz w:val="20"/>
                <w:szCs w:val="20"/>
                <w:color w:val="auto"/>
              </w:rPr>
            </w:pPr>
            <w:r>
              <w:rPr>
                <w:rFonts w:ascii="Arial" w:cs="Arial" w:eastAsia="Arial" w:hAnsi="Arial"/>
                <w:sz w:val="18"/>
                <w:szCs w:val="18"/>
                <w:color w:val="auto"/>
                <w:w w:val="91"/>
              </w:rPr>
              <w:t>(3.1)</w:t>
            </w:r>
          </w:p>
        </w:tc>
        <w:tc>
          <w:tcPr>
            <w:tcW w:w="260" w:type="dxa"/>
            <w:vAlign w:val="bottom"/>
            <w:shd w:val="clear" w:color="auto" w:fill="CCEEFF"/>
          </w:tcPr>
          <w:p>
            <w:pPr>
              <w:spacing w:after="0"/>
              <w:rPr>
                <w:sz w:val="19"/>
                <w:szCs w:val="19"/>
                <w:color w:val="auto"/>
              </w:rPr>
            </w:pP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5"/>
              </w:rPr>
              <w:t>2.2</w:t>
            </w:r>
          </w:p>
        </w:tc>
        <w:tc>
          <w:tcPr>
            <w:tcW w:w="260" w:type="dxa"/>
            <w:vAlign w:val="bottom"/>
            <w:tcBorders>
              <w:bottom w:val="single" w:sz="8" w:color="auto"/>
            </w:tcBorders>
          </w:tcPr>
          <w:p>
            <w:pPr>
              <w:spacing w:after="0"/>
              <w:rPr>
                <w:sz w:val="19"/>
                <w:szCs w:val="19"/>
                <w:color w:val="auto"/>
              </w:rPr>
            </w:pPr>
          </w:p>
        </w:tc>
      </w:tr>
      <w:tr>
        <w:trPr>
          <w:trHeight w:val="248"/>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360" w:type="dxa"/>
            <w:vAlign w:val="bottom"/>
            <w:tcBorders>
              <w:bottom w:val="single" w:sz="8" w:color="auto"/>
            </w:tcBorders>
            <w:shd w:val="clear" w:color="auto" w:fill="CCEEFF"/>
          </w:tcPr>
          <w:p>
            <w:pPr>
              <w:jc w:val="center"/>
              <w:ind w:left="2910"/>
              <w:spacing w:after="0"/>
              <w:rPr>
                <w:sz w:val="20"/>
                <w:szCs w:val="20"/>
                <w:color w:val="auto"/>
              </w:rPr>
            </w:pPr>
            <w:r>
              <w:rPr>
                <w:rFonts w:ascii="Arial" w:cs="Arial" w:eastAsia="Arial" w:hAnsi="Arial"/>
                <w:sz w:val="18"/>
                <w:szCs w:val="18"/>
                <w:color w:val="auto"/>
                <w:w w:val="95"/>
              </w:rPr>
              <w:t>1.1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1.6 and 1.1 percentage point increases in segment income for Industrial &amp; Flow Technologies as a percentage of net sales in the second quarter and first half, respectively, of 2021 from 2020 were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volumes in our residential and irrigation flow, food and beverage and commercial flow businesses which resulted in increased leverage on fixed operating expenses and improved drop-through;</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metals and resins along with increased logistics and labor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32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4"/>
                <w:szCs w:val="24"/>
                <w:color w:val="auto"/>
              </w:rPr>
            </w:pPr>
          </w:p>
        </w:tc>
        <w:tc>
          <w:tcPr>
            <w:tcW w:w="13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817.0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2021 net sales.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our backlog from December 31, 2020 to June 30, 2021 was driven by a significant increase in orders due to higher than anticipated demand in certain of our residential and commercial businesses coupled with continuing supply chain disruptions and labor availability challenges.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2021 and drew on our revolving credit facility to fund our operations. This cash usage reversed in the second quarter as the seasonality of our businesses peaked and generated significant cash to fund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End-user demand for pool and certain pumping equipment has followed warm weather trends and historically has been at seasonal highs from April to August. The magnitude of the sales spike has been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 impact of the COVID-19 pandemic on our future results is uncertain,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4"/>
                <w:szCs w:val="14"/>
                <w:color w:val="auto"/>
              </w:rPr>
            </w:pPr>
          </w:p>
        </w:tc>
        <w:tc>
          <w:tcPr>
            <w:tcW w:w="1320" w:type="dxa"/>
            <w:vAlign w:val="bottom"/>
          </w:tcPr>
          <w:p>
            <w:pPr>
              <w:jc w:val="center"/>
              <w:ind w:right="230"/>
              <w:spacing w:after="0" w:line="169" w:lineRule="exact"/>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4"/>
                <w:szCs w:val="14"/>
                <w:color w:val="auto"/>
              </w:rPr>
            </w:pPr>
          </w:p>
        </w:tc>
        <w:tc>
          <w:tcPr>
            <w:tcW w:w="134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710"/>
              <w:spacing w:after="0"/>
              <w:rPr>
                <w:sz w:val="20"/>
                <w:szCs w:val="20"/>
                <w:color w:val="auto"/>
              </w:rPr>
            </w:pPr>
            <w:r>
              <w:rPr>
                <w:rFonts w:ascii="Arial" w:cs="Arial" w:eastAsia="Arial" w:hAnsi="Arial"/>
                <w:sz w:val="18"/>
                <w:szCs w:val="18"/>
                <w:color w:val="auto"/>
                <w:w w:val="88"/>
              </w:rPr>
              <w:t>361.0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(100.9)</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320" w:type="dxa"/>
            <w:vAlign w:val="bottom"/>
          </w:tcPr>
          <w:p>
            <w:pPr>
              <w:jc w:val="center"/>
              <w:ind w:left="670"/>
              <w:spacing w:after="0"/>
              <w:rPr>
                <w:sz w:val="20"/>
                <w:szCs w:val="20"/>
                <w:color w:val="auto"/>
              </w:rPr>
            </w:pPr>
            <w:r>
              <w:rPr>
                <w:rFonts w:ascii="Arial" w:cs="Arial" w:eastAsia="Arial" w:hAnsi="Arial"/>
                <w:sz w:val="18"/>
                <w:szCs w:val="18"/>
                <w:color w:val="auto"/>
                <w:w w:val="91"/>
              </w:rPr>
              <w:t>(251.2)</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$361.0 million in net cash provided by operating activities of continuing operations in the first six months of 2021 primarily reflects $302.6 million of net income from continuing operations, net of non-cash depreciation and amortization. Additionally, the Company had a cash inflow of $47.2 million as a result of changes in net working capital, primarily the result of collections of accounts receivables on higher sales, increased accounts payables resulting from inventory purchases to meet demand and increased sales leading to higher accrued rebates and incentives.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$266.5 million in net cash provided by operating activities of continuing operations in the first six months of 2020 primarily reflects $183.9 million of net income from continuing operations, net of non-cash depreciation and amortization. Additionally, the Company had a cash inflow of $59.1 million as a result of changes in net working capital, primarily the result of collections on accounts receivables from our early buy programs in the pool business that became due in the second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Net cash used for investing activities in the first six months of 2021 reflects net cash paid of $82.8 million for the Ken’s Beverage, Inc. acquisition, capital expenditures of $24.3 million and proceeds from the sale of property and equipment of $3.5 million.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for investing activities in the first six months of 2020 primarily reflects capital expenditures of $30.5 million and cash paid for acquisitions in our Consumer Solutions reporting segment of $28.5 million,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in the first six months of 2021 primarily relates to the repayment of $103.8 million senior fixed notes, net borrowings of revolving long-term debt of $20.0 million, $50.0 million of share repurchases, dividend payments of $66.7 million and payments upon the maturity of cross currency swaps of $14.7 million.</w:t>
      </w:r>
    </w:p>
    <w:p>
      <w:pPr>
        <w:spacing w:after="0" w:line="2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for financing activities in the first six months of 2020 primarily relates to $115.2 million of share repurchases and dividend payments of $63.7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provides for the extension of term loans in an aggregate amount of $200.0 million (the “Term Loans”). We have utilized the term loan extension since December 2019..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June 30, 2021 and December 31, 2020.</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 cash generated from operations, to fund our general operations. As of June 30, 2021, total availability under the Senior Credit Facility was $883.9 million.</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June 30, 2021, we were in compliance with all financial covenants in our debt agreements, and there was no material uncertainty about our ongoing ability to meet these covenants.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June 30, 2021. Borrowings under these credit facilities bear interest at variable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no fixed rate senior notes maturing in the next twelve months.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have $60.1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repurchased 0.8 million of our ordinary shares for $50.0 million under the 2018 Authorization. As of June 30, 2021, we had $750.0 million available for share repurchases under the 2020 Authorization.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4, 2021, the Board of Directors declared a quarterly cash dividend of $0.20, payable on August 6, 2021 to shareholders of record at the close of business on July 23,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$33.2 million at both June 30, 2021 and December 31, 2020,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dividends in the first six months of 2021 of $66.7 million, or $0.40 per ordinary share compared with $63.7 million, or $0.38 per ordinary share, in the prior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$8.8 billion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summarized financial information as of June 30, 2021 and December 31, 2020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4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vMerge w:val="continue"/>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1,209.2</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1,252.5</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bl>
    <w:p>
      <w:pPr>
        <w:ind w:left="200" w:hanging="174"/>
        <w:spacing w:after="0" w:line="216" w:lineRule="auto"/>
        <w:tabs>
          <w:tab w:leader="none" w:pos="20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$2.4 million and $2.8 million as of June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$1,195.0 million and $1,028.5 million as of June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$577.2 million and $556.6 million as of June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$529.1 million and $495.2 million as of June 30, 2021 and December 31, 2020,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2020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June 30, 2021. For additional information refer to Item 7A of our 2020 Annual Report on Form 10-K.</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2021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2021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June 30, 2021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the use or </w:t>
      </w:r>
      <w:hyperlink w:anchor="page19">
        <w:r>
          <w:rPr>
            <w:rFonts w:ascii="Arial" w:cs="Arial" w:eastAsia="Arial" w:hAnsi="Arial"/>
            <w:sz w:val="18"/>
            <w:szCs w:val="18"/>
            <w:color w:val="auto"/>
          </w:rPr>
          <w:t xml:space="preserve">installation of our products; consumer matters; and employment and labor matters. Refer to “Legal Proceedings” and “Environmental Matters” within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FF"/>
          </w:rPr>
          <w:t>16 “Commitments and Contingencies”</w:t>
        </w:r>
        <w:r>
          <w:rPr>
            <w:rFonts w:ascii="Arial" w:cs="Arial" w:eastAsia="Arial" w:hAnsi="Arial"/>
            <w:sz w:val="18"/>
            <w:szCs w:val="18"/>
            <w:color w:val="000000"/>
          </w:rPr>
          <w:t>, of the condensed consolidated financial statements included within ITEM 1 of Part I of this Form 10-Q for</w:t>
        </w:r>
      </w:hyperlink>
      <w:r>
        <w:rPr>
          <w:rFonts w:ascii="Arial" w:cs="Arial" w:eastAsia="Arial" w:hAnsi="Arial"/>
          <w:sz w:val="18"/>
          <w:szCs w:val="18"/>
          <w:color w:val="0000FF"/>
        </w:rPr>
        <w:t xml:space="preserve"> </w:t>
      </w:r>
      <w:r>
        <w:rPr>
          <w:rFonts w:ascii="Arial" w:cs="Arial" w:eastAsia="Arial" w:hAnsi="Arial"/>
          <w:sz w:val="18"/>
          <w:szCs w:val="18"/>
          <w:color w:val="000000"/>
        </w:rPr>
        <w:t>information regarding legal and regulatory proceedings we are involved in.</w:t>
      </w:r>
    </w:p>
    <w:p>
      <w:pPr>
        <w:spacing w:after="0" w:line="3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23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19"/>
                <w:szCs w:val="19"/>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236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Total number of shares</w:t>
            </w:r>
          </w:p>
        </w:tc>
        <w:tc>
          <w:tcPr>
            <w:tcW w:w="22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2"/>
              </w:rPr>
              <w:t>Dollar value of shares that</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6"/>
        </w:trPr>
        <w:tc>
          <w:tcPr>
            <w:tcW w:w="22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Period</w:t>
            </w:r>
          </w:p>
        </w:tc>
        <w:tc>
          <w:tcPr>
            <w:tcW w:w="2360" w:type="dxa"/>
            <w:vAlign w:val="bottom"/>
          </w:tcPr>
          <w:p>
            <w:pPr>
              <w:jc w:val="center"/>
              <w:ind w:left="150"/>
              <w:spacing w:after="0" w:line="176" w:lineRule="exact"/>
              <w:rPr>
                <w:sz w:val="20"/>
                <w:szCs w:val="20"/>
                <w:color w:val="auto"/>
              </w:rPr>
            </w:pPr>
            <w:r>
              <w:rPr>
                <w:rFonts w:ascii="Arial" w:cs="Arial" w:eastAsia="Arial" w:hAnsi="Arial"/>
                <w:sz w:val="18"/>
                <w:szCs w:val="18"/>
                <w:b w:val="1"/>
                <w:bCs w:val="1"/>
                <w:color w:val="auto"/>
                <w:w w:val="84"/>
              </w:rPr>
              <w:t>of shares</w:t>
            </w: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May 1</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836,085,869</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May 2 - May 29</w:t>
            </w:r>
          </w:p>
        </w:tc>
        <w:tc>
          <w:tcPr>
            <w:tcW w:w="2360" w:type="dxa"/>
            <w:vAlign w:val="bottom"/>
          </w:tcPr>
          <w:p>
            <w:pPr>
              <w:jc w:val="right"/>
              <w:spacing w:after="0"/>
              <w:rPr>
                <w:sz w:val="20"/>
                <w:szCs w:val="20"/>
                <w:color w:val="auto"/>
              </w:rPr>
            </w:pPr>
            <w:r>
              <w:rPr>
                <w:rFonts w:ascii="Arial" w:cs="Arial" w:eastAsia="Arial" w:hAnsi="Arial"/>
                <w:sz w:val="18"/>
                <w:szCs w:val="18"/>
                <w:color w:val="auto"/>
              </w:rPr>
              <w:t>582,391</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67.65</w:t>
            </w:r>
          </w:p>
        </w:tc>
        <w:tc>
          <w:tcPr>
            <w:tcW w:w="2120" w:type="dxa"/>
            <w:vAlign w:val="bottom"/>
          </w:tcPr>
          <w:p>
            <w:pPr>
              <w:jc w:val="right"/>
              <w:spacing w:after="0"/>
              <w:rPr>
                <w:sz w:val="20"/>
                <w:szCs w:val="20"/>
                <w:color w:val="auto"/>
              </w:rPr>
            </w:pPr>
            <w:r>
              <w:rPr>
                <w:rFonts w:ascii="Arial" w:cs="Arial" w:eastAsia="Arial" w:hAnsi="Arial"/>
                <w:sz w:val="18"/>
                <w:szCs w:val="18"/>
                <w:color w:val="auto"/>
              </w:rPr>
              <w:t>538,048</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799,718,442</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30 - June 30</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659,698</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599,978</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purchases in this column include 426 shares for the period April 1 - May 1, 44,343 shares for the period May 2 - May 29 and 14,951 shares for the period May 30 - June 30 deemed surrendered to us by participants in our equity incentive plans to satisfy the exercise price or withholding of tax obligations related to the exercise of stock options and vesting of restricted and performance shares.</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On December 8, 2020, the Board of Directors authorized the repurchase of our ordinary shares up to a maximum dollar limit of $750.0 million (the “2020 Authorization”). The 2020 Authorization expires on December 31, 2025. The 2020 Authorization supplemented the 2018 Authorization. As of June 30, 2021, we had $750.0 million available for share repurchases under the 2020 Authorization. From time to time, we may enter into a Rule 10b5-1 trading plan for the purpose of repurchasing shares under the 2020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2021</w:t>
      </w:r>
    </w:p>
    <w:p>
      <w:pPr>
        <w:spacing w:after="0" w:line="337" w:lineRule="exact"/>
        <w:rPr>
          <w:sz w:val="20"/>
          <w:szCs w:val="20"/>
          <w:color w:val="auto"/>
        </w:rPr>
      </w:pPr>
    </w:p>
    <w:p>
      <w:pPr>
        <w:ind w:left="940" w:hanging="793"/>
        <w:spacing w:after="0"/>
        <w:tabs>
          <w:tab w:leader="none" w:pos="940" w:val="left"/>
        </w:tabs>
        <w:numPr>
          <w:ilvl w:val="0"/>
          <w:numId w:val="46"/>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w:t>
      </w:r>
    </w:p>
    <w:p>
      <w:pPr>
        <w:spacing w:after="0" w:line="23" w:lineRule="exact"/>
        <w:rPr>
          <w:rFonts w:ascii="Arial" w:cs="Arial" w:eastAsia="Arial" w:hAnsi="Arial"/>
          <w:sz w:val="18"/>
          <w:szCs w:val="18"/>
          <w:b w:val="1"/>
          <w:bCs w:val="1"/>
          <w:u w:val="single" w:color="auto"/>
          <w:color w:val="0000FF"/>
        </w:rPr>
      </w:pPr>
    </w:p>
    <w:p>
      <w:pPr>
        <w:ind w:left="14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u w:val="single" w:color="auto"/>
            <w:color w:val="0000FF"/>
          </w:rPr>
          <w:t>31.1</w:t>
        </w:r>
      </w:hyperlink>
      <w:r>
        <w:rPr>
          <w:rFonts w:ascii="Arial" w:cs="Arial" w:eastAsia="Arial" w:hAnsi="Arial"/>
          <w:sz w:val="16"/>
          <w:szCs w:val="16"/>
          <w:color w:val="auto"/>
        </w:rPr>
        <w:t>Certification of Chief Executive Officer.</w:t>
      </w:r>
    </w:p>
    <w:p>
      <w:pPr>
        <w:spacing w:after="0" w:line="22" w:lineRule="exact"/>
        <w:rPr>
          <w:rFonts w:ascii="Arial" w:cs="Arial" w:eastAsia="Arial" w:hAnsi="Arial"/>
          <w:sz w:val="18"/>
          <w:szCs w:val="18"/>
          <w:b w:val="1"/>
          <w:bCs w:val="1"/>
          <w:color w:val="0000FF"/>
        </w:rPr>
      </w:pPr>
    </w:p>
    <w:p>
      <w:pPr>
        <w:ind w:left="14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u w:val="single" w:color="auto"/>
            <w:color w:val="0000FF"/>
          </w:rPr>
          <w:t>31.2</w:t>
        </w:r>
      </w:hyperlink>
      <w:r>
        <w:rPr>
          <w:rFonts w:ascii="Arial" w:cs="Arial" w:eastAsia="Arial" w:hAnsi="Arial"/>
          <w:sz w:val="17"/>
          <w:szCs w:val="17"/>
          <w:color w:val="auto"/>
        </w:rPr>
        <w:t>Certification of Chief Financial Officer.</w:t>
      </w:r>
    </w:p>
    <w:p>
      <w:pPr>
        <w:spacing w:after="0" w:line="23" w:lineRule="exact"/>
        <w:rPr>
          <w:rFonts w:ascii="Arial" w:cs="Arial" w:eastAsia="Arial" w:hAnsi="Arial"/>
          <w:sz w:val="18"/>
          <w:szCs w:val="18"/>
          <w:b w:val="1"/>
          <w:bCs w:val="1"/>
          <w:u w:val="single" w:color="auto"/>
          <w:color w:val="0000FF"/>
        </w:rPr>
      </w:pPr>
    </w:p>
    <w:p>
      <w:pPr>
        <w:ind w:left="940" w:hanging="782"/>
        <w:spacing w:after="0" w:line="234" w:lineRule="auto"/>
        <w:tabs>
          <w:tab w:leader="none" w:pos="920" w:val="left"/>
        </w:tabs>
        <w:rPr>
          <w:rFonts w:ascii="Arial" w:cs="Arial" w:eastAsia="Arial" w:hAnsi="Arial"/>
          <w:sz w:val="18"/>
          <w:szCs w:val="18"/>
          <w:b w:val="1"/>
          <w:bCs w:val="1"/>
          <w:color w:val="0000FF"/>
        </w:rPr>
      </w:pPr>
      <w:hyperlink w:anchor="page44">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ind w:left="140"/>
        <w:spacing w:after="0"/>
        <w:tabs>
          <w:tab w:leader="none" w:pos="920" w:val="left"/>
        </w:tabs>
        <w:rPr>
          <w:rFonts w:ascii="Arial" w:cs="Arial" w:eastAsia="Arial" w:hAnsi="Arial"/>
          <w:sz w:val="18"/>
          <w:szCs w:val="18"/>
          <w:b w:val="1"/>
          <w:bCs w:val="1"/>
          <w:color w:val="0000FF"/>
        </w:rPr>
      </w:pPr>
      <w:hyperlink w:anchor="page45">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1" w:lineRule="exact"/>
        <w:rPr>
          <w:rFonts w:ascii="Arial" w:cs="Arial" w:eastAsia="Arial" w:hAnsi="Arial"/>
          <w:sz w:val="18"/>
          <w:szCs w:val="18"/>
          <w:b w:val="1"/>
          <w:bCs w:val="1"/>
          <w:u w:val="single" w:color="auto"/>
          <w:color w:val="0000FF"/>
        </w:rPr>
      </w:pPr>
    </w:p>
    <w:p>
      <w:pPr>
        <w:ind w:left="940"/>
        <w:spacing w:after="0"/>
        <w:rPr>
          <w:sz w:val="20"/>
          <w:szCs w:val="20"/>
          <w:color w:val="auto"/>
        </w:rPr>
      </w:pPr>
      <w:r>
        <w:rPr>
          <w:rFonts w:ascii="Arial" w:cs="Arial" w:eastAsia="Arial" w:hAnsi="Arial"/>
          <w:sz w:val="18"/>
          <w:szCs w:val="18"/>
          <w:color w:val="auto"/>
        </w:rPr>
        <w:t>2002.</w:t>
      </w:r>
    </w:p>
    <w:p>
      <w:pPr>
        <w:spacing w:after="0" w:line="7" w:lineRule="exact"/>
        <w:rPr>
          <w:rFonts w:ascii="Arial" w:cs="Arial" w:eastAsia="Arial" w:hAnsi="Arial"/>
          <w:sz w:val="18"/>
          <w:szCs w:val="18"/>
          <w:b w:val="1"/>
          <w:bCs w:val="1"/>
          <w:u w:val="single" w:color="auto"/>
          <w:color w:val="0000FF"/>
        </w:rPr>
      </w:pPr>
    </w:p>
    <w:p>
      <w:pPr>
        <w:jc w:val="both"/>
        <w:ind w:left="940" w:hanging="793"/>
        <w:spacing w:after="0" w:line="212" w:lineRule="auto"/>
        <w:tabs>
          <w:tab w:leader="none" w:pos="9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June 30, 2021 are filed herewith, formatted in iXBRL (Inline Extensible Business Reporting Language): (i) the Condensed Consolidated Statements of Operations and Comprehensive Income for the three and six months ended June 30, 2021 and 2020, (ii) the Condensed Consolidated Balance Sheets as of June 30, 2021 and December 31, 2020, (iii) the Condensed Consolidated Statements of Cash Flows for the six months ended June 30, 2021 and 2020, (iv) the Condensed Consolidated Statements of Changes in Equity for the three and six months ended June 30, 2021 and 2020, and (v) Notes to Condensed Consolidated Financial Statements. The instance document does not appear in the interactive data file because its XBRL tags are embedded within the Inline XBRL document.</w:t>
      </w:r>
    </w:p>
    <w:p>
      <w:pPr>
        <w:spacing w:after="0" w:line="3" w:lineRule="exact"/>
        <w:rPr>
          <w:rFonts w:ascii="Arial" w:cs="Arial" w:eastAsia="Arial" w:hAnsi="Arial"/>
          <w:sz w:val="18"/>
          <w:szCs w:val="18"/>
          <w:b w:val="1"/>
          <w:bCs w:val="1"/>
          <w:u w:val="single" w:color="auto"/>
          <w:color w:val="0000FF"/>
        </w:rPr>
      </w:pPr>
    </w:p>
    <w:p>
      <w:pPr>
        <w:ind w:left="940" w:hanging="793"/>
        <w:spacing w:after="0"/>
        <w:tabs>
          <w:tab w:leader="none" w:pos="9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39</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27, 2021.</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72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Chief Financial Officer and Chief</w:t>
      </w: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guarantors of the 3.150% Senior Notes due 2022, 4.650% Senior Notes due 2025, and 4.500% Senior Notes due 2029 issued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Pentair Finance S.à r.l., which is a wholly-owned subsidiary of Pentair plc:</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Guarantor</w:t>
            </w:r>
          </w:p>
        </w:tc>
        <w:tc>
          <w:tcPr>
            <w:tcW w:w="6260" w:type="dxa"/>
            <w:vAlign w:val="bottom"/>
            <w:tcBorders>
              <w:bottom w:val="single" w:sz="8" w:color="auto"/>
            </w:tcBorders>
          </w:tcPr>
          <w:p>
            <w:pPr>
              <w:jc w:val="center"/>
              <w:ind w:left="269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24"/>
        </w:trPr>
        <w:tc>
          <w:tcPr>
            <w:tcW w:w="4920" w:type="dxa"/>
            <w:vAlign w:val="bottom"/>
          </w:tcPr>
          <w:p>
            <w:pPr>
              <w:spacing w:after="0"/>
              <w:rPr>
                <w:sz w:val="20"/>
                <w:szCs w:val="20"/>
                <w:color w:val="auto"/>
              </w:rPr>
            </w:pPr>
            <w:r>
              <w:rPr>
                <w:rFonts w:ascii="Arial" w:cs="Arial" w:eastAsia="Arial" w:hAnsi="Arial"/>
                <w:sz w:val="18"/>
                <w:szCs w:val="18"/>
                <w:color w:val="auto"/>
              </w:rPr>
              <w:t>Pentair plc</w:t>
            </w:r>
          </w:p>
        </w:tc>
        <w:tc>
          <w:tcPr>
            <w:tcW w:w="6260" w:type="dxa"/>
            <w:vAlign w:val="bottom"/>
          </w:tcPr>
          <w:p>
            <w:pPr>
              <w:jc w:val="center"/>
              <w:ind w:left="2670"/>
              <w:spacing w:after="0"/>
              <w:rPr>
                <w:sz w:val="20"/>
                <w:szCs w:val="20"/>
                <w:color w:val="auto"/>
              </w:rPr>
            </w:pPr>
            <w:r>
              <w:rPr>
                <w:rFonts w:ascii="Arial" w:cs="Arial" w:eastAsia="Arial" w:hAnsi="Arial"/>
                <w:sz w:val="18"/>
                <w:szCs w:val="18"/>
                <w:color w:val="auto"/>
                <w:w w:val="90"/>
              </w:rPr>
              <w:t>Ireland</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Date:July 27, 2021</w:t>
            </w:r>
          </w:p>
        </w:tc>
        <w:tc>
          <w:tcPr>
            <w:tcW w:w="7560" w:type="dxa"/>
            <w:vAlign w:val="bottom"/>
            <w:gridSpan w:val="2"/>
          </w:tcPr>
          <w:p>
            <w:pPr>
              <w:ind w:left="1840"/>
              <w:spacing w:after="0"/>
              <w:rPr>
                <w:sz w:val="20"/>
                <w:szCs w:val="20"/>
                <w:color w:val="auto"/>
              </w:rPr>
            </w:pPr>
            <w:r>
              <w:rPr>
                <w:rFonts w:ascii="Arial" w:cs="Arial" w:eastAsia="Arial" w:hAnsi="Arial"/>
                <w:sz w:val="18"/>
                <w:szCs w:val="18"/>
                <w:color w:val="auto"/>
              </w:rPr>
              <w:t>/s/ John L. Stauch</w:t>
            </w:r>
          </w:p>
        </w:tc>
      </w:tr>
      <w:tr>
        <w:trPr>
          <w:trHeight w:val="20"/>
        </w:trPr>
        <w:tc>
          <w:tcPr>
            <w:tcW w:w="3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7560" w:type="dxa"/>
            <w:vAlign w:val="bottom"/>
            <w:gridSpan w:val="2"/>
          </w:tcPr>
          <w:p>
            <w:pPr>
              <w:ind w:left="1840"/>
              <w:spacing w:after="0"/>
              <w:rPr>
                <w:sz w:val="20"/>
                <w:szCs w:val="20"/>
                <w:color w:val="auto"/>
              </w:rPr>
            </w:pPr>
            <w:r>
              <w:rPr>
                <w:rFonts w:ascii="Arial" w:cs="Arial" w:eastAsia="Arial" w:hAnsi="Arial"/>
                <w:sz w:val="18"/>
                <w:szCs w:val="18"/>
                <w:color w:val="auto"/>
              </w:rPr>
              <w:t>John L. Stauch</w:t>
            </w:r>
          </w:p>
        </w:tc>
      </w:tr>
      <w:tr>
        <w:trPr>
          <w:trHeight w:val="230"/>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27,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2021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27,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June 30, 2021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27,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start w:val="7"/>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9"/>
    </w:lvl>
  </w:abstractNum>
  <w:abstractNum w:abstractNumId="10">
    <w:nsid w:val="737B8DDC"/>
    <w:multiLevelType w:val="hybridMultilevel"/>
    <w:lvl w:ilvl="0">
      <w:lvlJc w:val="left"/>
      <w:lvlText w:val="%1."/>
      <w:numFmt w:val="decimal"/>
      <w:start w:val="10"/>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1"/>
    </w:lvl>
  </w:abstractNum>
  <w:abstractNum w:abstractNumId="13">
    <w:nsid w:val="4516DDE9"/>
    <w:multiLevelType w:val="hybridMultilevel"/>
    <w:lvl w:ilvl="0">
      <w:lvlJc w:val="left"/>
      <w:lvlText w:val="•"/>
      <w:numFmt w:val="bullet"/>
      <w:start w:val="1"/>
    </w:lvl>
    <w:lvl w:ilvl="1">
      <w:lvlJc w:val="left"/>
      <w:lvlText w:val="•"/>
      <w:numFmt w:val="bullet"/>
      <w:start w:val="1"/>
    </w:lvl>
  </w:abstractNum>
  <w:abstractNum w:abstractNumId="14">
    <w:nsid w:val="3006C83E"/>
    <w:multiLevelType w:val="hybridMultilevel"/>
    <w:lvl w:ilvl="0">
      <w:lvlJc w:val="left"/>
      <w:lvlText w:val="%1."/>
      <w:numFmt w:val="decimal"/>
      <w:start w:val="12"/>
    </w:lvl>
  </w:abstractNum>
  <w:abstractNum w:abstractNumId="15">
    <w:nsid w:val="614FD4A1"/>
    <w:multiLevelType w:val="hybridMultilevel"/>
    <w:lvl w:ilvl="0">
      <w:lvlJc w:val="left"/>
      <w:lvlText w:val="%1."/>
      <w:numFmt w:val="decimal"/>
      <w:start w:val="13"/>
    </w:lvl>
  </w:abstractNum>
  <w:abstractNum w:abstractNumId="16">
    <w:nsid w:val="419AC241"/>
    <w:multiLevelType w:val="hybridMultilevel"/>
    <w:lvl w:ilvl="0">
      <w:lvlJc w:val="left"/>
      <w:lvlText w:val="%1."/>
      <w:numFmt w:val="decimal"/>
      <w:start w:val="14"/>
    </w:lvl>
  </w:abstractNum>
  <w:abstractNum w:abstractNumId="17">
    <w:nsid w:val="5577F8E1"/>
    <w:multiLevelType w:val="hybridMultilevel"/>
    <w:lvl w:ilvl="0">
      <w:lvlJc w:val="left"/>
      <w:lvlText w:val="%1."/>
      <w:numFmt w:val="decimal"/>
      <w:start w:val="15"/>
    </w:lvl>
  </w:abstractNum>
  <w:abstractNum w:abstractNumId="18">
    <w:nsid w:val="440BADFC"/>
    <w:multiLevelType w:val="hybridMultilevel"/>
    <w:lvl w:ilvl="0">
      <w:lvlJc w:val="left"/>
      <w:lvlText w:val="%1."/>
      <w:numFmt w:val="decimal"/>
      <w:start w:val="16"/>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22"/>
    </w:lvl>
  </w:abstractNum>
  <w:abstractNum w:abstractNumId="46">
    <w:nsid w:val="579478FE"/>
    <w:multiLevelType w:val="hybridMultilevel"/>
    <w:lvl w:ilvl="0">
      <w:lvlJc w:val="left"/>
      <w:lvlText w:val="%1"/>
      <w:numFmt w:val="decimal"/>
      <w:start w:val="101"/>
    </w:lvl>
  </w:abstractNum>
  <w:abstractNum w:abstractNumId="47">
    <w:nsid w:val="749ABB43"/>
    <w:multiLevelType w:val="hybridMultilevel"/>
    <w:lvl w:ilvl="0">
      <w:lvlJc w:val="left"/>
      <w:lvlText w:val="%1"/>
      <w:numFmt w:val="decimal"/>
      <w:start w:val="10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2021-07-27T16:40:39Z</dcterms:created>
  <dcterms:modified xsi:type="dcterms:W3CDTF">2021-07-27T16:40:39Z</dcterms:modified>
</cp:coreProperties>
</file>