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156845</wp:posOffset>
            </wp:positionV>
            <wp:extent cx="23317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172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Pentair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3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001-11625</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File No.)</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Regal House, 70 London Road, Twickenham, London, TW13QS 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PNR</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5, 2026 (the “Closing Date”), Pentair plc (“Pentair”) and its subsidiaries Pentair Finance S.à r.l. (“Pentair Finance”) and Pentair, Inc. (“Pentair U.S.”) entered into an Amendment No. 1 to Second Amended and Restated Credit Agreement (the “Amendment”), among Pentair Finance and Pentair U.S., as borrowers, Pentair, as guarantor, and the lenders and agents party thereto, which amends Pentair’s Second Amended and Restated Credit Agreement, dated as of May 5, 2025 (the “Existing Credit Agreement”; the Existing Credit Agreement as amended by the Amendment, the “Agreement”), among Pentair Finance and Pentair U.S., as borrowers, Pentair, as guarantor, and the lenders and agents party thereto.</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Amendment amends the Existing Credit Agreement to, among other things, add a new tranche of term loans in an aggregate initial principal amount equal to $500 million (the “Term Loan Facility”) to refinance the term loans outstanding under Pentair’s Loan Agreement, dated as of March 24, 2022 (as amended, the “Loan Agreement”), among Pentair Finance, as borrower, Pentair, as guarantor, and the lenders and agents party thereto. Concurrent with the effectiveness of the Amendment and the Term Loan Facility on the Closing Date, the Loan Agreement was prepaid in full and terminated. As of the Closing Date, after giving effect to any borrowings made on such date, the total principal amount of term loans outstanding under the Term Loan Facility was $500 million and the total principal amount of revolving loans outstanding under the existing $900 revolving credit facility under the Agreement (the “Revolving Facility” and together with the Term Loan Facility, the “Senior Credit Facilities”) was $628.6 million.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Senior Credit Facilities are guaranteed by Pentair. The Senior Credit Facilities bear interest at a rate equal to an adjusted base rate, Term SOFR, EURIBOR, or, solely for swingline loans denominated in euros, ESTR, plus, in each case, an applicable margin. The applicable margin is based on, at Pentair Finance’s election, Pentair’s leverage level or Pentair Finance’s public credit rating.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certain exceptions, the Senior Credit Facilities mature on May 5, 2030. The Term Loan Facility amortizes commencing June 30, 2027 in an amount equal to $3.125 million quarterly through March 31, 2028 and $6.250 million quarterly thereafter. Pentair Finance is permitted to voluntarily prepay loans and/or reduce the commitments under the Senior Credit Facilities, in whole or in part, without penalty or premium, subject to certain minimum amounts and increments and the payment of customary breakage costs. No mandatory prepayment will be required under the Senior Credit Facilities unless certain affiliate and currency sub-limits are exceeded, subject to certain other exceptions.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Senior Credit Facilities contain financial covenants requiring Pentair not to permit (i) the ratio of its consolidated debt (net of its consolidated unrestricted cash and cash equivalents in excess of $5.0 million but not to exceed $250.0 million) to its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Pentair Finance’s election and subject to certain conditions, 4.25 to 1.00 for four testing periods in connection with certain material acquisitions) and (ii) the ratio of its EBITDA to its consolidated cash interest expense for the same period to be less than 3.00 to 1.00. In addition, subject to certain qualifications and exceptions, the Senior Credit Facilities also contains covenants that, among other things, restrict Pentair’s ability to create liens, merge or consolidate with another person, make acquisitions and incur subsidiary debt.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Credit Facilities contain customary events of default. If an event of default occurs and is continuing, then the lenders may terminate all commitments to extend further credit and declare all amounts outstanding under the Senior Credit Facilities due and payable immediately. In addition, in the case of an event of default arising from certain events of bankruptcy, insolvency or reorganization, all amounts outstanding under the Senior Credit Facilities will automatically become due and payable immediately.</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in its entirety by reference to the full text of the Amendment filed as Exhibit 4.1 to this Current Report on Form 8-K,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960" w:right="6040" w:hanging="1304"/>
        <w:spacing w:after="0" w:line="500" w:lineRule="auto"/>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Not applicable.</w:t>
      </w:r>
    </w:p>
    <w:p>
      <w:pPr>
        <w:spacing w:after="0" w:line="1" w:lineRule="exact"/>
        <w:rPr>
          <w:rFonts w:ascii="Times New Roman" w:cs="Times New Roman" w:eastAsia="Times New Roman" w:hAnsi="Times New Roman"/>
          <w:sz w:val="18"/>
          <w:szCs w:val="18"/>
          <w:color w:val="auto"/>
        </w:rPr>
      </w:pPr>
    </w:p>
    <w:p>
      <w:pPr>
        <w:ind w:left="1960" w:right="6900" w:hanging="1304"/>
        <w:spacing w:after="0" w:line="500" w:lineRule="auto"/>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Not applicable.</w:t>
      </w:r>
    </w:p>
    <w:p>
      <w:pPr>
        <w:spacing w:after="0" w:line="1" w:lineRule="exact"/>
        <w:rPr>
          <w:rFonts w:ascii="Times New Roman" w:cs="Times New Roman" w:eastAsia="Times New Roman" w:hAnsi="Times New Roman"/>
          <w:sz w:val="18"/>
          <w:szCs w:val="18"/>
          <w:color w:val="auto"/>
        </w:rPr>
      </w:pPr>
    </w:p>
    <w:p>
      <w:pPr>
        <w:ind w:left="1960" w:right="7220" w:hanging="1304"/>
        <w:spacing w:after="0" w:line="530" w:lineRule="auto"/>
        <w:tabs>
          <w:tab w:leader="none" w:pos="1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Shell Company Transactions Not applicable.</w:t>
      </w:r>
    </w:p>
    <w:p>
      <w:pPr>
        <w:ind w:left="1960" w:hanging="1304"/>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Exhibit Index below are filed as part of this report.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ind w:left="80"/>
        <w:spacing w:after="0"/>
        <w:tabs>
          <w:tab w:leader="none" w:pos="57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1" w:lineRule="exact"/>
        <w:rPr>
          <w:sz w:val="20"/>
          <w:szCs w:val="20"/>
          <w:color w:val="auto"/>
        </w:rPr>
      </w:pPr>
    </w:p>
    <w:p>
      <w:pPr>
        <w:ind w:left="1140" w:hanging="739"/>
        <w:spacing w:after="0" w:line="276"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u w:val="single" w:color="auto"/>
          <w:color w:val="0000EE"/>
        </w:rPr>
        <w:t>Amendment No. 1 to Second Amended and Restated Credit Agreement, dated as of May 5, 2026, among Pentair plc, Pentair Finance S.à r.l., Pentair, Inc. and the lenders and agents party thereto.</w:t>
      </w:r>
    </w:p>
    <w:p>
      <w:pPr>
        <w:spacing w:after="0" w:line="167"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6,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Lance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Lance Bonner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5, 2025</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May 5, 2026 by and among Pentair Finance S.à r.l., a Luxembourg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having its registered office at 26, Boulevard Royal, L-2449 Luxembourg, Grand Duchy of Luxembourg and registered with the Luxembourg Trade and Companies Register (</w:t>
      </w:r>
      <w:r>
        <w:rPr>
          <w:rFonts w:ascii="Times New Roman" w:cs="Times New Roman" w:eastAsia="Times New Roman" w:hAnsi="Times New Roman"/>
          <w:sz w:val="18"/>
          <w:szCs w:val="18"/>
          <w:i w:val="1"/>
          <w:iCs w:val="1"/>
          <w:color w:val="auto"/>
        </w:rPr>
        <w:t>Registre de commerce et des sociétés</w:t>
      </w:r>
      <w:r>
        <w:rPr>
          <w:rFonts w:ascii="Times New Roman" w:cs="Times New Roman" w:eastAsia="Times New Roman" w:hAnsi="Times New Roman"/>
          <w:sz w:val="18"/>
          <w:szCs w:val="18"/>
          <w:color w:val="auto"/>
        </w:rPr>
        <w:t>, Luxembourg) under number B166305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Pentair plc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Pentair, Inc. (the “</w:t>
      </w:r>
      <w:r>
        <w:rPr>
          <w:rFonts w:ascii="Times New Roman" w:cs="Times New Roman" w:eastAsia="Times New Roman" w:hAnsi="Times New Roman"/>
          <w:sz w:val="18"/>
          <w:szCs w:val="18"/>
          <w:u w:val="single" w:color="auto"/>
          <w:color w:val="auto"/>
        </w:rPr>
        <w:t>Affiliate Borrower</w:t>
      </w:r>
      <w:r>
        <w:rPr>
          <w:rFonts w:ascii="Times New Roman" w:cs="Times New Roman" w:eastAsia="Times New Roman" w:hAnsi="Times New Roman"/>
          <w:sz w:val="18"/>
          <w:szCs w:val="18"/>
          <w:color w:val="auto"/>
        </w:rPr>
        <w:t>” and, collectively with the Company and the Parent,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the Lenders party hereto and JPMorgan Chase Bank, N.A., in its capacity as administrative agent for the Lenders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under that certain Second Amended and Restated Credit Agreement dated as of May 5, 2025 by and among the Loan Parties, the Lenders from time to time party thereto and the Administrative Agent (as amended,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herein and not otherwise defined herein shall have the respective meanings given to them in the Credit Agreement.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Loan Parties have requested that (i) certain Lenders agree to provide additional term loans pursuant to Section 9.02(d) of the Credit Agreement and (ii) the Required Lenders agree to make certain modifications to the Credit Agreement;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Loan Parties, the Lenders party hereto and the Administrative Agent have agreed to amend the Credit Agreement on the terms and conditions set forth herein.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terms and conditions contained herein, and other good and valuable consideration, the receipt and sufficiency of which are hereby acknowledged, the Loan Parties, the Lenders party hereto and the Administrative Agent hereby agree to enter into this Amendment.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Amendments to the Credit Agreement</w:t>
      </w:r>
      <w:r>
        <w:rPr>
          <w:rFonts w:ascii="Times New Roman" w:cs="Times New Roman" w:eastAsia="Times New Roman" w:hAnsi="Times New Roman"/>
          <w:sz w:val="18"/>
          <w:szCs w:val="18"/>
          <w:color w:val="auto"/>
        </w:rPr>
        <w:t xml:space="preserve">. Effective as of the date of satisfaction of the conditions precedent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(such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parties hereto agree that the Credit Agreement (including certain of the Schedules and the Exhibits thereto) shall be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(including certain of the Schedules and Exhibits thereto)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Credit Agreement as so amended,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parties hereto acknowledge and agree that this Amendment is being entered into and consummated pursuant to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The parties hereto acknowledge and agree that each Lender that executes this Amendment as a Lender and which also has a Term Loan Commitment listed opposite its name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set forth in the Amended Credit Agreement shall be and is a Term Lender under the Amended Credit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New Lenders</w:t>
      </w:r>
      <w:r>
        <w:rPr>
          <w:rFonts w:ascii="Times New Roman" w:cs="Times New Roman" w:eastAsia="Times New Roman" w:hAnsi="Times New Roman"/>
          <w:sz w:val="18"/>
          <w:szCs w:val="18"/>
          <w:color w:val="auto"/>
        </w:rPr>
        <w:t>. The parties hereto hereby acknowledge and agree that: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of the undersigned financial institutions that is not a party to the Credit Agreement prior to the Amendment Effective Date (each,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agrees to be bound by the provisions of the Amended Credit Agreement and agrees that it shall, on the Amendment Effective Date, become a Lender and a Term Lender for all purposes of the Amended Credit Agreement, with a Term Loan Commitment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of the Amended Credit Agreement.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Each undersigned New Lender (a) represents and warrants that (i) it has full power and authority, and has taken all action necessary, to execute and deliver this Amendment and to consummate the transactions contemplated hereby and by the Amended Credit Agreement and to become a Lender under the Amended Credit Agreement, (ii) it satisfies the requirements, if any, specified in the Amended Credit Agreement and under applicable law that are required to be satisfied by it in order to become a Lender, (iii) from and after the Amendment Effective Date, it shall be bound by the provisions of the Amended Credit Agreement as a Lender thereunder and shall have the obligations of a Lender thereunder, (iv) it is sophisticated with respect to decisions to acquire assets of the type represented by the Term Loans under (and as defined in) the Amended Credit Agreement and either it, or the Person exercising discretion in making its decision to acquire such Term Loans, is experienced in acquiring assets of such type and (v)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Amendment (and become party to the Amended Credit Agreement) on the basis of which it has made such analysis and decision independently and without reliance on the Administrative Agent, any Arranger or any other Lender and their respective Related Parties; and (b) agrees that (i) it will, independently and without reliance on the Administrative Agent, any Arranger or any other Lender and their respective Related Parties, and based on such documents and information as it shall deem appropriate at the time, continue to make its own credit decisions in taking or not taking action under the Amended Credit Agreement and the other Loan Documents, and (ii) it will perform in accordance with their terms all of the obligations which by the terms of the Amended Credit Agreement and the other Loan Documents are required to be performed by it as a Lender.</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Non-U.S. Administrative Agent</w:t>
      </w:r>
      <w:r>
        <w:rPr>
          <w:rFonts w:ascii="Times New Roman" w:cs="Times New Roman" w:eastAsia="Times New Roman" w:hAnsi="Times New Roman"/>
          <w:sz w:val="18"/>
          <w:szCs w:val="18"/>
          <w:color w:val="auto"/>
        </w:rPr>
        <w:t>. J.P. Morgan SE agrees to be bound by the provisions of the Amended Credit Agreement and agrees that it shall, on the Amendment Effective Date, become the Non-U.S. Administrative Agent for all purposes of the Amended Credit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Conditions of Effectiveness</w:t>
      </w:r>
      <w:r>
        <w:rPr>
          <w:rFonts w:ascii="Times New Roman" w:cs="Times New Roman" w:eastAsia="Times New Roman" w:hAnsi="Times New Roman"/>
          <w:sz w:val="18"/>
          <w:szCs w:val="18"/>
          <w:color w:val="auto"/>
        </w:rPr>
        <w:t>. This Amendment shall become effective as of the first date on which each of the following conditions shall have been satisfied: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Administrative Agent (or its counsel) shall have received counterparts of this Amendment duly executed by each of the Loan Parties, the Required Lenders, each New Lender, each Lender with a Term Loan Commitment under the Amended Credit Agreement and the Administrative Agent.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The Administrative Agent shall have received a favorable written opinion (addressed to the Administrative Agent and the Lenders and dated the Amendment Effective Date) of (i) Foley &amp; Lardner LLP, special counsel for the Loan Parties, (ii) Arthur Cox, special Irish counsel for the Loan Parties, and (iii) Allen Overy Shearman Sterling, </w:t>
      </w:r>
      <w:r>
        <w:rPr>
          <w:rFonts w:ascii="Times New Roman" w:cs="Times New Roman" w:eastAsia="Times New Roman" w:hAnsi="Times New Roman"/>
          <w:sz w:val="18"/>
          <w:szCs w:val="18"/>
          <w:i w:val="1"/>
          <w:iCs w:val="1"/>
          <w:color w:val="auto"/>
        </w:rPr>
        <w:t>Société en Commandite Simple, inscrite au barreau de Luxembourg</w:t>
      </w:r>
      <w:r>
        <w:rPr>
          <w:rFonts w:ascii="Times New Roman" w:cs="Times New Roman" w:eastAsia="Times New Roman" w:hAnsi="Times New Roman"/>
          <w:sz w:val="18"/>
          <w:szCs w:val="18"/>
          <w:color w:val="auto"/>
        </w:rPr>
        <w:t>, special Luxembourg counsel for the Loan Parties, in each case in form and substance reasonably satisfactory to the Administrative Agent and its counsel and covering such matters relating to the Loan Parties, this Amendment, the Amended Credit Agreement and the Transactions as the Administrative Agent shall reasonably request. The Company hereby requests such counsels to deliver such opinions.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The Administrative Agent shall have received such documents and certificates as the Administrative Agent or its counsel may reasonably request relating to the organization, existence and good standing (or the equivalent) of the Loan Parties (which shall include, in the case of the Parent, evidence that the Parent has complied with Section 82 of the Irish Companies Act), the authorization of this Amendment, the Amended Credit Agreement and the Transactions and any other legal matters relating to the Loan Parties, the Amendment, the Amended Credit Agreement and the Transactions, all in form and substance reasonably satisfactory to the Administrative Agent and its counsel.</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The Administrative Agent shall have received a certificate, dated the Amendment Effective Date and signed by a Manager of the Company, certifying (i) compliance with the conditions set forth in paragraphs (a) and (b) of Section 4.02 of the Amended Credit Agreement (but, in respect of Section 4.02(a) of the Amended Credit Agreement, such certification shall include, and not exclude, the representations contained in Sections 3.04(b) and 3.05 of the Amended Credit Agreement) and (ii) that since December 31, 2025, no change, occurrence or development has occurred in respect of the business, assets, operations or financial condition of the Parent and its Subsidiaries, taken as a whole, that has had a Material Adverse Effect.</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           The Administrative Agent shall have received (i) for the account of each Term Lender that delivers its executed signature page to this Amendment by no later than the date and time specified by the Administrative Agent, an upfront fee in respect of its Term Loan Commitment in an amount equal to the amount previously disclosed to the Term Lenders (and established by the Administrative Agent in consultation with the Company) and</w:t>
      </w:r>
    </w:p>
    <w:p>
      <w:pPr>
        <w:spacing w:after="0" w:line="1" w:lineRule="exact"/>
        <w:rPr>
          <w:sz w:val="20"/>
          <w:szCs w:val="20"/>
          <w:color w:val="auto"/>
        </w:rPr>
      </w:pPr>
    </w:p>
    <w:p>
      <w:pPr>
        <w:jc w:val="both"/>
        <w:ind w:firstLine="8"/>
        <w:spacing w:after="0" w:line="253" w:lineRule="auto"/>
        <w:tabs>
          <w:tab w:leader="none" w:pos="2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and/or reimbursement of the Administrative Agent’s and its affiliates’ fees and expenses (including, to the extent invoiced (in reasonable detail) to the Company at least one (1) Business Day prior to the Amendment Effective Date, the reasonable, documented and invoiced fees, disbursements and other charges of one primary counsel (and one additional local counsel in each applicable jurisdiction) for the Administrative Agent) in accordance with the Loan Documents.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Administrative Agent shall have received evidence satisfactory to it that the Existing Loan Agreement (as defined in the Amended Credit Agreement) been terminated and cancelled and any and all indebtedness thereunder shall have been fully repaid (except to the extent being so repaid with the proceeds of the Term Loans (as defined in the Amended Credit Agreement) and any and all liens thereunder have been terminated and released.</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Administrative Agent shall notify the Company and the Lenders of the Amendment Effective Date, and such notice shall be conclusive and binding.</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Representations and Warranties of the Loan Parties</w:t>
      </w:r>
      <w:r>
        <w:rPr>
          <w:rFonts w:ascii="Times New Roman" w:cs="Times New Roman" w:eastAsia="Times New Roman" w:hAnsi="Times New Roman"/>
          <w:sz w:val="18"/>
          <w:szCs w:val="18"/>
          <w:color w:val="auto"/>
        </w:rPr>
        <w:t>. Each Loan Party hereby represents and warrants as follows: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of this Amendment and the Amended Credit Agreement constitutes a valid and binding agreement of each Loan Party enforceable against the applicable Loan Parties in accordance with its terms, except to the extent that the enforceability thereof may be limited by the effect of any applicable bankruptcy, insolvency, reorganization, moratorium or similar laws now or hereafter affecting creditors’ rights generally, any mandatory applicable provisions of Luxembourg law of general application and general principles of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As of the date hereof and immediately after giving effect to the terms of this Amendment, (i) no Default has occurred and is continuing and (ii) the representations and warranties of the Borrowers set forth in the Amended Credit Agreement (including the representations contained in </w:t>
      </w:r>
      <w:r>
        <w:rPr>
          <w:rFonts w:ascii="Times New Roman" w:cs="Times New Roman" w:eastAsia="Times New Roman" w:hAnsi="Times New Roman"/>
          <w:sz w:val="18"/>
          <w:szCs w:val="18"/>
          <w:u w:val="single" w:color="auto"/>
          <w:color w:val="auto"/>
        </w:rPr>
        <w:t>Sections 3.04(b)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of the Amended Credit Agreement) are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or warranty that is qualified by materiality or Material Adverse Effect is true and correct in all respects), or, if any such representation or warranty is expressly stated to have been made as of a specific date, as of such specific date.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Confirmation of Guarantees</w:t>
      </w:r>
      <w:r>
        <w:rPr>
          <w:rFonts w:ascii="Times New Roman" w:cs="Times New Roman" w:eastAsia="Times New Roman" w:hAnsi="Times New Roman"/>
          <w:sz w:val="18"/>
          <w:szCs w:val="18"/>
          <w:color w:val="auto"/>
        </w:rPr>
        <w:t>. The Parent, by its execution of this Amendment, hereby consents to this Amendment and confirms and ratifies that all of its obligations as a Guarantor under the Amended Credit Agreement shall continue in full force and effect for the benefit of the Administrative Agent and the Lenders with respect to the Amended Credit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Reference to and Effect on the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Loan Document and all other documents, instruments and agreements executed and/or delivered in connection therewith shall remain in full force and effect and are hereby ratified and confirmed.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Amendment shall be a Loan Document.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This Amendment shall be construed in accordance with and governed by the law of the State of New York. Each Loan Party hereby irrevocably and unconditionally submits, for itself and its property, to only the jurisdiction of (i) the United States District Court for the Southern District of New York sitting in the Borough of Manhattan (or if such court lacks subject matter jurisdiction, the Supreme Court of the State of New York sitting in the Borough of Manhattan) and (ii) any U.S. federal or Illinois state court sitting in Chicago, Illinois, and in each case any appellate court from any thereof, in any action or proceeding arising out of or relating to this Amendment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or any other Loan Document shall affect any right that the Administrative Agent, any Issuing Bank or any Lender may otherwise have to bring any action or proceeding relating to this Amendment or any other Loan Document against any Loan Party or its properties (i) in the courts of any jurisdiction, and (ii) in respect of any Loan Party incorporated in Luxembourg only, any courts having jurisdiction where the head office, central administration, centre of main interest, place of effective management, domicile and/or establishment of that Loan Party is situated or where any asset of that Loan Party is situated.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PENTAIR FINANCE S.À R.L.,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Brazis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Nicholas Brazis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1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May 5,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the Parent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Brazis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Nicholas Brazis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PENTAIR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Affiliate Borrower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Brazis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Nicholas Brazis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Treasurer</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individually as a Lender and as Administrative 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Nick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Nick Nussbaum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7"/>
          <w:szCs w:val="17"/>
          <w:color w:val="auto"/>
        </w:rPr>
        <w:t>J.P. MORGAN SE, as Administrative Agent</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Haaris Amjad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Haaris Amjad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Kevin O’Sullivan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7"/>
          <w:szCs w:val="17"/>
          <w:color w:val="auto"/>
        </w:rPr>
        <w:t>BANK OF MONTREAL, LONDON BRANCH,</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Scott Ackerman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7"/>
          <w:szCs w:val="17"/>
          <w:color w:val="auto"/>
        </w:rPr>
        <w:t>U.S. BANK NATIONAL ASSOCIATION,</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Erik Schultz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 w:name="page18"/>
    <w:bookmarkEnd w:id="17"/>
    <w:p>
      <w:pPr>
        <w:ind w:left="4520"/>
        <w:spacing w:after="0"/>
        <w:tabs>
          <w:tab w:leader="none" w:pos="5300" w:val="left"/>
          <w:tab w:leader="none" w:pos="6160" w:val="left"/>
          <w:tab w:leader="none" w:pos="7120" w:val="left"/>
          <w:tab w:leader="none" w:pos="8500" w:val="left"/>
          <w:tab w:leader="none" w:pos="9000" w:val="left"/>
          <w:tab w:leader="none" w:pos="9580" w:val="left"/>
        </w:tabs>
        <w:rPr>
          <w:sz w:val="20"/>
          <w:szCs w:val="20"/>
          <w:color w:val="auto"/>
        </w:rPr>
      </w:pPr>
      <w:r>
        <w:rPr>
          <w:rFonts w:ascii="Times New Roman" w:cs="Times New Roman" w:eastAsia="Times New Roman" w:hAnsi="Times New Roman"/>
          <w:sz w:val="18"/>
          <w:szCs w:val="18"/>
          <w:color w:val="auto"/>
        </w:rPr>
        <w:t>BANCO</w:t>
        <w:tab/>
        <w:t>BILBAO</w:t>
        <w:tab/>
        <w:t>VIZCAYA</w:t>
        <w:tab/>
        <w:t>ARGENTARIA,</w:t>
        <w:tab/>
        <w:t>S.A.</w:t>
        <w:tab/>
        <w:t>NEW</w:t>
      </w:r>
      <w:r>
        <w:rPr>
          <w:sz w:val="20"/>
          <w:szCs w:val="20"/>
          <w:color w:val="auto"/>
        </w:rPr>
        <w:tab/>
      </w:r>
      <w:r>
        <w:rPr>
          <w:rFonts w:ascii="Times New Roman" w:cs="Times New Roman" w:eastAsia="Times New Roman" w:hAnsi="Times New Roman"/>
          <w:sz w:val="17"/>
          <w:szCs w:val="17"/>
          <w:color w:val="auto"/>
        </w:rPr>
        <w:t>YORK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BRANCH,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left="1820" w:right="2920"/>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color w:val="auto"/>
        </w:rPr>
        <w:t>BANK OF CHINA, LOS ANGELES BRANCH,</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Peng 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&amp; Branch Manager</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7"/>
          <w:szCs w:val="17"/>
          <w:color w:val="auto"/>
        </w:rPr>
        <w:t>PNC BANK, NATIONAL ASSOCIATION,</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Strauss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Strauss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8"/>
          <w:szCs w:val="18"/>
          <w:color w:val="auto"/>
        </w:rPr>
        <w:t>BANK OF MONTREAL EUROPE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Jane Anne Negi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Jane Anne Negi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Chief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Garrett Poynton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Garrett Poynton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Risk Officer</w:t>
      </w:r>
    </w:p>
    <w:p>
      <w:pPr>
        <w:spacing w:after="0" w:line="207" w:lineRule="exact"/>
        <w:rPr>
          <w:sz w:val="20"/>
          <w:szCs w:val="20"/>
          <w:color w:val="auto"/>
        </w:rPr>
      </w:pPr>
    </w:p>
    <w:p>
      <w:pPr>
        <w:jc w:val="center"/>
        <w:ind w:left="1820" w:right="1839"/>
        <w:spacing w:after="0" w:line="275" w:lineRule="auto"/>
        <w:rPr>
          <w:sz w:val="20"/>
          <w:szCs w:val="20"/>
          <w:color w:val="auto"/>
        </w:rPr>
      </w:pPr>
      <w:r>
        <w:rPr>
          <w:rFonts w:ascii="Times New Roman" w:cs="Times New Roman" w:eastAsia="Times New Roman" w:hAnsi="Times New Roman"/>
          <w:sz w:val="18"/>
          <w:szCs w:val="18"/>
          <w:color w:val="auto"/>
        </w:rPr>
        <w:t>Signature Page to Amendment No. 1 to Second Amended and Restated Credit Agreement dated as of May 5, 2025 Pentair Finance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7"/>
          <w:szCs w:val="17"/>
          <w:color w:val="auto"/>
        </w:rPr>
        <w:t>ANNEX A</w:t>
      </w:r>
    </w:p>
    <w:p>
      <w:pPr>
        <w:sectPr>
          <w:pgSz w:w="11900" w:h="16838" w:orient="portrait"/>
          <w:cols w:equalWidth="0" w:num="1">
            <w:col w:w="9019"/>
          </w:cols>
          <w:pgMar w:left="1440" w:top="904"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2728595</wp:posOffset>
            </wp:positionH>
            <wp:positionV relativeFrom="page">
              <wp:posOffset>748665</wp:posOffset>
            </wp:positionV>
            <wp:extent cx="2091690" cy="497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091690" cy="4972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SECOND AMENDED AND RESTATED CREDIT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5,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Parent,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PENTAIR FINANCE S.À R.L.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Company,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PENTAIR,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an Affiliate Borrower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Other Affiliate Borrowers From Time to Time Party Hereto,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b w:val="1"/>
          <w:bCs w:val="1"/>
          <w:u w:val="single" w:color="auto"/>
          <w:color w:val="0000FF"/>
        </w:rPr>
        <w:t>and J.P. MORGAN 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 OF MONTREAL, LONDON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CITIBANK, N.A.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Syndication Agents </w:t>
      </w:r>
      <w:r>
        <w:rPr>
          <w:rFonts w:ascii="Times New Roman" w:cs="Times New Roman" w:eastAsia="Times New Roman" w:hAnsi="Times New Roman"/>
          <w:sz w:val="18"/>
          <w:szCs w:val="18"/>
          <w:b w:val="1"/>
          <w:bCs w:val="1"/>
          <w:u w:val="single" w:color="auto"/>
          <w:color w:val="0000FF"/>
        </w:rPr>
        <w:t>for the Revolving Credit Facility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BANK OF AMERICA, N.A.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BANK OF MONTREAL EUROPE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PNC BANK, NATIONAL ASSOCIATION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as Syndication Agents for the Term Loan Facility,</w:t>
      </w:r>
    </w:p>
    <w:p>
      <w:pPr>
        <w:spacing w:after="0" w:line="207" w:lineRule="exact"/>
        <w:rPr>
          <w:sz w:val="20"/>
          <w:szCs w:val="20"/>
          <w:color w:val="auto"/>
        </w:rPr>
      </w:pPr>
    </w:p>
    <w:p>
      <w:pPr>
        <w:jc w:val="center"/>
        <w:ind w:left="1540" w:right="1559"/>
        <w:spacing w:after="0" w:line="255" w:lineRule="auto"/>
        <w:rPr>
          <w:sz w:val="20"/>
          <w:szCs w:val="20"/>
          <w:color w:val="auto"/>
        </w:rPr>
      </w:pPr>
      <w:r>
        <w:rPr>
          <w:rFonts w:ascii="Times New Roman" w:cs="Times New Roman" w:eastAsia="Times New Roman" w:hAnsi="Times New Roman"/>
          <w:sz w:val="18"/>
          <w:szCs w:val="18"/>
          <w:color w:val="auto"/>
        </w:rPr>
        <w:t>BANCO BILBAO VIZCAYA ARGENTARIA, S.A. NEW YORK BRANCH BANK OF CHINA, LOS ANGELES BRANCH PNC BANK, NATIONAL ASSOCIATION and SUMITOMO MITSUI BANKING CORPORATION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Documentation Agents </w:t>
      </w:r>
      <w:r>
        <w:rPr>
          <w:rFonts w:ascii="Times New Roman" w:cs="Times New Roman" w:eastAsia="Times New Roman" w:hAnsi="Times New Roman"/>
          <w:sz w:val="18"/>
          <w:szCs w:val="18"/>
          <w:b w:val="1"/>
          <w:bCs w:val="1"/>
          <w:u w:val="single" w:color="auto"/>
          <w:color w:val="0000FF"/>
        </w:rPr>
        <w:t>for the Revolving Credit Facility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and</w:t>
      </w:r>
    </w:p>
    <w:p>
      <w:pPr>
        <w:spacing w:after="0" w:line="225" w:lineRule="exact"/>
        <w:rPr>
          <w:sz w:val="20"/>
          <w:szCs w:val="20"/>
          <w:color w:val="auto"/>
        </w:rPr>
      </w:pPr>
    </w:p>
    <w:p>
      <w:pPr>
        <w:jc w:val="center"/>
        <w:ind w:left="1540" w:right="1559"/>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BANCO BILBAO VIZCAYA ARGENTARIA, S.A. NEW YORK BRANCH BANK OF CHINA, LOS ANGELES BRANCH as Documentation Agents for the Term Loan Facility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CITIBANK, N.A.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as Joint Bookrunners and Joint Lead Arrangers </w:t>
      </w:r>
      <w:r>
        <w:rPr>
          <w:rFonts w:ascii="Times New Roman" w:cs="Times New Roman" w:eastAsia="Times New Roman" w:hAnsi="Times New Roman"/>
          <w:sz w:val="17"/>
          <w:szCs w:val="17"/>
          <w:b w:val="1"/>
          <w:bCs w:val="1"/>
          <w:u w:val="single" w:color="auto"/>
          <w:color w:val="0000FF"/>
        </w:rPr>
        <w:t>for the Revolving Credit Facility</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JPMORGAN CHASE 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BofA SECURITIES,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BMO CAPITAL MARKETS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PNC CAPITAL MARKETS LLC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as Joint Bookrunners and Joint Lead Arrangers for the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496"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TABLE OF CONTENTS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41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5</w:t>
            </w:r>
          </w:p>
        </w:tc>
        <w:tc>
          <w:tcPr>
            <w:tcW w:w="80" w:type="dxa"/>
            <w:vAlign w:val="bottom"/>
            <w:tcBorders>
              <w:top w:val="single" w:sz="8" w:color="auto"/>
              <w:bottom w:val="single" w:sz="8" w:color="0000FF"/>
            </w:tcBorders>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9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18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5</w:t>
            </w: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FF0000"/>
                <w:strike w:val="1"/>
                <w:w w:val="88"/>
              </w:rPr>
              <w:t>44</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49</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Terms Generally</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44</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49</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1.04  Accounting Terms; GAAP</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44</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50</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1.05  Interest Rates; Benchmark Notification</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45</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50</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Luxembourg Terms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45</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51</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Certain Calculations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46</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51</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1.08</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46</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51</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Leverage Ratios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46</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51</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1.10  Amendment and Restatement of the Existing Credit Agreement</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46</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51</w:t>
            </w: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THE CREDITS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9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52</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52</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2.03  Requests for Borrowings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48</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53</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2.04  Determination of Dollar Amounts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49</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54</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Swingline Loans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49</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55</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51</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57</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2.07  Funding of Borrowings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56</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63</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Interest Elections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63</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59</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65</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 xml:space="preserve">SECTION 2.10  Repayment </w:t>
            </w:r>
            <w:r>
              <w:rPr>
                <w:rFonts w:ascii="Times New Roman" w:cs="Times New Roman" w:eastAsia="Times New Roman" w:hAnsi="Times New Roman"/>
                <w:sz w:val="18"/>
                <w:szCs w:val="18"/>
                <w:b w:val="1"/>
                <w:bCs w:val="1"/>
                <w:color w:val="0000FF"/>
              </w:rPr>
              <w:t>and Amortization</w:t>
            </w:r>
            <w:r>
              <w:rPr>
                <w:rFonts w:ascii="Times New Roman" w:cs="Times New Roman" w:eastAsia="Times New Roman" w:hAnsi="Times New Roman"/>
                <w:sz w:val="18"/>
                <w:szCs w:val="18"/>
                <w:color w:val="auto"/>
              </w:rPr>
              <w:t xml:space="preserve"> of Loans; Evidence of Indebtedness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60</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66</w:t>
            </w: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2.11   Prepayment</w:t>
            </w:r>
          </w:p>
        </w:tc>
        <w:tc>
          <w:tcPr>
            <w:tcW w:w="1420" w:type="dxa"/>
            <w:vAlign w:val="bottom"/>
            <w:tcBorders>
              <w:top w:val="single" w:sz="8" w:color="0000FF"/>
              <w:bottom w:val="single" w:sz="8" w:color="0000FF"/>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60</w:t>
            </w:r>
          </w:p>
        </w:tc>
        <w:tc>
          <w:tcPr>
            <w:tcW w:w="180" w:type="dxa"/>
            <w:vAlign w:val="bottom"/>
            <w:tcBorders>
              <w:top w:val="single" w:sz="8" w:color="0000FF"/>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gridSpan w:val="2"/>
            <w:vMerge w:val="continue"/>
          </w:tcPr>
          <w:p>
            <w:pPr>
              <w:spacing w:after="0"/>
              <w:rPr>
                <w:sz w:val="13"/>
                <w:szCs w:val="13"/>
                <w:color w:val="auto"/>
              </w:rPr>
            </w:pPr>
          </w:p>
        </w:tc>
        <w:tc>
          <w:tcPr>
            <w:tcW w:w="14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of Loans</w:t>
            </w:r>
          </w:p>
        </w:tc>
        <w:tc>
          <w:tcPr>
            <w:tcW w:w="678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67</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62</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63</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70</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2.14  Alternate Rate of Interest</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64</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72</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75</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69</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76</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69</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77</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85</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78</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87</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2.20</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Expansion Option</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79</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88</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2.21</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Market Disruption</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81</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89</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2.22</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90</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2.23  Designation of Affiliate Borrowers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90</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2.24</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90</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2.25  Extension of Maturity Date</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85</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93</w:t>
            </w:r>
          </w:p>
        </w:tc>
        <w:tc>
          <w:tcPr>
            <w:tcW w:w="0" w:type="dxa"/>
            <w:vAlign w:val="bottom"/>
          </w:tcPr>
          <w:p>
            <w:pPr>
              <w:spacing w:after="0"/>
              <w:rPr>
                <w:sz w:val="1"/>
                <w:szCs w:val="1"/>
                <w:color w:val="auto"/>
              </w:rPr>
            </w:pPr>
          </w:p>
        </w:tc>
      </w:tr>
      <w:tr>
        <w:trPr>
          <w:trHeight w:val="20"/>
        </w:trPr>
        <w:tc>
          <w:tcPr>
            <w:tcW w:w="108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86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rPr>
                <w:sz w:val="1"/>
                <w:szCs w:val="1"/>
                <w:color w:val="auto"/>
              </w:rPr>
            </w:pPr>
          </w:p>
        </w:tc>
      </w:tr>
      <w:tr>
        <w:trPr>
          <w:trHeight w:val="20"/>
        </w:trPr>
        <w:tc>
          <w:tcPr>
            <w:tcW w:w="108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SECTION 3.01  Corporate Existence and Power</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86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rPr>
                <w:sz w:val="1"/>
                <w:szCs w:val="1"/>
                <w:color w:val="auto"/>
              </w:rPr>
            </w:pPr>
          </w:p>
        </w:tc>
      </w:tr>
      <w:tr>
        <w:trPr>
          <w:trHeight w:val="20"/>
        </w:trPr>
        <w:tc>
          <w:tcPr>
            <w:tcW w:w="10880" w:type="dxa"/>
            <w:vAlign w:val="bottom"/>
            <w:gridSpan w:val="4"/>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3.02  Corporate and Governmental Authorization; Contravention</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80" w:type="dxa"/>
            <w:vAlign w:val="bottom"/>
            <w:gridSpan w:val="4"/>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3.04</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Financial Information</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Litigation, etc.</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916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ERISA Compliance</w:t>
            </w:r>
          </w:p>
        </w:tc>
        <w:tc>
          <w:tcPr>
            <w:tcW w:w="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60" w:type="dxa"/>
            <w:vAlign w:val="bottom"/>
            <w:gridSpan w:val="3"/>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7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3.07</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360" w:type="dxa"/>
            <w:vAlign w:val="bottom"/>
            <w:vMerge w:val="restart"/>
          </w:tcPr>
          <w:p>
            <w:pPr>
              <w:spacing w:after="0"/>
              <w:rPr>
                <w:sz w:val="2"/>
                <w:szCs w:val="2"/>
                <w:color w:val="auto"/>
              </w:rPr>
            </w:pP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87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line="20" w:lineRule="exact"/>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664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3.08  Not an Investment Company</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3.12  Anti-Corruption Laws and Sanctions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3.13  Domiciliation; Centre of Main Interests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3.14  Swiss Non-Bank Rules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3.15  Affected Financial Institutions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3.16</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Irish Loan Party</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3.17</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Tax Residence</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3.18  Outbound Investment Rules</w:t>
            </w:r>
          </w:p>
        </w:tc>
        <w:tc>
          <w:tcPr>
            <w:tcW w:w="2360" w:type="dxa"/>
            <w:vAlign w:val="bottom"/>
            <w:vMerge w:val="restart"/>
          </w:tcPr>
          <w:p>
            <w:pPr>
              <w:spacing w:after="0" w:line="20" w:lineRule="exact"/>
              <w:rPr>
                <w:sz w:val="1"/>
                <w:szCs w:val="1"/>
                <w:color w:val="auto"/>
              </w:rPr>
            </w:pPr>
          </w:p>
        </w:tc>
        <w:tc>
          <w:tcPr>
            <w:tcW w:w="3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CONDITIONS</w:t>
            </w:r>
          </w:p>
        </w:tc>
        <w:tc>
          <w:tcPr>
            <w:tcW w:w="23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23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99</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Each Credit Event</w:t>
            </w: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FF0000"/>
                <w:strike w:val="1"/>
              </w:rPr>
              <w:t>91</w:t>
            </w: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4.03  Designation of an Affiliate Borrower</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91</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100</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AFFIRMATIVE COVENANTS</w:t>
            </w:r>
          </w:p>
        </w:tc>
        <w:tc>
          <w:tcPr>
            <w:tcW w:w="2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93</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2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93</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102</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5.03  Compliance with Contractual Obligations and Laws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5.05  Ownership of Borrowers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Payment of Taxes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5.07  Swiss Non-Bank Rule</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5.08  Loan Party Location</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Tax Residence</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5.10  Service of Process Agent</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NEGATIVE COVENANTS</w:t>
            </w:r>
          </w:p>
        </w:tc>
        <w:tc>
          <w:tcPr>
            <w:tcW w:w="2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96</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6.01  Maximum Net Leverage Ratio</w:t>
            </w:r>
          </w:p>
        </w:tc>
        <w:tc>
          <w:tcPr>
            <w:tcW w:w="2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96</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6.02  Minimum Interest Coverage Ratio</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97</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Negative Pledge</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97</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6.04  Consolidations, Mergers and Sales of Assets; Acquisitions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99</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Subsidiary Debt</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99</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6.06  OFAC and Anti-Corruption Laws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101</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6.07  Outbound Investment Rules</w:t>
            </w:r>
          </w:p>
        </w:tc>
        <w:tc>
          <w:tcPr>
            <w:tcW w:w="236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101</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111</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EVENTS OF DEFAULT</w:t>
            </w:r>
          </w:p>
        </w:tc>
        <w:tc>
          <w:tcPr>
            <w:tcW w:w="2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102</w:t>
            </w: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1"/>
              </w:rPr>
              <w:t>112</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THE ADMINISTRATIVE AGENT</w:t>
            </w:r>
          </w:p>
        </w:tc>
        <w:tc>
          <w:tcPr>
            <w:tcW w:w="2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104</w:t>
            </w:r>
          </w:p>
        </w:tc>
        <w:tc>
          <w:tcPr>
            <w:tcW w:w="2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1"/>
              </w:rPr>
              <w:t>115</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8.01  Authorization and Action</w:t>
            </w:r>
          </w:p>
        </w:tc>
        <w:tc>
          <w:tcPr>
            <w:tcW w:w="2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104</w:t>
            </w:r>
          </w:p>
        </w:tc>
        <w:tc>
          <w:tcPr>
            <w:tcW w:w="2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1"/>
              </w:rPr>
              <w:t>115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8.02  Administrative Agent’s Reliance, Indemnification, Etc.</w:t>
            </w:r>
          </w:p>
        </w:tc>
        <w:tc>
          <w:tcPr>
            <w:tcW w:w="236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107</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8.03  Posting of Communications</w:t>
            </w:r>
          </w:p>
        </w:tc>
        <w:tc>
          <w:tcPr>
            <w:tcW w:w="236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108</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8.04  The Administrative Agent Individually</w:t>
            </w:r>
          </w:p>
        </w:tc>
        <w:tc>
          <w:tcPr>
            <w:tcW w:w="236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109</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8.05  Successor Administrative Agent</w:t>
            </w:r>
          </w:p>
        </w:tc>
        <w:tc>
          <w:tcPr>
            <w:tcW w:w="26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109</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120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8.06  Acknowledgement of Lenders and Issuing Banks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110</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8.07  Certain ERISA Matters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112</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66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Borrower Communications</w:t>
            </w:r>
          </w:p>
        </w:tc>
        <w:tc>
          <w:tcPr>
            <w:tcW w:w="236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7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IX. MISCELLANEOUS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114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125</w:t>
            </w:r>
          </w:p>
        </w:tc>
        <w:tc>
          <w:tcPr>
            <w:tcW w:w="0" w:type="dxa"/>
            <w:vAlign w:val="bottom"/>
          </w:tcPr>
          <w:p>
            <w:pPr>
              <w:spacing w:after="0" w:line="20" w:lineRule="exact"/>
              <w:rPr>
                <w:sz w:val="1"/>
                <w:szCs w:val="1"/>
                <w:color w:val="auto"/>
              </w:rPr>
            </w:pPr>
          </w:p>
        </w:tc>
      </w:tr>
      <w:tr>
        <w:trPr>
          <w:trHeight w:val="179"/>
        </w:trPr>
        <w:tc>
          <w:tcPr>
            <w:tcW w:w="10700" w:type="dxa"/>
            <w:vAlign w:val="bottom"/>
            <w:gridSpan w:val="1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2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114</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125</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Waivers; Amendments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115</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127</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117</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129</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119</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131</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137</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126</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138</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126</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138</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126</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138</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128</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128</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128</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USA PATRIOT Act; Beneficial Ownership Regulation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129</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130</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 Fiduciary Duty,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130</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131</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143</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9.17</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Confirmation of Lender’s Status as Swiss Qualifying Lender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131</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9.18</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131</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ARTICLE X. 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145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2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SECTION 10.01</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Guaranty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145</w:t>
            </w:r>
          </w:p>
        </w:tc>
        <w:tc>
          <w:tcPr>
            <w:tcW w:w="0" w:type="dxa"/>
            <w:vAlign w:val="bottom"/>
          </w:tcPr>
          <w:p>
            <w:pPr>
              <w:spacing w:after="0"/>
              <w:rPr>
                <w:sz w:val="1"/>
                <w:szCs w:val="1"/>
                <w:color w:val="auto"/>
              </w:rPr>
            </w:pPr>
          </w:p>
        </w:tc>
      </w:tr>
      <w:tr>
        <w:trPr>
          <w:trHeight w:val="20"/>
        </w:trPr>
        <w:tc>
          <w:tcPr>
            <w:tcW w:w="1820" w:type="dxa"/>
            <w:vAlign w:val="bottom"/>
            <w:gridSpan w:val="9"/>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88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Swiss Limitation Language for Swiss Loan Parties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134</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gridSpan w:val="9"/>
            <w:vMerge w:val="continue"/>
          </w:tcPr>
          <w:p>
            <w:pPr>
              <w:spacing w:after="0"/>
              <w:rPr>
                <w:sz w:val="13"/>
                <w:szCs w:val="13"/>
                <w:color w:val="auto"/>
              </w:rPr>
            </w:pPr>
          </w:p>
        </w:tc>
        <w:tc>
          <w:tcPr>
            <w:tcW w:w="8880" w:type="dxa"/>
            <w:vAlign w:val="bottom"/>
            <w:gridSpan w:val="5"/>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147</w:t>
            </w: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SCHEDULES:</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0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Schedule 2.01</w:t>
            </w: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7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7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Swingline Sublimits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6.03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7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List of Existing Liens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6.05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7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Existing Debt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40" w:type="dxa"/>
            <w:vAlign w:val="bottom"/>
            <w:gridSpan w:val="5"/>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24"/>
                <w:szCs w:val="24"/>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B-1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Opinion of Foley &amp; Lardner LLP</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B-2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Opinion of Arthur Cox</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B-3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Opinion of Allen Overy Shearman Sterling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C-1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Increasing Lender Supplement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C-2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Augmenting Lender Supplement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Exhibit D</w:t>
            </w:r>
            <w:r>
              <w:rPr>
                <w:rFonts w:ascii="Times New Roman" w:cs="Times New Roman" w:eastAsia="Times New Roman" w:hAnsi="Times New Roman"/>
                <w:sz w:val="18"/>
                <w:szCs w:val="18"/>
                <w:b w:val="1"/>
                <w:bCs w:val="1"/>
                <w:color w:val="0000FF"/>
              </w:rPr>
              <w:t>-1</w:t>
            </w: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7"/>
                <w:szCs w:val="17"/>
                <w:color w:val="auto"/>
              </w:rPr>
            </w:pPr>
          </w:p>
        </w:tc>
        <w:tc>
          <w:tcPr>
            <w:tcW w:w="8880" w:type="dxa"/>
            <w:vAlign w:val="bottom"/>
            <w:gridSpan w:val="5"/>
          </w:tcPr>
          <w:p>
            <w:pPr>
              <w:ind w:left="120"/>
              <w:spacing w:after="0" w:line="198" w:lineRule="exact"/>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b w:val="1"/>
                <w:bCs w:val="1"/>
                <w:color w:val="0000FF"/>
              </w:rPr>
              <w:t>Revolving Credit</w:t>
            </w:r>
            <w:r>
              <w:rPr>
                <w:rFonts w:ascii="Times New Roman" w:cs="Times New Roman" w:eastAsia="Times New Roman" w:hAnsi="Times New Roman"/>
                <w:sz w:val="18"/>
                <w:szCs w:val="18"/>
                <w:color w:val="auto"/>
              </w:rPr>
              <w:t xml:space="preserve"> Note</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2"/>
              </w:rPr>
              <w:t>--</w:t>
            </w:r>
          </w:p>
        </w:tc>
        <w:tc>
          <w:tcPr>
            <w:tcW w:w="540" w:type="dxa"/>
            <w:vAlign w:val="bottom"/>
            <w:vMerge w:val="restart"/>
          </w:tcPr>
          <w:p>
            <w:pPr>
              <w:spacing w:after="0" w:line="20" w:lineRule="exact"/>
              <w:rPr>
                <w:sz w:val="1"/>
                <w:szCs w:val="1"/>
                <w:color w:val="auto"/>
              </w:rPr>
            </w:pPr>
          </w:p>
        </w:tc>
        <w:tc>
          <w:tcPr>
            <w:tcW w:w="740" w:type="dxa"/>
            <w:vAlign w:val="bottom"/>
            <w:gridSpan w:val="2"/>
            <w:vMerge w:val="restart"/>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0000FF"/>
                <w:w w:val="95"/>
              </w:rPr>
              <w:t>Form of</w:t>
            </w:r>
          </w:p>
        </w:tc>
        <w:tc>
          <w:tcPr>
            <w:tcW w:w="1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Exhibit D-2</w:t>
            </w: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34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Term Loan Note</w:t>
            </w:r>
          </w:p>
        </w:tc>
        <w:tc>
          <w:tcPr>
            <w:tcW w:w="6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0000FF"/>
              <w:bottom w:val="single" w:sz="8" w:color="0000FF"/>
            </w:tcBorders>
            <w:gridSpan w:val="5"/>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940" w:type="dxa"/>
            <w:vAlign w:val="bottom"/>
            <w:tcBorders>
              <w:top w:val="single" w:sz="8" w:color="0000FF"/>
              <w:bottom w:val="single" w:sz="8" w:color="0000FF"/>
            </w:tcBorders>
            <w:gridSpan w:val="2"/>
          </w:tcPr>
          <w:p>
            <w:pPr>
              <w:spacing w:after="0" w:line="20" w:lineRule="exact"/>
              <w:rPr>
                <w:sz w:val="1"/>
                <w:szCs w:val="1"/>
                <w:color w:val="auto"/>
              </w:rPr>
            </w:pPr>
          </w:p>
        </w:tc>
        <w:tc>
          <w:tcPr>
            <w:tcW w:w="6820" w:type="dxa"/>
            <w:vAlign w:val="bottom"/>
            <w:gridSpan w:val="2"/>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00" w:type="dxa"/>
            <w:vAlign w:val="bottom"/>
            <w:gridSpan w:val="5"/>
          </w:tcPr>
          <w:p>
            <w:pPr>
              <w:spacing w:after="0" w:line="178" w:lineRule="exact"/>
              <w:rPr>
                <w:sz w:val="20"/>
                <w:szCs w:val="20"/>
                <w:color w:val="auto"/>
              </w:rPr>
            </w:pPr>
            <w:r>
              <w:rPr>
                <w:rFonts w:ascii="Times New Roman" w:cs="Times New Roman" w:eastAsia="Times New Roman" w:hAnsi="Times New Roman"/>
                <w:sz w:val="18"/>
                <w:szCs w:val="18"/>
                <w:color w:val="auto"/>
              </w:rPr>
              <w:t>Exhibit E</w:t>
            </w:r>
          </w:p>
        </w:tc>
        <w:tc>
          <w:tcPr>
            <w:tcW w:w="260" w:type="dxa"/>
            <w:vAlign w:val="bottom"/>
            <w:gridSpan w:val="2"/>
            <w:vMerge w:val="continue"/>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94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w w:val="98"/>
              </w:rPr>
              <w:t>List of Closing Documents</w:t>
            </w:r>
          </w:p>
        </w:tc>
        <w:tc>
          <w:tcPr>
            <w:tcW w:w="68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F-1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Affiliate Borrowing Agreement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F-2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Affiliate Borrowing Termination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18"/>
                <w:szCs w:val="18"/>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Exhibits H-1-4 --</w:t>
            </w: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U.S. Tax Compliance Certificates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40" w:type="dxa"/>
            <w:vAlign w:val="bottom"/>
          </w:tcPr>
          <w:p>
            <w:pPr>
              <w:spacing w:after="0"/>
              <w:rPr>
                <w:sz w:val="20"/>
                <w:szCs w:val="20"/>
                <w:color w:val="auto"/>
              </w:rPr>
            </w:pPr>
          </w:p>
        </w:tc>
        <w:tc>
          <w:tcPr>
            <w:tcW w:w="8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of Irish Qualifying Lender Confirmation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7" w:name="page28"/>
    <w:bookmarkEnd w:id="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SECOND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5, 2025 among PENTAIR plc, an Irish public limited company, PENTAIR FINANCE S.À R.L., a Luxembourg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having its registered office at 26, Boulevard Royal, L-2449 Luxembourg, Grand Duchy of Luxembourg and registered with the Luxembourg Trade and Companies Register (</w:t>
      </w:r>
      <w:r>
        <w:rPr>
          <w:rFonts w:ascii="Times New Roman" w:cs="Times New Roman" w:eastAsia="Times New Roman" w:hAnsi="Times New Roman"/>
          <w:sz w:val="18"/>
          <w:szCs w:val="18"/>
          <w:i w:val="1"/>
          <w:iCs w:val="1"/>
          <w:color w:val="auto"/>
        </w:rPr>
        <w:t>Registre de commerce et des sociétés</w:t>
      </w:r>
      <w:r>
        <w:rPr>
          <w:rFonts w:ascii="Times New Roman" w:cs="Times New Roman" w:eastAsia="Times New Roman" w:hAnsi="Times New Roman"/>
          <w:sz w:val="18"/>
          <w:szCs w:val="18"/>
          <w:color w:val="auto"/>
        </w:rPr>
        <w:t xml:space="preserve">, Luxembourg) under number B166305, PENTAIR, INC., a Minnesota corporation, the other AFFILIATE BORROWERS from time to time party hereto, the LENDERS from time to time party hereto and JPMORGAN CHASE BANK, N.A. </w:t>
      </w:r>
      <w:r>
        <w:rPr>
          <w:rFonts w:ascii="Times New Roman" w:cs="Times New Roman" w:eastAsia="Times New Roman" w:hAnsi="Times New Roman"/>
          <w:sz w:val="18"/>
          <w:szCs w:val="18"/>
          <w:b w:val="1"/>
          <w:bCs w:val="1"/>
          <w:u w:val="single" w:color="auto"/>
          <w:color w:val="0000FF"/>
        </w:rPr>
        <w:t>and J.P. MORGAN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SE</w:t>
      </w:r>
      <w:r>
        <w:rPr>
          <w:rFonts w:ascii="Times New Roman" w:cs="Times New Roman" w:eastAsia="Times New Roman" w:hAnsi="Times New Roman"/>
          <w:sz w:val="18"/>
          <w:szCs w:val="18"/>
          <w:color w:val="000000"/>
        </w:rPr>
        <w:t>, as Administrative Agent.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Parent, the Company, the Initial Affiliate Borrower, the lenders party thereto and JPMorgan Chase Bank, N.A., as administrative agent thereunder, are currently party to the Credit Agreement, dated as of December 16, 2021 (as amended,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Parent, the Company, the Initial Affiliate Borrower, the Lenders, the Departing Lenders (as hereafter defined) and the Administrative Agent have agreed (a) to enter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Borrowers and (b) that each Departing Lender shall cease to be a party to the Existing Credit Agreement as evidenced by its execution and delivery of its Departing Lender Signature Page.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Parent, the Company and the Initial Affiliate Borrower outstanding thereunder, which shall be payable in accordance with the terms 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it is also the intent of the Parent, the Company and the Initial Affiliate Borrower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the parties hereto agree that the Existing Credit Agreement is hereby amended and restated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(excluding any transaction solely among the Parent and/or one or more persons that are already Subsidiaries) that result, directly or indirectly, in (a) the acquisition by the Parent or any Subsidiary of all or substantially all of the assets of a Person, or of all or substantially all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provided that the Parent or a Subsidiary is the ultimate surviving entity.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Debt</w:t>
      </w:r>
      <w:r>
        <w:rPr>
          <w:rFonts w:ascii="Times New Roman" w:cs="Times New Roman" w:eastAsia="Times New Roman" w:hAnsi="Times New Roman"/>
          <w:sz w:val="18"/>
          <w:szCs w:val="18"/>
          <w:color w:val="auto"/>
        </w:rPr>
        <w:t>” means any Debt of the Parent or any of its Subsidiaries that has been issued for the purpose of financing, in whole or in part, a Material Acquisition and any related transactions or series of related transactions (including for the purpose of refinancing or replacing all or a portion of any pre- existing Debt of the Parent, any of its Subsidiaries or the person(s) or assets to be acquired); provided that (a) the release of the proceeds thereof to the Parent and its Subsidiaries is contingent upon the consummation of such Material Acquisition and, pending such release, such proceeds are held in escrow (and, if the definitive agreement (or, in the case of a tender offer or similar transaction, the definitive offer document) for such acquisition is terminated prior to the consummation of such Material Acquisition or if such Material Acquisition is otherwise not consummated by the date specified in the definitive documentation relating to such Debt, such proceeds shall be promptly applied to satisfy and discharge all obligations of the Parent and its Subsidiaries in respect of such Debt) or (b) such Debt contains a “special mandatory redemption” provision (or other similar provision) or otherwise permits or requires such Debt to be redeemed or prepaid if such Material Acquisition is not consummated by the date specified in the definitive documentation relating to such Debt (and if the definitive agreement (or, in the case of a tender 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Debt, such Debt is so redeemed or prepaid within 90 days of such termination or such specified date, as the case may be).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Acquisition-Related 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RFR</w:t>
      </w:r>
      <w:r>
        <w:rPr>
          <w:rFonts w:ascii="Times New Roman" w:cs="Times New Roman" w:eastAsia="Times New Roman" w:hAnsi="Times New Roman"/>
          <w:sz w:val="18"/>
          <w:szCs w:val="18"/>
          <w:color w:val="auto"/>
        </w:rPr>
        <w:t xml:space="preserve">” means (i) with respect to any RFR Borrowing denominated in Dollars, an interest rate per annum equal to the Daily Simple RFR for Dollars and (ii) with respect to any RFR Borrowing comprised of Swingline Loans denominated in euro, an interest rate per annum equal to the Daily Simple RFR for euro;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RFR as so determined would be less than the Floor, such rate shall be deemed to be equal to the Floor for the purposes of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 Rate</w:t>
      </w:r>
      <w:r>
        <w:rPr>
          <w:rFonts w:ascii="Times New Roman" w:cs="Times New Roman" w:eastAsia="Times New Roman" w:hAnsi="Times New Roman"/>
          <w:sz w:val="18"/>
          <w:szCs w:val="18"/>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EURIBO Rate as so determined would be less than the Floor, such rate shall be deemed to be equal to the Floor for the purposes of this Agreement.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FF0000"/>
          <w:strike w:val="1"/>
        </w:rPr>
        <w:t>JPMCB (including its branches and affiliates) in its capacity as administrative agent for the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hereunder, and any successor administrative agent arising under </w:t>
      </w:r>
      <w:r>
        <w:rPr>
          <w:rFonts w:ascii="Times New Roman" w:cs="Times New Roman" w:eastAsia="Times New Roman" w:hAnsi="Times New Roman"/>
          <w:sz w:val="18"/>
          <w:szCs w:val="18"/>
          <w:b w:val="1"/>
          <w:bCs w:val="1"/>
          <w:u w:val="single" w:color="auto"/>
          <w:color w:val="FF0000"/>
          <w:strike w:val="1"/>
        </w:rPr>
        <w:t>Section 9.04</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strike w:val="1"/>
        </w:rPr>
        <w:t>the U.S. Administrative Agent and/or the Non-U.S. Administrative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Agent as the context requires or as the U.S. Administrative Agent and/or Non-U.S. Administrative Agent deems appropriate in its or their sole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directly or indirectly controlling, controlled by, or under direct or indirect common control with, such Person. A Person shall be deemed to be “controlled by” any other Person if such other Person possesses, directly or indirectly, power to direct or cause the direction of the management and policies of such Person whether by contract or otherwise (but, for the avoidance of doubt, no individual shall be deemed to be an Affiliate of a Person solely because such individual is a director (or the equivalent thereof) or senior officer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Borrower Sublimit</w:t>
      </w:r>
      <w:r>
        <w:rPr>
          <w:rFonts w:ascii="Times New Roman" w:cs="Times New Roman" w:eastAsia="Times New Roman" w:hAnsi="Times New Roman"/>
          <w:sz w:val="18"/>
          <w:szCs w:val="18"/>
          <w:color w:val="auto"/>
        </w:rPr>
        <w:t>” means $300,000,000.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Borrowers</w:t>
      </w:r>
      <w:r>
        <w:rPr>
          <w:rFonts w:ascii="Times New Roman" w:cs="Times New Roman" w:eastAsia="Times New Roman" w:hAnsi="Times New Roman"/>
          <w:sz w:val="18"/>
          <w:szCs w:val="18"/>
          <w:color w:val="auto"/>
        </w:rPr>
        <w:t xml:space="preserve">” means, collectively, the Initial Affiliate Borrower and any Eligible Subsidiary that becomes an Affiliate Borrower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in each case, that has not ceased to be an Affiliate Borrower; and “</w:t>
      </w:r>
      <w:r>
        <w:rPr>
          <w:rFonts w:ascii="Times New Roman" w:cs="Times New Roman" w:eastAsia="Times New Roman" w:hAnsi="Times New Roman"/>
          <w:sz w:val="18"/>
          <w:szCs w:val="18"/>
          <w:u w:val="single" w:color="auto"/>
          <w:color w:val="auto"/>
        </w:rPr>
        <w:t>Affiliate Borrower</w:t>
      </w:r>
      <w:r>
        <w:rPr>
          <w:rFonts w:ascii="Times New Roman" w:cs="Times New Roman" w:eastAsia="Times New Roman" w:hAnsi="Times New Roman"/>
          <w:sz w:val="18"/>
          <w:szCs w:val="18"/>
          <w:color w:val="auto"/>
        </w:rPr>
        <w:t>” means any of the Affiliate Borrowers.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Borrowing Agreement</w:t>
      </w:r>
      <w:r>
        <w:rPr>
          <w:rFonts w:ascii="Times New Roman" w:cs="Times New Roman" w:eastAsia="Times New Roman" w:hAnsi="Times New Roman"/>
          <w:sz w:val="18"/>
          <w:szCs w:val="18"/>
          <w:color w:val="auto"/>
        </w:rPr>
        <w:t xml:space="preserve">” means an Affiliate Borrowing Agreement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Borrowing Termination</w:t>
      </w:r>
      <w:r>
        <w:rPr>
          <w:rFonts w:ascii="Times New Roman" w:cs="Times New Roman" w:eastAsia="Times New Roman" w:hAnsi="Times New Roman"/>
          <w:sz w:val="18"/>
          <w:szCs w:val="18"/>
          <w:color w:val="auto"/>
        </w:rPr>
        <w:t xml:space="preserve">” means an Affiliate Borrowing Termination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Aggregate Commitment</w:t>
      </w:r>
      <w:r>
        <w:rPr>
          <w:rFonts w:ascii="Times New Roman" w:cs="Times New Roman" w:eastAsia="Times New Roman" w:hAnsi="Times New Roman"/>
          <w:sz w:val="18"/>
          <w:szCs w:val="18"/>
          <w:b w:val="1"/>
          <w:bCs w:val="1"/>
          <w:color w:val="FF0000"/>
          <w:strike w:val="1"/>
        </w:rPr>
        <w:t>” means the aggregate of the Commitments of all of the Lenders, as reduced or increased from time to time pursuant to the terms and conditions hereof. The initial Aggregate Commitment as of the Effective Date is $900,000,000.</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with respect to (a) Revolving Loans, Agreed Loan Currencies and (b) Letters of Credit, Agreed LC Currencies.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LC Currencies</w:t>
      </w:r>
      <w:r>
        <w:rPr>
          <w:rFonts w:ascii="Times New Roman" w:cs="Times New Roman" w:eastAsia="Times New Roman" w:hAnsi="Times New Roman"/>
          <w:sz w:val="18"/>
          <w:szCs w:val="18"/>
          <w:color w:val="auto"/>
        </w:rPr>
        <w:t>” means (a) the Agreed Loan Currencies and (b) any other currency that is (i) readily available and freely transferable and convertible into Dollars and (ii) agreed to by the Company, the Administrative Agent and the relevant Issuing Bank.</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Loan Currencies</w:t>
      </w:r>
      <w:r>
        <w:rPr>
          <w:rFonts w:ascii="Times New Roman" w:cs="Times New Roman" w:eastAsia="Times New Roman" w:hAnsi="Times New Roman"/>
          <w:sz w:val="18"/>
          <w:szCs w:val="18"/>
          <w:color w:val="auto"/>
        </w:rPr>
        <w:t xml:space="preserve">” means (i) Dollars, (ii) euro and (iii) any other currency that is (A) a lawful currency (other than Dollars) that is readily available and freely transferable and convertible into Dollars and (B) agreed to by the Administrative Agent and each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“Amendment No. 1 Effective Date” means May 5,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Parent and its affiliated companies concerning or relating to bribery, corruption or money laundering.</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LC Sublimit</w:t>
      </w:r>
      <w:r>
        <w:rPr>
          <w:rFonts w:ascii="Times New Roman" w:cs="Times New Roman" w:eastAsia="Times New Roman" w:hAnsi="Times New Roman"/>
          <w:sz w:val="18"/>
          <w:szCs w:val="18"/>
          <w:color w:val="auto"/>
        </w:rPr>
        <w:t>” means (i) with respect to JPMCB in its capacity as an Issuing Bank under this Agreement, $40,000,000, (ii) with respect to Bank of America, N.A. in its capacity as an Issuing Bank under this Agreement, $40,000,000, (iii) with respect to Bank of Montreal, London Branch in its capacity as an Issuing Bank under this Agreement, $40,000,000, (iv) with respect to Citibank, N.A. in its capacity as an Issuing Bank under this Agreement, $40,000,000, (v) with respect to U.S. Bank National Association in its capacity as an Issuing Bank under this Agreement, $40,000,000 and</w:t>
      </w:r>
    </w:p>
    <w:p>
      <w:pPr>
        <w:spacing w:after="0" w:line="3" w:lineRule="exact"/>
        <w:rPr>
          <w:sz w:val="20"/>
          <w:szCs w:val="20"/>
          <w:color w:val="auto"/>
        </w:rPr>
      </w:pPr>
    </w:p>
    <w:p>
      <w:pPr>
        <w:jc w:val="both"/>
        <w:ind w:firstLine="8"/>
        <w:spacing w:after="0" w:line="253" w:lineRule="auto"/>
        <w:tabs>
          <w:tab w:leader="none" w:pos="3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that becomes an Issuing Bank pursuant to the terms of this Agreement, such amount as agreed to in writing by the Company, the Administrative Agent and such Person at the time such Person becomes an Issuing Bank pursuant to the terms of the Agreement, as each of the foregoing amounts may be decreased or increased from time to time with the written consent of the Company, the Administrative Agent and the Issuing Banks (provided that any increase in the Applicable LC Sublimit with respect to any Issuing Bank shall only require the consent of the Company and such Issuing Bank).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Maturity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w:t>
      </w:r>
      <w:r>
        <w:rPr>
          <w:rFonts w:ascii="Times New Roman" w:cs="Times New Roman" w:eastAsia="Times New Roman" w:hAnsi="Times New Roman"/>
          <w:sz w:val="18"/>
          <w:szCs w:val="18"/>
          <w:b w:val="1"/>
          <w:bCs w:val="1"/>
          <w:u w:val="single" w:color="auto"/>
          <w:color w:val="0000FF"/>
        </w:rPr>
        <w:t>(a) with respect to Revolving Loans, Revolving Credit Exposure, LC Exposure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or Swingline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percentage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of the Aggregate Commitment represented by</w:t>
      </w:r>
      <w:r>
        <w:rPr>
          <w:rFonts w:ascii="Times New Roman" w:cs="Times New Roman" w:eastAsia="Times New Roman" w:hAnsi="Times New Roman"/>
          <w:sz w:val="18"/>
          <w:szCs w:val="18"/>
          <w:b w:val="1"/>
          <w:bCs w:val="1"/>
          <w:u w:val="single" w:color="auto"/>
          <w:color w:val="0000FF"/>
        </w:rPr>
        <w:t>equal to a fraction the numerator of which 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such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that, in the case of Section 2.24 when a Defaulting Lender shall exist, “Applicable Percentage” shall mean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 xml:space="preserve">percentage of the Aggregate Commitment (disregarding any Defaulting Lender’s Commitment) represented by such Lender’s Commitment. If the </w:t>
      </w:r>
      <w:r>
        <w:rPr>
          <w:rFonts w:ascii="Times New Roman" w:cs="Times New Roman" w:eastAsia="Times New Roman" w:hAnsi="Times New Roman"/>
          <w:sz w:val="18"/>
          <w:szCs w:val="18"/>
          <w:b w:val="1"/>
          <w:bCs w:val="1"/>
          <w:u w:val="single" w:color="auto"/>
          <w:color w:val="0000FF"/>
          <w:strike w:val="1"/>
        </w:rPr>
        <w:t>and the denominator of which is the aggregate Revolving Commitments of all Revolving Lenders (if the Revolving</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Commitments have terminated or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 xml:space="preserve">expired, the Applicable Percentages shall be determined based upon the </w:t>
      </w:r>
      <w:r>
        <w:rPr>
          <w:rFonts w:ascii="Times New Roman" w:cs="Times New Roman" w:eastAsia="Times New Roman" w:hAnsi="Times New Roman"/>
          <w:sz w:val="18"/>
          <w:szCs w:val="18"/>
          <w:b w:val="1"/>
          <w:bCs w:val="1"/>
          <w:u w:val="single" w:color="auto"/>
          <w:color w:val="0000FF"/>
          <w:strike w:val="1"/>
        </w:rPr>
        <w:t>Revolving</w:t>
      </w:r>
      <w:r>
        <w:rPr>
          <w:rFonts w:ascii="Times New Roman" w:cs="Times New Roman" w:eastAsia="Times New Roman" w:hAnsi="Times New Roman"/>
          <w:sz w:val="18"/>
          <w:szCs w:val="18"/>
          <w:color w:val="000000"/>
          <w:strike w:val="1"/>
        </w:rPr>
        <w:t xml:space="preserve"> Commitments most recently in effect, giving effect to any assignments </w:t>
      </w:r>
      <w:r>
        <w:rPr>
          <w:rFonts w:ascii="Times New Roman" w:cs="Times New Roman" w:eastAsia="Times New Roman" w:hAnsi="Times New Roman"/>
          <w:sz w:val="18"/>
          <w:szCs w:val="18"/>
          <w:b w:val="1"/>
          <w:bCs w:val="1"/>
          <w:color w:val="FF0000"/>
          <w:strike w:val="1"/>
        </w:rPr>
        <w:t>and to any Lender’s status as</w:t>
      </w:r>
      <w:r>
        <w:rPr>
          <w:rFonts w:ascii="Times New Roman" w:cs="Times New Roman" w:eastAsia="Times New Roman" w:hAnsi="Times New Roman"/>
          <w:sz w:val="18"/>
          <w:szCs w:val="18"/>
          <w:b w:val="1"/>
          <w:bCs w:val="1"/>
          <w:u w:val="single" w:color="auto"/>
          <w:color w:val="0000FF"/>
          <w:strike w:val="1"/>
        </w:rPr>
        <w:t>); provided that in the case of Section 2.24 when</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a Defaulting Lender</w:t>
      </w:r>
      <w:r>
        <w:rPr>
          <w:rFonts w:ascii="Times New Roman" w:cs="Times New Roman" w:eastAsia="Times New Roman" w:hAnsi="Times New Roman"/>
          <w:sz w:val="18"/>
          <w:szCs w:val="18"/>
          <w:b w:val="1"/>
          <w:bCs w:val="1"/>
          <w:color w:val="FF0000"/>
          <w:strike w:val="1"/>
        </w:rPr>
        <w:t xml:space="preserve"> at the time of determination.</w:t>
      </w:r>
      <w:r>
        <w:rPr>
          <w:rFonts w:ascii="Times New Roman" w:cs="Times New Roman" w:eastAsia="Times New Roman" w:hAnsi="Times New Roman"/>
          <w:sz w:val="18"/>
          <w:szCs w:val="18"/>
          <w:b w:val="1"/>
          <w:bCs w:val="1"/>
          <w:u w:val="single" w:color="auto"/>
          <w:color w:val="0000FF"/>
          <w:strike w:val="1"/>
        </w:rPr>
        <w:t>shall exist, any such</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0000FF"/>
        </w:rPr>
        <w:t>Defaulting Lender’s Revolving Commitment shall be disregarded in the calculation and (b) with respect to the Term Loans, a percentage equal to a fraction the numerator of which is such Lender’s outstanding principal amount of the Term Loans and the denominator of which is the aggregate outstanding principal amount of the Term Loans of all Term Lenders.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with respect to any Term Benchmark </w:t>
      </w:r>
      <w:r>
        <w:rPr>
          <w:rFonts w:ascii="Times New Roman" w:cs="Times New Roman" w:eastAsia="Times New Roman" w:hAnsi="Times New Roman"/>
          <w:sz w:val="18"/>
          <w:szCs w:val="18"/>
          <w:b w:val="1"/>
          <w:bCs w:val="1"/>
          <w:u w:val="single" w:color="auto"/>
          <w:color w:val="0000FF"/>
        </w:rPr>
        <w:t>Revolving Loan, any Term Benchmark Term</w:t>
      </w:r>
      <w:r>
        <w:rPr>
          <w:rFonts w:ascii="Times New Roman" w:cs="Times New Roman" w:eastAsia="Times New Roman" w:hAnsi="Times New Roman"/>
          <w:sz w:val="18"/>
          <w:szCs w:val="18"/>
          <w:color w:val="auto"/>
        </w:rPr>
        <w:t xml:space="preserve"> Loan, any ABR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Loan,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any ABR Term Loan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any RFR Loan</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with respect to the facility fees payable hereunder, as the case may be, the applicable rate per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annum set forth below under the caption “Term Benchmark / RFR Spread </w:t>
      </w:r>
      <w:r>
        <w:rPr>
          <w:rFonts w:ascii="Times New Roman" w:cs="Times New Roman" w:eastAsia="Times New Roman" w:hAnsi="Times New Roman"/>
          <w:sz w:val="18"/>
          <w:szCs w:val="18"/>
          <w:b w:val="1"/>
          <w:bCs w:val="1"/>
          <w:u w:val="single" w:color="auto"/>
          <w:color w:val="0000FF"/>
        </w:rPr>
        <w:t>for Revolving Loans”, “Term Benchmark / RFR Spread for Term Loans</w:t>
      </w:r>
      <w:r>
        <w:rPr>
          <w:rFonts w:ascii="Times New Roman" w:cs="Times New Roman" w:eastAsia="Times New Roman" w:hAnsi="Times New Roman"/>
          <w:sz w:val="18"/>
          <w:szCs w:val="18"/>
          <w:color w:val="000000"/>
        </w:rPr>
        <w:t xml:space="preserve">”, “ABR Spread </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for Revolving Loans”, “ABR Spread for Term Loans”</w:t>
      </w:r>
      <w:r>
        <w:rPr>
          <w:rFonts w:ascii="Times New Roman" w:cs="Times New Roman" w:eastAsia="Times New Roman" w:hAnsi="Times New Roman"/>
          <w:sz w:val="18"/>
          <w:szCs w:val="18"/>
          <w:color w:val="000000"/>
        </w:rPr>
        <w:t xml:space="preserve"> or “Facility Fee”, as the case may be, based upon the Pricing Level applicable on such date.</w:t>
      </w:r>
    </w:p>
    <w:p>
      <w:pPr>
        <w:spacing w:after="0" w:line="181" w:lineRule="exact"/>
        <w:rPr>
          <w:sz w:val="20"/>
          <w:szCs w:val="20"/>
          <w:color w:val="auto"/>
        </w:rPr>
      </w:pPr>
    </w:p>
    <w:tbl>
      <w:tblPr>
        <w:tblLayout w:type="fixed"/>
        <w:tblInd w:w="430" w:type="dxa"/>
        <w:tblCellMar>
          <w:top w:w="0" w:type="dxa"/>
          <w:left w:w="0" w:type="dxa"/>
          <w:bottom w:w="0" w:type="dxa"/>
          <w:right w:w="0" w:type="dxa"/>
        </w:tblCellMar>
      </w:tblPr>
      <w:tr>
        <w:trPr>
          <w:trHeight w:val="189"/>
        </w:trPr>
        <w:tc>
          <w:tcPr>
            <w:tcW w:w="1180" w:type="dxa"/>
            <w:vAlign w:val="bottom"/>
            <w:tcBorders>
              <w:top w:val="single" w:sz="8" w:color="010101"/>
              <w:left w:val="single" w:sz="8" w:color="010101"/>
              <w:right w:val="single" w:sz="8" w:color="010101"/>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Pricing</w:t>
            </w:r>
          </w:p>
        </w:tc>
        <w:tc>
          <w:tcPr>
            <w:tcW w:w="1240" w:type="dxa"/>
            <w:vAlign w:val="bottom"/>
            <w:tcBorders>
              <w:top w:val="single" w:sz="8" w:color="010101"/>
              <w:right w:val="single" w:sz="8" w:color="010101"/>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Facility</w:t>
            </w:r>
          </w:p>
        </w:tc>
        <w:tc>
          <w:tcPr>
            <w:tcW w:w="420" w:type="dxa"/>
            <w:vAlign w:val="bottom"/>
            <w:tcBorders>
              <w:top w:val="single" w:sz="8" w:color="010101"/>
            </w:tcBorders>
          </w:tcPr>
          <w:p>
            <w:pPr>
              <w:spacing w:after="0"/>
              <w:rPr>
                <w:sz w:val="16"/>
                <w:szCs w:val="16"/>
                <w:color w:val="auto"/>
              </w:rPr>
            </w:pPr>
          </w:p>
        </w:tc>
        <w:tc>
          <w:tcPr>
            <w:tcW w:w="280" w:type="dxa"/>
            <w:vAlign w:val="bottom"/>
            <w:tcBorders>
              <w:top w:val="single" w:sz="8" w:color="010101"/>
            </w:tcBorders>
          </w:tcPr>
          <w:p>
            <w:pPr>
              <w:spacing w:after="0"/>
              <w:rPr>
                <w:sz w:val="16"/>
                <w:szCs w:val="16"/>
                <w:color w:val="auto"/>
              </w:rPr>
            </w:pPr>
          </w:p>
        </w:tc>
        <w:tc>
          <w:tcPr>
            <w:tcW w:w="1200" w:type="dxa"/>
            <w:vAlign w:val="bottom"/>
            <w:tcBorders>
              <w:top w:val="single" w:sz="8" w:color="010101"/>
              <w:right w:val="single" w:sz="8" w:color="010101"/>
            </w:tcBorders>
            <w:gridSpan w:val="3"/>
          </w:tcPr>
          <w:p>
            <w:pPr>
              <w:jc w:val="center"/>
              <w:ind w:right="740"/>
              <w:spacing w:after="0" w:line="189" w:lineRule="exact"/>
              <w:rPr>
                <w:sz w:val="20"/>
                <w:szCs w:val="20"/>
                <w:color w:val="auto"/>
              </w:rPr>
            </w:pPr>
            <w:r>
              <w:rPr>
                <w:rFonts w:ascii="Times New Roman" w:cs="Times New Roman" w:eastAsia="Times New Roman" w:hAnsi="Times New Roman"/>
                <w:sz w:val="18"/>
                <w:szCs w:val="18"/>
                <w:color w:val="auto"/>
                <w:w w:val="97"/>
              </w:rPr>
              <w:t>Term</w:t>
            </w:r>
          </w:p>
        </w:tc>
        <w:tc>
          <w:tcPr>
            <w:tcW w:w="560" w:type="dxa"/>
            <w:vAlign w:val="bottom"/>
            <w:tcBorders>
              <w:top w:val="single" w:sz="8" w:color="010101"/>
            </w:tcBorders>
          </w:tcPr>
          <w:p>
            <w:pPr>
              <w:spacing w:after="0"/>
              <w:rPr>
                <w:sz w:val="16"/>
                <w:szCs w:val="16"/>
                <w:color w:val="auto"/>
              </w:rPr>
            </w:pPr>
          </w:p>
        </w:tc>
        <w:tc>
          <w:tcPr>
            <w:tcW w:w="280" w:type="dxa"/>
            <w:vAlign w:val="bottom"/>
            <w:tcBorders>
              <w:top w:val="single" w:sz="8" w:color="010101"/>
            </w:tcBorders>
          </w:tcPr>
          <w:p>
            <w:pPr>
              <w:spacing w:after="0"/>
              <w:rPr>
                <w:sz w:val="16"/>
                <w:szCs w:val="16"/>
                <w:color w:val="auto"/>
              </w:rPr>
            </w:pPr>
          </w:p>
        </w:tc>
        <w:tc>
          <w:tcPr>
            <w:tcW w:w="1340" w:type="dxa"/>
            <w:vAlign w:val="bottom"/>
            <w:tcBorders>
              <w:top w:val="single" w:sz="8" w:color="010101"/>
              <w:right w:val="single" w:sz="8" w:color="010101"/>
            </w:tcBorders>
            <w:gridSpan w:val="3"/>
          </w:tcPr>
          <w:p>
            <w:pPr>
              <w:jc w:val="center"/>
              <w:ind w:right="880"/>
              <w:spacing w:after="0" w:line="189" w:lineRule="exact"/>
              <w:rPr>
                <w:sz w:val="20"/>
                <w:szCs w:val="20"/>
                <w:color w:val="auto"/>
              </w:rPr>
            </w:pPr>
            <w:r>
              <w:rPr>
                <w:rFonts w:ascii="Times New Roman" w:cs="Times New Roman" w:eastAsia="Times New Roman" w:hAnsi="Times New Roman"/>
                <w:sz w:val="18"/>
                <w:szCs w:val="18"/>
                <w:color w:val="auto"/>
              </w:rPr>
              <w:t>ABR</w:t>
            </w:r>
          </w:p>
        </w:tc>
        <w:tc>
          <w:tcPr>
            <w:tcW w:w="480" w:type="dxa"/>
            <w:vAlign w:val="bottom"/>
            <w:tcBorders>
              <w:top w:val="single" w:sz="8" w:color="010101"/>
            </w:tcBorders>
          </w:tcPr>
          <w:p>
            <w:pPr>
              <w:spacing w:after="0"/>
              <w:rPr>
                <w:sz w:val="16"/>
                <w:szCs w:val="16"/>
                <w:color w:val="auto"/>
              </w:rPr>
            </w:pPr>
          </w:p>
        </w:tc>
        <w:tc>
          <w:tcPr>
            <w:tcW w:w="20" w:type="dxa"/>
            <w:vAlign w:val="bottom"/>
            <w:tcBorders>
              <w:top w:val="single" w:sz="8" w:color="010101"/>
            </w:tcBorders>
          </w:tcPr>
          <w:p>
            <w:pPr>
              <w:spacing w:after="0"/>
              <w:rPr>
                <w:sz w:val="16"/>
                <w:szCs w:val="16"/>
                <w:color w:val="auto"/>
              </w:rPr>
            </w:pPr>
          </w:p>
        </w:tc>
        <w:tc>
          <w:tcPr>
            <w:tcW w:w="180" w:type="dxa"/>
            <w:vAlign w:val="bottom"/>
            <w:tcBorders>
              <w:top w:val="single" w:sz="8" w:color="010101"/>
            </w:tcBorders>
          </w:tcPr>
          <w:p>
            <w:pPr>
              <w:spacing w:after="0"/>
              <w:rPr>
                <w:sz w:val="16"/>
                <w:szCs w:val="16"/>
                <w:color w:val="auto"/>
              </w:rPr>
            </w:pPr>
          </w:p>
        </w:tc>
        <w:tc>
          <w:tcPr>
            <w:tcW w:w="40" w:type="dxa"/>
            <w:vAlign w:val="bottom"/>
            <w:tcBorders>
              <w:top w:val="single" w:sz="8" w:color="010101"/>
            </w:tcBorders>
          </w:tcPr>
          <w:p>
            <w:pPr>
              <w:spacing w:after="0"/>
              <w:rPr>
                <w:sz w:val="16"/>
                <w:szCs w:val="16"/>
                <w:color w:val="auto"/>
              </w:rPr>
            </w:pPr>
          </w:p>
        </w:tc>
        <w:tc>
          <w:tcPr>
            <w:tcW w:w="40" w:type="dxa"/>
            <w:vAlign w:val="bottom"/>
            <w:tcBorders>
              <w:top w:val="single" w:sz="8" w:color="010101"/>
            </w:tcBorders>
          </w:tcPr>
          <w:p>
            <w:pPr>
              <w:spacing w:after="0"/>
              <w:rPr>
                <w:sz w:val="16"/>
                <w:szCs w:val="16"/>
                <w:color w:val="auto"/>
              </w:rPr>
            </w:pPr>
          </w:p>
        </w:tc>
        <w:tc>
          <w:tcPr>
            <w:tcW w:w="440" w:type="dxa"/>
            <w:vAlign w:val="bottom"/>
            <w:tcBorders>
              <w:top w:val="single" w:sz="8" w:color="010101"/>
            </w:tcBorders>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Term</w:t>
            </w:r>
          </w:p>
        </w:tc>
        <w:tc>
          <w:tcPr>
            <w:tcW w:w="780" w:type="dxa"/>
            <w:vAlign w:val="bottom"/>
            <w:tcBorders>
              <w:top w:val="single" w:sz="8" w:color="010101"/>
              <w:right w:val="single" w:sz="8" w:color="010101"/>
            </w:tcBorders>
            <w:gridSpan w:val="6"/>
          </w:tcPr>
          <w:p>
            <w:pPr>
              <w:spacing w:after="0"/>
              <w:rPr>
                <w:sz w:val="16"/>
                <w:szCs w:val="16"/>
                <w:color w:val="auto"/>
              </w:rPr>
            </w:pPr>
          </w:p>
        </w:tc>
        <w:tc>
          <w:tcPr>
            <w:tcW w:w="460" w:type="dxa"/>
            <w:vAlign w:val="bottom"/>
            <w:tcBorders>
              <w:top w:val="single" w:sz="8" w:color="010101"/>
            </w:tcBorders>
          </w:tcPr>
          <w:p>
            <w:pPr>
              <w:spacing w:after="0"/>
              <w:rPr>
                <w:sz w:val="16"/>
                <w:szCs w:val="16"/>
                <w:color w:val="auto"/>
              </w:rPr>
            </w:pPr>
          </w:p>
        </w:tc>
        <w:tc>
          <w:tcPr>
            <w:tcW w:w="40" w:type="dxa"/>
            <w:vAlign w:val="bottom"/>
            <w:tcBorders>
              <w:top w:val="single" w:sz="8" w:color="010101"/>
            </w:tcBorders>
          </w:tcPr>
          <w:p>
            <w:pPr>
              <w:spacing w:after="0"/>
              <w:rPr>
                <w:sz w:val="16"/>
                <w:szCs w:val="16"/>
                <w:color w:val="auto"/>
              </w:rPr>
            </w:pPr>
          </w:p>
        </w:tc>
        <w:tc>
          <w:tcPr>
            <w:tcW w:w="120" w:type="dxa"/>
            <w:vAlign w:val="bottom"/>
            <w:tcBorders>
              <w:top w:val="single" w:sz="8" w:color="010101"/>
            </w:tcBorders>
          </w:tcPr>
          <w:p>
            <w:pPr>
              <w:spacing w:after="0"/>
              <w:rPr>
                <w:sz w:val="16"/>
                <w:szCs w:val="16"/>
                <w:color w:val="auto"/>
              </w:rPr>
            </w:pPr>
          </w:p>
        </w:tc>
        <w:tc>
          <w:tcPr>
            <w:tcW w:w="40" w:type="dxa"/>
            <w:vAlign w:val="bottom"/>
            <w:tcBorders>
              <w:top w:val="single" w:sz="8" w:color="010101"/>
            </w:tcBorders>
          </w:tcPr>
          <w:p>
            <w:pPr>
              <w:spacing w:after="0"/>
              <w:rPr>
                <w:sz w:val="16"/>
                <w:szCs w:val="16"/>
                <w:color w:val="auto"/>
              </w:rPr>
            </w:pPr>
          </w:p>
        </w:tc>
        <w:tc>
          <w:tcPr>
            <w:tcW w:w="60" w:type="dxa"/>
            <w:vAlign w:val="bottom"/>
            <w:tcBorders>
              <w:top w:val="single" w:sz="8" w:color="010101"/>
            </w:tcBorders>
          </w:tcPr>
          <w:p>
            <w:pPr>
              <w:spacing w:after="0"/>
              <w:rPr>
                <w:sz w:val="16"/>
                <w:szCs w:val="16"/>
                <w:color w:val="auto"/>
              </w:rPr>
            </w:pPr>
          </w:p>
        </w:tc>
        <w:tc>
          <w:tcPr>
            <w:tcW w:w="1160" w:type="dxa"/>
            <w:vAlign w:val="bottom"/>
            <w:tcBorders>
              <w:top w:val="single" w:sz="8" w:color="010101"/>
              <w:right w:val="single" w:sz="8" w:color="010101"/>
            </w:tcBorders>
            <w:gridSpan w:val="8"/>
          </w:tcPr>
          <w:p>
            <w:pPr>
              <w:jc w:val="center"/>
              <w:ind w:right="78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ABR</w:t>
            </w: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Level</w:t>
            </w:r>
          </w:p>
        </w:tc>
        <w:tc>
          <w:tcPr>
            <w:tcW w:w="1240" w:type="dxa"/>
            <w:vAlign w:val="bottom"/>
            <w:tcBorders>
              <w:right w:val="single" w:sz="8" w:color="010101"/>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Fee</w:t>
            </w:r>
          </w:p>
        </w:tc>
        <w:tc>
          <w:tcPr>
            <w:tcW w:w="420" w:type="dxa"/>
            <w:vAlign w:val="bottom"/>
            <w:vMerge w:val="restart"/>
          </w:tcPr>
          <w:p>
            <w:pPr>
              <w:spacing w:after="0" w:line="20" w:lineRule="exact"/>
              <w:rPr>
                <w:sz w:val="1"/>
                <w:szCs w:val="1"/>
                <w:color w:val="auto"/>
              </w:rPr>
            </w:pPr>
          </w:p>
        </w:tc>
        <w:tc>
          <w:tcPr>
            <w:tcW w:w="1480" w:type="dxa"/>
            <w:vAlign w:val="bottom"/>
            <w:tcBorders>
              <w:right w:val="single" w:sz="8" w:color="010101"/>
            </w:tcBorders>
            <w:gridSpan w:val="4"/>
            <w:vMerge w:val="restart"/>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9"/>
              </w:rPr>
              <w:t>Benchmark /</w:t>
            </w:r>
          </w:p>
        </w:tc>
        <w:tc>
          <w:tcPr>
            <w:tcW w:w="560" w:type="dxa"/>
            <w:vAlign w:val="bottom"/>
            <w:vMerge w:val="restart"/>
          </w:tcPr>
          <w:p>
            <w:pPr>
              <w:spacing w:after="0" w:line="20" w:lineRule="exact"/>
              <w:rPr>
                <w:sz w:val="1"/>
                <w:szCs w:val="1"/>
                <w:color w:val="auto"/>
              </w:rPr>
            </w:pPr>
          </w:p>
        </w:tc>
        <w:tc>
          <w:tcPr>
            <w:tcW w:w="1620" w:type="dxa"/>
            <w:vAlign w:val="bottom"/>
            <w:tcBorders>
              <w:right w:val="single" w:sz="8" w:color="010101"/>
            </w:tcBorders>
            <w:gridSpan w:val="4"/>
            <w:vMerge w:val="restart"/>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780" w:type="dxa"/>
            <w:vAlign w:val="bottom"/>
            <w:tcBorders>
              <w:right w:val="single" w:sz="8" w:color="010101"/>
            </w:tcBorders>
            <w:gridSpan w:val="6"/>
            <w:vMerge w:val="restart"/>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0000FF"/>
              </w:rPr>
              <w:t>/</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Borders>
              <w:left w:val="single" w:sz="8" w:color="010101"/>
              <w:right w:val="single" w:sz="8" w:color="010101"/>
            </w:tcBorders>
            <w:vMerge w:val="continue"/>
          </w:tcPr>
          <w:p>
            <w:pPr>
              <w:spacing w:after="0"/>
              <w:rPr>
                <w:sz w:val="13"/>
                <w:szCs w:val="13"/>
                <w:color w:val="auto"/>
              </w:rPr>
            </w:pPr>
          </w:p>
        </w:tc>
        <w:tc>
          <w:tcPr>
            <w:tcW w:w="1240" w:type="dxa"/>
            <w:vAlign w:val="bottom"/>
            <w:tcBorders>
              <w:right w:val="single" w:sz="8" w:color="010101"/>
            </w:tcBorders>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480" w:type="dxa"/>
            <w:vAlign w:val="bottom"/>
            <w:tcBorders>
              <w:right w:val="single" w:sz="8" w:color="010101"/>
            </w:tcBorders>
            <w:gridSpan w:val="4"/>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620" w:type="dxa"/>
            <w:vAlign w:val="bottom"/>
            <w:tcBorders>
              <w:right w:val="single" w:sz="8" w:color="010101"/>
            </w:tcBorders>
            <w:gridSpan w:val="4"/>
            <w:vMerge w:val="continue"/>
          </w:tcPr>
          <w:p>
            <w:pPr>
              <w:spacing w:after="0"/>
              <w:rPr>
                <w:sz w:val="13"/>
                <w:szCs w:val="13"/>
                <w:color w:val="auto"/>
              </w:rPr>
            </w:pPr>
          </w:p>
        </w:tc>
        <w:tc>
          <w:tcPr>
            <w:tcW w:w="1180" w:type="dxa"/>
            <w:vAlign w:val="bottom"/>
            <w:gridSpan w:val="9"/>
          </w:tcPr>
          <w:p>
            <w:pPr>
              <w:ind w:left="480"/>
              <w:spacing w:after="0" w:line="156" w:lineRule="exact"/>
              <w:rPr>
                <w:sz w:val="20"/>
                <w:szCs w:val="20"/>
                <w:color w:val="auto"/>
              </w:rPr>
            </w:pPr>
            <w:r>
              <w:rPr>
                <w:rFonts w:ascii="Times New Roman" w:cs="Times New Roman" w:eastAsia="Times New Roman" w:hAnsi="Times New Roman"/>
                <w:sz w:val="18"/>
                <w:szCs w:val="18"/>
                <w:b w:val="1"/>
                <w:bCs w:val="1"/>
                <w:color w:val="0000FF"/>
                <w:w w:val="75"/>
              </w:rPr>
              <w:t>Benchmark</w:t>
            </w:r>
          </w:p>
        </w:tc>
        <w:tc>
          <w:tcPr>
            <w:tcW w:w="20" w:type="dxa"/>
            <w:vAlign w:val="bottom"/>
            <w:vMerge w:val="continue"/>
          </w:tcPr>
          <w:p>
            <w:pPr>
              <w:spacing w:after="0"/>
              <w:rPr>
                <w:sz w:val="13"/>
                <w:szCs w:val="13"/>
                <w:color w:val="auto"/>
              </w:rPr>
            </w:pPr>
          </w:p>
        </w:tc>
        <w:tc>
          <w:tcPr>
            <w:tcW w:w="780" w:type="dxa"/>
            <w:vAlign w:val="bottom"/>
            <w:tcBorders>
              <w:right w:val="single" w:sz="8" w:color="010101"/>
            </w:tcBorders>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Borders>
              <w:right w:val="single" w:sz="8" w:color="010101"/>
            </w:tcBorders>
            <w:gridSpan w:val="12"/>
          </w:tcPr>
          <w:p>
            <w:pPr>
              <w:jc w:val="center"/>
              <w:ind w:right="52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Spread for</w:t>
            </w: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80" w:type="dxa"/>
            <w:vAlign w:val="bottom"/>
            <w:tcBorders>
              <w:right w:val="single" w:sz="8" w:color="010101"/>
            </w:tcBorders>
            <w:gridSpan w:val="4"/>
            <w:vMerge w:val="restart"/>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9"/>
              </w:rPr>
              <w:t>RFR Spread</w:t>
            </w:r>
          </w:p>
        </w:tc>
        <w:tc>
          <w:tcPr>
            <w:tcW w:w="560" w:type="dxa"/>
            <w:vAlign w:val="bottom"/>
            <w:vMerge w:val="restart"/>
          </w:tcPr>
          <w:p>
            <w:pPr>
              <w:spacing w:after="0" w:line="20" w:lineRule="exact"/>
              <w:rPr>
                <w:sz w:val="1"/>
                <w:szCs w:val="1"/>
                <w:color w:val="auto"/>
              </w:rPr>
            </w:pPr>
          </w:p>
        </w:tc>
        <w:tc>
          <w:tcPr>
            <w:tcW w:w="1620" w:type="dxa"/>
            <w:vAlign w:val="bottom"/>
            <w:tcBorders>
              <w:right w:val="single" w:sz="8" w:color="010101"/>
            </w:tcBorders>
            <w:gridSpan w:val="4"/>
            <w:vMerge w:val="restart"/>
          </w:tcPr>
          <w:p>
            <w:pPr>
              <w:jc w:val="center"/>
              <w:ind w:right="58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for Revolving</w:t>
            </w:r>
          </w:p>
        </w:tc>
        <w:tc>
          <w:tcPr>
            <w:tcW w:w="4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right w:val="single" w:sz="8" w:color="010101"/>
            </w:tcBorders>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tcBorders>
              <w:right w:val="single" w:sz="8" w:color="010101"/>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Borders>
              <w:left w:val="single" w:sz="8" w:color="010101"/>
              <w:right w:val="single" w:sz="8" w:color="010101"/>
            </w:tcBorders>
          </w:tcPr>
          <w:p>
            <w:pPr>
              <w:spacing w:after="0"/>
              <w:rPr>
                <w:sz w:val="13"/>
                <w:szCs w:val="13"/>
                <w:color w:val="auto"/>
              </w:rPr>
            </w:pPr>
          </w:p>
        </w:tc>
        <w:tc>
          <w:tcPr>
            <w:tcW w:w="1240" w:type="dxa"/>
            <w:vAlign w:val="bottom"/>
            <w:tcBorders>
              <w:right w:val="single" w:sz="8" w:color="010101"/>
            </w:tcBorders>
          </w:tcPr>
          <w:p>
            <w:pPr>
              <w:spacing w:after="0"/>
              <w:rPr>
                <w:sz w:val="13"/>
                <w:szCs w:val="13"/>
                <w:color w:val="auto"/>
              </w:rPr>
            </w:pPr>
          </w:p>
        </w:tc>
        <w:tc>
          <w:tcPr>
            <w:tcW w:w="420" w:type="dxa"/>
            <w:vAlign w:val="bottom"/>
            <w:vMerge w:val="continue"/>
          </w:tcPr>
          <w:p>
            <w:pPr>
              <w:spacing w:after="0"/>
              <w:rPr>
                <w:sz w:val="13"/>
                <w:szCs w:val="13"/>
                <w:color w:val="auto"/>
              </w:rPr>
            </w:pPr>
          </w:p>
        </w:tc>
        <w:tc>
          <w:tcPr>
            <w:tcW w:w="1480" w:type="dxa"/>
            <w:vAlign w:val="bottom"/>
            <w:tcBorders>
              <w:right w:val="single" w:sz="8" w:color="010101"/>
            </w:tcBorders>
            <w:gridSpan w:val="4"/>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620" w:type="dxa"/>
            <w:vAlign w:val="bottom"/>
            <w:tcBorders>
              <w:right w:val="single" w:sz="8" w:color="010101"/>
            </w:tcBorders>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gridSpan w:val="14"/>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RFR Spread</w:t>
            </w:r>
          </w:p>
        </w:tc>
        <w:tc>
          <w:tcPr>
            <w:tcW w:w="500" w:type="dxa"/>
            <w:vAlign w:val="bottom"/>
            <w:tcBorders>
              <w:right w:val="single" w:sz="8" w:color="010101"/>
            </w:tcBorders>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gridSpan w:val="9"/>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86"/>
              </w:rPr>
              <w:t>Term Loans</w:t>
            </w:r>
          </w:p>
        </w:tc>
        <w:tc>
          <w:tcPr>
            <w:tcW w:w="60" w:type="dxa"/>
            <w:vAlign w:val="bottom"/>
            <w:vMerge w:val="continue"/>
          </w:tcPr>
          <w:p>
            <w:pPr>
              <w:spacing w:after="0"/>
              <w:rPr>
                <w:sz w:val="13"/>
                <w:szCs w:val="13"/>
                <w:color w:val="auto"/>
              </w:rPr>
            </w:pPr>
          </w:p>
        </w:tc>
        <w:tc>
          <w:tcPr>
            <w:tcW w:w="500" w:type="dxa"/>
            <w:vAlign w:val="bottom"/>
            <w:tcBorders>
              <w:right w:val="single" w:sz="8" w:color="010101"/>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1900" w:type="dxa"/>
            <w:vAlign w:val="bottom"/>
            <w:tcBorders>
              <w:right w:val="single" w:sz="8" w:color="010101"/>
            </w:tcBorders>
            <w:gridSpan w:val="5"/>
            <w:vMerge w:val="restart"/>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for Revolving</w:t>
            </w:r>
          </w:p>
        </w:tc>
        <w:tc>
          <w:tcPr>
            <w:tcW w:w="56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right w:val="single" w:sz="8" w:color="010101"/>
            </w:tcBorders>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right w:val="single" w:sz="8" w:color="010101"/>
            </w:tcBorders>
            <w:gridSpan w:val="2"/>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Borders>
              <w:left w:val="single" w:sz="8" w:color="010101"/>
              <w:right w:val="single" w:sz="8" w:color="010101"/>
            </w:tcBorders>
          </w:tcPr>
          <w:p>
            <w:pPr>
              <w:spacing w:after="0"/>
              <w:rPr>
                <w:sz w:val="13"/>
                <w:szCs w:val="13"/>
                <w:color w:val="auto"/>
              </w:rPr>
            </w:pPr>
          </w:p>
        </w:tc>
        <w:tc>
          <w:tcPr>
            <w:tcW w:w="1240" w:type="dxa"/>
            <w:vAlign w:val="bottom"/>
            <w:tcBorders>
              <w:right w:val="single" w:sz="8" w:color="010101"/>
            </w:tcBorders>
          </w:tcPr>
          <w:p>
            <w:pPr>
              <w:spacing w:after="0"/>
              <w:rPr>
                <w:sz w:val="13"/>
                <w:szCs w:val="13"/>
                <w:color w:val="auto"/>
              </w:rPr>
            </w:pPr>
          </w:p>
        </w:tc>
        <w:tc>
          <w:tcPr>
            <w:tcW w:w="1900" w:type="dxa"/>
            <w:vAlign w:val="bottom"/>
            <w:tcBorders>
              <w:right w:val="single" w:sz="8" w:color="010101"/>
            </w:tcBorders>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3"/>
          </w:tcPr>
          <w:p>
            <w:pPr>
              <w:jc w:val="center"/>
              <w:ind w:right="20"/>
              <w:spacing w:after="0" w:line="156" w:lineRule="exact"/>
              <w:rPr>
                <w:sz w:val="20"/>
                <w:szCs w:val="20"/>
                <w:color w:val="auto"/>
              </w:rPr>
            </w:pPr>
            <w:r>
              <w:rPr>
                <w:rFonts w:ascii="Times New Roman" w:cs="Times New Roman" w:eastAsia="Times New Roman" w:hAnsi="Times New Roman"/>
                <w:sz w:val="18"/>
                <w:szCs w:val="18"/>
                <w:b w:val="1"/>
                <w:bCs w:val="1"/>
                <w:color w:val="0000FF"/>
                <w:w w:val="97"/>
              </w:rPr>
              <w:t>Loans</w:t>
            </w:r>
          </w:p>
        </w:tc>
        <w:tc>
          <w:tcPr>
            <w:tcW w:w="580" w:type="dxa"/>
            <w:vAlign w:val="bottom"/>
            <w:tcBorders>
              <w:right w:val="single" w:sz="8" w:color="010101"/>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8"/>
          </w:tcPr>
          <w:p>
            <w:pPr>
              <w:jc w:val="center"/>
              <w:ind w:right="300"/>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for</w:t>
            </w:r>
          </w:p>
        </w:tc>
        <w:tc>
          <w:tcPr>
            <w:tcW w:w="520" w:type="dxa"/>
            <w:vAlign w:val="bottom"/>
            <w:tcBorders>
              <w:right w:val="single" w:sz="8" w:color="010101"/>
            </w:tcBorders>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right w:val="single" w:sz="8" w:color="010101"/>
            </w:tcBorders>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78"/>
              </w:rPr>
              <w:t>Term</w:t>
            </w: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10101"/>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Borders>
              <w:left w:val="single" w:sz="8" w:color="010101"/>
              <w:right w:val="single" w:sz="8" w:color="010101"/>
            </w:tcBorders>
          </w:tcPr>
          <w:p>
            <w:pPr>
              <w:spacing w:after="0"/>
              <w:rPr>
                <w:sz w:val="13"/>
                <w:szCs w:val="13"/>
                <w:color w:val="auto"/>
              </w:rPr>
            </w:pPr>
          </w:p>
        </w:tc>
        <w:tc>
          <w:tcPr>
            <w:tcW w:w="1240" w:type="dxa"/>
            <w:vAlign w:val="bottom"/>
            <w:tcBorders>
              <w:right w:val="single" w:sz="8" w:color="010101"/>
            </w:tcBorders>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b w:val="1"/>
                <w:bCs w:val="1"/>
                <w:color w:val="0000FF"/>
                <w:w w:val="97"/>
              </w:rPr>
              <w:t>Loans</w:t>
            </w:r>
          </w:p>
        </w:tc>
        <w:tc>
          <w:tcPr>
            <w:tcW w:w="440" w:type="dxa"/>
            <w:vAlign w:val="bottom"/>
            <w:tcBorders>
              <w:right w:val="single" w:sz="8" w:color="010101"/>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right w:val="single" w:sz="8" w:color="010101"/>
            </w:tcBorders>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5"/>
            <w:vMerge w:val="continue"/>
          </w:tcPr>
          <w:p>
            <w:pPr>
              <w:spacing w:after="0"/>
              <w:rPr>
                <w:sz w:val="13"/>
                <w:szCs w:val="13"/>
                <w:color w:val="auto"/>
              </w:rPr>
            </w:pPr>
          </w:p>
        </w:tc>
        <w:tc>
          <w:tcPr>
            <w:tcW w:w="1120" w:type="dxa"/>
            <w:vAlign w:val="bottom"/>
            <w:tcBorders>
              <w:right w:val="single" w:sz="8" w:color="010101"/>
            </w:tcBorders>
            <w:gridSpan w:val="9"/>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0000FF"/>
              </w:rPr>
              <w:t>Loans</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tcBorders>
              <w:left w:val="single" w:sz="8" w:color="010101"/>
              <w:bottom w:val="single" w:sz="8" w:color="010101"/>
              <w:right w:val="single" w:sz="8" w:color="010101"/>
            </w:tcBorders>
          </w:tcPr>
          <w:p>
            <w:pPr>
              <w:spacing w:after="0"/>
              <w:rPr>
                <w:sz w:val="17"/>
                <w:szCs w:val="17"/>
                <w:color w:val="auto"/>
              </w:rPr>
            </w:pPr>
          </w:p>
        </w:tc>
        <w:tc>
          <w:tcPr>
            <w:tcW w:w="1240" w:type="dxa"/>
            <w:vAlign w:val="bottom"/>
            <w:tcBorders>
              <w:bottom w:val="single" w:sz="8" w:color="010101"/>
              <w:right w:val="single" w:sz="8" w:color="010101"/>
            </w:tcBorders>
          </w:tcPr>
          <w:p>
            <w:pPr>
              <w:spacing w:after="0"/>
              <w:rPr>
                <w:sz w:val="17"/>
                <w:szCs w:val="17"/>
                <w:color w:val="auto"/>
              </w:rPr>
            </w:pPr>
          </w:p>
        </w:tc>
        <w:tc>
          <w:tcPr>
            <w:tcW w:w="42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440" w:type="dxa"/>
            <w:vAlign w:val="bottom"/>
            <w:tcBorders>
              <w:bottom w:val="single" w:sz="8" w:color="010101"/>
              <w:right w:val="single" w:sz="8" w:color="010101"/>
            </w:tcBorders>
          </w:tcPr>
          <w:p>
            <w:pPr>
              <w:spacing w:after="0"/>
              <w:rPr>
                <w:sz w:val="17"/>
                <w:szCs w:val="17"/>
                <w:color w:val="auto"/>
              </w:rPr>
            </w:pPr>
          </w:p>
        </w:tc>
        <w:tc>
          <w:tcPr>
            <w:tcW w:w="5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580" w:type="dxa"/>
            <w:vAlign w:val="bottom"/>
            <w:tcBorders>
              <w:bottom w:val="single" w:sz="8" w:color="010101"/>
              <w:right w:val="single" w:sz="8" w:color="010101"/>
            </w:tcBorders>
          </w:tcPr>
          <w:p>
            <w:pPr>
              <w:spacing w:after="0"/>
              <w:rPr>
                <w:sz w:val="17"/>
                <w:szCs w:val="17"/>
                <w:color w:val="auto"/>
              </w:rPr>
            </w:pPr>
          </w:p>
        </w:tc>
        <w:tc>
          <w:tcPr>
            <w:tcW w:w="4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80" w:type="dxa"/>
            <w:vAlign w:val="bottom"/>
            <w:tcBorders>
              <w:bottom w:val="single" w:sz="8" w:color="010101"/>
            </w:tcBorders>
          </w:tcPr>
          <w:p>
            <w:pPr>
              <w:spacing w:after="0"/>
              <w:rPr>
                <w:sz w:val="17"/>
                <w:szCs w:val="17"/>
                <w:color w:val="auto"/>
              </w:rPr>
            </w:pPr>
          </w:p>
        </w:tc>
        <w:tc>
          <w:tcPr>
            <w:tcW w:w="22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010101"/>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Level I</w:t>
            </w:r>
          </w:p>
        </w:tc>
        <w:tc>
          <w:tcPr>
            <w:tcW w:w="1240" w:type="dxa"/>
            <w:vAlign w:val="bottom"/>
            <w:tcBorders>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0.10%</w:t>
            </w:r>
          </w:p>
        </w:tc>
        <w:tc>
          <w:tcPr>
            <w:tcW w:w="1160" w:type="dxa"/>
            <w:vAlign w:val="bottom"/>
            <w:gridSpan w:val="3"/>
          </w:tcPr>
          <w:p>
            <w:pPr>
              <w:jc w:val="center"/>
              <w:ind w:left="610"/>
              <w:spacing w:after="0" w:line="169" w:lineRule="exact"/>
              <w:rPr>
                <w:sz w:val="20"/>
                <w:szCs w:val="20"/>
                <w:color w:val="auto"/>
              </w:rPr>
            </w:pPr>
            <w:r>
              <w:rPr>
                <w:rFonts w:ascii="Times New Roman" w:cs="Times New Roman" w:eastAsia="Times New Roman" w:hAnsi="Times New Roman"/>
                <w:sz w:val="18"/>
                <w:szCs w:val="18"/>
                <w:color w:val="auto"/>
                <w:w w:val="98"/>
              </w:rPr>
              <w:t>0.90%</w:t>
            </w:r>
          </w:p>
        </w:tc>
        <w:tc>
          <w:tcPr>
            <w:tcW w:w="300" w:type="dxa"/>
            <w:vAlign w:val="bottom"/>
          </w:tcPr>
          <w:p>
            <w:pPr>
              <w:spacing w:after="0"/>
              <w:rPr>
                <w:sz w:val="14"/>
                <w:szCs w:val="14"/>
                <w:color w:val="auto"/>
              </w:rPr>
            </w:pPr>
          </w:p>
        </w:tc>
        <w:tc>
          <w:tcPr>
            <w:tcW w:w="440" w:type="dxa"/>
            <w:vAlign w:val="bottom"/>
            <w:tcBorders>
              <w:right w:val="single" w:sz="8" w:color="010101"/>
            </w:tcBorders>
          </w:tcPr>
          <w:p>
            <w:pPr>
              <w:spacing w:after="0"/>
              <w:rPr>
                <w:sz w:val="14"/>
                <w:szCs w:val="14"/>
                <w:color w:val="auto"/>
              </w:rPr>
            </w:pPr>
          </w:p>
        </w:tc>
        <w:tc>
          <w:tcPr>
            <w:tcW w:w="1300" w:type="dxa"/>
            <w:vAlign w:val="bottom"/>
            <w:gridSpan w:val="3"/>
          </w:tcPr>
          <w:p>
            <w:pPr>
              <w:jc w:val="center"/>
              <w:ind w:left="770"/>
              <w:spacing w:after="0" w:line="169" w:lineRule="exact"/>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tcPr>
          <w:p>
            <w:pPr>
              <w:spacing w:after="0"/>
              <w:rPr>
                <w:sz w:val="14"/>
                <w:szCs w:val="14"/>
                <w:color w:val="auto"/>
              </w:rPr>
            </w:pPr>
          </w:p>
        </w:tc>
        <w:tc>
          <w:tcPr>
            <w:tcW w:w="580" w:type="dxa"/>
            <w:vAlign w:val="bottom"/>
            <w:tcBorders>
              <w:right w:val="single" w:sz="8" w:color="010101"/>
            </w:tcBorders>
          </w:tcPr>
          <w:p>
            <w:pPr>
              <w:spacing w:after="0"/>
              <w:rPr>
                <w:sz w:val="14"/>
                <w:szCs w:val="14"/>
                <w:color w:val="auto"/>
              </w:rPr>
            </w:pPr>
          </w:p>
        </w:tc>
        <w:tc>
          <w:tcPr>
            <w:tcW w:w="1440" w:type="dxa"/>
            <w:vAlign w:val="bottom"/>
            <w:gridSpan w:val="13"/>
          </w:tcPr>
          <w:p>
            <w:pPr>
              <w:jc w:val="center"/>
              <w:ind w:left="410"/>
              <w:spacing w:after="0" w:line="169" w:lineRule="exact"/>
              <w:rPr>
                <w:sz w:val="20"/>
                <w:szCs w:val="20"/>
                <w:color w:val="auto"/>
              </w:rPr>
            </w:pPr>
            <w:r>
              <w:rPr>
                <w:rFonts w:ascii="Times New Roman" w:cs="Times New Roman" w:eastAsia="Times New Roman" w:hAnsi="Times New Roman"/>
                <w:sz w:val="18"/>
                <w:szCs w:val="18"/>
                <w:b w:val="1"/>
                <w:bCs w:val="1"/>
                <w:color w:val="0000FF"/>
                <w:w w:val="99"/>
              </w:rPr>
              <w:t>0.875%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1100" w:type="dxa"/>
            <w:vAlign w:val="bottom"/>
            <w:gridSpan w:val="8"/>
          </w:tcPr>
          <w:p>
            <w:pPr>
              <w:jc w:val="center"/>
              <w:ind w:left="650"/>
              <w:spacing w:after="0" w:line="169" w:lineRule="exact"/>
              <w:rPr>
                <w:sz w:val="20"/>
                <w:szCs w:val="20"/>
                <w:color w:val="auto"/>
              </w:rPr>
            </w:pPr>
            <w:r>
              <w:rPr>
                <w:rFonts w:ascii="Times New Roman" w:cs="Times New Roman" w:eastAsia="Times New Roman" w:hAnsi="Times New Roman"/>
                <w:sz w:val="18"/>
                <w:szCs w:val="18"/>
                <w:b w:val="1"/>
                <w:bCs w:val="1"/>
                <w:color w:val="0000FF"/>
              </w:rPr>
              <w:t>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tcBorders>
              <w:left w:val="single" w:sz="8" w:color="010101"/>
              <w:bottom w:val="single" w:sz="8" w:color="010101"/>
              <w:right w:val="single" w:sz="8" w:color="010101"/>
            </w:tcBorders>
          </w:tcPr>
          <w:p>
            <w:pPr>
              <w:spacing w:after="0"/>
              <w:rPr>
                <w:sz w:val="17"/>
                <w:szCs w:val="17"/>
                <w:color w:val="auto"/>
              </w:rPr>
            </w:pPr>
          </w:p>
        </w:tc>
        <w:tc>
          <w:tcPr>
            <w:tcW w:w="1240" w:type="dxa"/>
            <w:vAlign w:val="bottom"/>
            <w:tcBorders>
              <w:bottom w:val="single" w:sz="8" w:color="010101"/>
              <w:right w:val="single" w:sz="8" w:color="010101"/>
            </w:tcBorders>
          </w:tcPr>
          <w:p>
            <w:pPr>
              <w:spacing w:after="0"/>
              <w:rPr>
                <w:sz w:val="17"/>
                <w:szCs w:val="17"/>
                <w:color w:val="auto"/>
              </w:rPr>
            </w:pPr>
          </w:p>
        </w:tc>
        <w:tc>
          <w:tcPr>
            <w:tcW w:w="42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440" w:type="dxa"/>
            <w:vAlign w:val="bottom"/>
            <w:tcBorders>
              <w:bottom w:val="single" w:sz="8" w:color="010101"/>
              <w:right w:val="single" w:sz="8" w:color="010101"/>
            </w:tcBorders>
          </w:tcPr>
          <w:p>
            <w:pPr>
              <w:spacing w:after="0"/>
              <w:rPr>
                <w:sz w:val="17"/>
                <w:szCs w:val="17"/>
                <w:color w:val="auto"/>
              </w:rPr>
            </w:pPr>
          </w:p>
        </w:tc>
        <w:tc>
          <w:tcPr>
            <w:tcW w:w="5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580" w:type="dxa"/>
            <w:vAlign w:val="bottom"/>
            <w:tcBorders>
              <w:bottom w:val="single" w:sz="8" w:color="010101"/>
              <w:right w:val="single" w:sz="8" w:color="010101"/>
            </w:tcBorders>
          </w:tcPr>
          <w:p>
            <w:pPr>
              <w:spacing w:after="0"/>
              <w:rPr>
                <w:sz w:val="17"/>
                <w:szCs w:val="17"/>
                <w:color w:val="auto"/>
              </w:rPr>
            </w:pPr>
          </w:p>
        </w:tc>
        <w:tc>
          <w:tcPr>
            <w:tcW w:w="4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80" w:type="dxa"/>
            <w:vAlign w:val="bottom"/>
            <w:tcBorders>
              <w:bottom w:val="single" w:sz="8" w:color="010101"/>
            </w:tcBorders>
          </w:tcPr>
          <w:p>
            <w:pPr>
              <w:spacing w:after="0"/>
              <w:rPr>
                <w:sz w:val="17"/>
                <w:szCs w:val="17"/>
                <w:color w:val="auto"/>
              </w:rPr>
            </w:pPr>
          </w:p>
        </w:tc>
        <w:tc>
          <w:tcPr>
            <w:tcW w:w="22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010101"/>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Level II</w:t>
            </w:r>
          </w:p>
        </w:tc>
        <w:tc>
          <w:tcPr>
            <w:tcW w:w="1240" w:type="dxa"/>
            <w:vAlign w:val="bottom"/>
            <w:tcBorders>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0.11%</w:t>
            </w:r>
          </w:p>
        </w:tc>
        <w:tc>
          <w:tcPr>
            <w:tcW w:w="1460" w:type="dxa"/>
            <w:vAlign w:val="bottom"/>
            <w:gridSpan w:val="4"/>
          </w:tcPr>
          <w:p>
            <w:pPr>
              <w:jc w:val="center"/>
              <w:ind w:left="33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440" w:type="dxa"/>
            <w:vAlign w:val="bottom"/>
            <w:tcBorders>
              <w:right w:val="single" w:sz="8" w:color="010101"/>
            </w:tcBorders>
          </w:tcPr>
          <w:p>
            <w:pPr>
              <w:spacing w:after="0"/>
              <w:rPr>
                <w:sz w:val="14"/>
                <w:szCs w:val="14"/>
                <w:color w:val="auto"/>
              </w:rPr>
            </w:pPr>
          </w:p>
        </w:tc>
        <w:tc>
          <w:tcPr>
            <w:tcW w:w="1600" w:type="dxa"/>
            <w:vAlign w:val="bottom"/>
            <w:gridSpan w:val="4"/>
          </w:tcPr>
          <w:p>
            <w:pPr>
              <w:jc w:val="center"/>
              <w:ind w:left="470"/>
              <w:spacing w:after="0" w:line="169" w:lineRule="exact"/>
              <w:rPr>
                <w:sz w:val="20"/>
                <w:szCs w:val="20"/>
                <w:color w:val="auto"/>
              </w:rPr>
            </w:pPr>
            <w:r>
              <w:rPr>
                <w:rFonts w:ascii="Times New Roman" w:cs="Times New Roman" w:eastAsia="Times New Roman" w:hAnsi="Times New Roman"/>
                <w:sz w:val="18"/>
                <w:szCs w:val="18"/>
                <w:color w:val="auto"/>
              </w:rPr>
              <w:t>0.015%</w:t>
            </w:r>
          </w:p>
        </w:tc>
        <w:tc>
          <w:tcPr>
            <w:tcW w:w="580" w:type="dxa"/>
            <w:vAlign w:val="bottom"/>
            <w:tcBorders>
              <w:right w:val="single" w:sz="8" w:color="010101"/>
            </w:tcBorders>
          </w:tcPr>
          <w:p>
            <w:pPr>
              <w:spacing w:after="0"/>
              <w:rPr>
                <w:sz w:val="14"/>
                <w:szCs w:val="14"/>
                <w:color w:val="auto"/>
              </w:rPr>
            </w:pPr>
          </w:p>
        </w:tc>
        <w:tc>
          <w:tcPr>
            <w:tcW w:w="1260" w:type="dxa"/>
            <w:vAlign w:val="bottom"/>
            <w:gridSpan w:val="12"/>
          </w:tcPr>
          <w:p>
            <w:pPr>
              <w:jc w:val="center"/>
              <w:ind w:left="590"/>
              <w:spacing w:after="0" w:line="169" w:lineRule="exact"/>
              <w:rPr>
                <w:sz w:val="20"/>
                <w:szCs w:val="20"/>
                <w:color w:val="auto"/>
              </w:rPr>
            </w:pPr>
            <w:r>
              <w:rPr>
                <w:rFonts w:ascii="Times New Roman" w:cs="Times New Roman" w:eastAsia="Times New Roman" w:hAnsi="Times New Roman"/>
                <w:sz w:val="18"/>
                <w:szCs w:val="18"/>
                <w:b w:val="1"/>
                <w:bCs w:val="1"/>
                <w:color w:val="0000FF"/>
              </w:rPr>
              <w:t>1.00%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1100" w:type="dxa"/>
            <w:vAlign w:val="bottom"/>
            <w:gridSpan w:val="8"/>
          </w:tcPr>
          <w:p>
            <w:pPr>
              <w:jc w:val="center"/>
              <w:ind w:left="650"/>
              <w:spacing w:after="0" w:line="169" w:lineRule="exact"/>
              <w:rPr>
                <w:sz w:val="20"/>
                <w:szCs w:val="20"/>
                <w:color w:val="auto"/>
              </w:rPr>
            </w:pPr>
            <w:r>
              <w:rPr>
                <w:rFonts w:ascii="Times New Roman" w:cs="Times New Roman" w:eastAsia="Times New Roman" w:hAnsi="Times New Roman"/>
                <w:sz w:val="18"/>
                <w:szCs w:val="18"/>
                <w:b w:val="1"/>
                <w:bCs w:val="1"/>
                <w:color w:val="0000FF"/>
              </w:rPr>
              <w:t>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tcBorders>
              <w:left w:val="single" w:sz="8" w:color="010101"/>
              <w:bottom w:val="single" w:sz="8" w:color="010101"/>
              <w:right w:val="single" w:sz="8" w:color="010101"/>
            </w:tcBorders>
          </w:tcPr>
          <w:p>
            <w:pPr>
              <w:spacing w:after="0"/>
              <w:rPr>
                <w:sz w:val="17"/>
                <w:szCs w:val="17"/>
                <w:color w:val="auto"/>
              </w:rPr>
            </w:pPr>
          </w:p>
        </w:tc>
        <w:tc>
          <w:tcPr>
            <w:tcW w:w="1240" w:type="dxa"/>
            <w:vAlign w:val="bottom"/>
            <w:tcBorders>
              <w:bottom w:val="single" w:sz="8" w:color="010101"/>
              <w:right w:val="single" w:sz="8" w:color="010101"/>
            </w:tcBorders>
          </w:tcPr>
          <w:p>
            <w:pPr>
              <w:spacing w:after="0"/>
              <w:rPr>
                <w:sz w:val="17"/>
                <w:szCs w:val="17"/>
                <w:color w:val="auto"/>
              </w:rPr>
            </w:pPr>
          </w:p>
        </w:tc>
        <w:tc>
          <w:tcPr>
            <w:tcW w:w="42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440" w:type="dxa"/>
            <w:vAlign w:val="bottom"/>
            <w:tcBorders>
              <w:bottom w:val="single" w:sz="8" w:color="010101"/>
              <w:right w:val="single" w:sz="8" w:color="010101"/>
            </w:tcBorders>
          </w:tcPr>
          <w:p>
            <w:pPr>
              <w:spacing w:after="0"/>
              <w:rPr>
                <w:sz w:val="17"/>
                <w:szCs w:val="17"/>
                <w:color w:val="auto"/>
              </w:rPr>
            </w:pPr>
          </w:p>
        </w:tc>
        <w:tc>
          <w:tcPr>
            <w:tcW w:w="5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580" w:type="dxa"/>
            <w:vAlign w:val="bottom"/>
            <w:tcBorders>
              <w:bottom w:val="single" w:sz="8" w:color="010101"/>
              <w:right w:val="single" w:sz="8" w:color="010101"/>
            </w:tcBorders>
          </w:tcPr>
          <w:p>
            <w:pPr>
              <w:spacing w:after="0"/>
              <w:rPr>
                <w:sz w:val="17"/>
                <w:szCs w:val="17"/>
                <w:color w:val="auto"/>
              </w:rPr>
            </w:pPr>
          </w:p>
        </w:tc>
        <w:tc>
          <w:tcPr>
            <w:tcW w:w="4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80" w:type="dxa"/>
            <w:vAlign w:val="bottom"/>
            <w:tcBorders>
              <w:bottom w:val="single" w:sz="8" w:color="010101"/>
            </w:tcBorders>
          </w:tcPr>
          <w:p>
            <w:pPr>
              <w:spacing w:after="0"/>
              <w:rPr>
                <w:sz w:val="17"/>
                <w:szCs w:val="17"/>
                <w:color w:val="auto"/>
              </w:rPr>
            </w:pPr>
          </w:p>
        </w:tc>
        <w:tc>
          <w:tcPr>
            <w:tcW w:w="22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010101"/>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Level III</w:t>
            </w:r>
          </w:p>
        </w:tc>
        <w:tc>
          <w:tcPr>
            <w:tcW w:w="1240" w:type="dxa"/>
            <w:vAlign w:val="bottom"/>
            <w:tcBorders>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0.125%</w:t>
            </w:r>
          </w:p>
        </w:tc>
        <w:tc>
          <w:tcPr>
            <w:tcW w:w="1460" w:type="dxa"/>
            <w:vAlign w:val="bottom"/>
            <w:gridSpan w:val="4"/>
          </w:tcPr>
          <w:p>
            <w:pPr>
              <w:jc w:val="center"/>
              <w:ind w:left="330"/>
              <w:spacing w:after="0" w:line="169" w:lineRule="exact"/>
              <w:rPr>
                <w:sz w:val="20"/>
                <w:szCs w:val="20"/>
                <w:color w:val="auto"/>
              </w:rPr>
            </w:pPr>
            <w:r>
              <w:rPr>
                <w:rFonts w:ascii="Times New Roman" w:cs="Times New Roman" w:eastAsia="Times New Roman" w:hAnsi="Times New Roman"/>
                <w:sz w:val="18"/>
                <w:szCs w:val="18"/>
                <w:color w:val="auto"/>
              </w:rPr>
              <w:t>1.125%</w:t>
            </w:r>
          </w:p>
        </w:tc>
        <w:tc>
          <w:tcPr>
            <w:tcW w:w="440" w:type="dxa"/>
            <w:vAlign w:val="bottom"/>
            <w:tcBorders>
              <w:right w:val="single" w:sz="8" w:color="010101"/>
            </w:tcBorders>
          </w:tcPr>
          <w:p>
            <w:pPr>
              <w:spacing w:after="0"/>
              <w:rPr>
                <w:sz w:val="14"/>
                <w:szCs w:val="14"/>
                <w:color w:val="auto"/>
              </w:rPr>
            </w:pPr>
          </w:p>
        </w:tc>
        <w:tc>
          <w:tcPr>
            <w:tcW w:w="1600" w:type="dxa"/>
            <w:vAlign w:val="bottom"/>
            <w:gridSpan w:val="4"/>
          </w:tcPr>
          <w:p>
            <w:pPr>
              <w:jc w:val="center"/>
              <w:ind w:left="470"/>
              <w:spacing w:after="0" w:line="169" w:lineRule="exact"/>
              <w:rPr>
                <w:sz w:val="20"/>
                <w:szCs w:val="20"/>
                <w:color w:val="auto"/>
              </w:rPr>
            </w:pPr>
            <w:r>
              <w:rPr>
                <w:rFonts w:ascii="Times New Roman" w:cs="Times New Roman" w:eastAsia="Times New Roman" w:hAnsi="Times New Roman"/>
                <w:sz w:val="18"/>
                <w:szCs w:val="18"/>
                <w:color w:val="auto"/>
              </w:rPr>
              <w:t>0.125%</w:t>
            </w:r>
          </w:p>
        </w:tc>
        <w:tc>
          <w:tcPr>
            <w:tcW w:w="580" w:type="dxa"/>
            <w:vAlign w:val="bottom"/>
            <w:tcBorders>
              <w:right w:val="single" w:sz="8" w:color="010101"/>
            </w:tcBorders>
          </w:tcPr>
          <w:p>
            <w:pPr>
              <w:spacing w:after="0"/>
              <w:rPr>
                <w:sz w:val="14"/>
                <w:szCs w:val="14"/>
                <w:color w:val="auto"/>
              </w:rPr>
            </w:pPr>
          </w:p>
        </w:tc>
        <w:tc>
          <w:tcPr>
            <w:tcW w:w="1440" w:type="dxa"/>
            <w:vAlign w:val="bottom"/>
            <w:gridSpan w:val="13"/>
          </w:tcPr>
          <w:p>
            <w:pPr>
              <w:jc w:val="center"/>
              <w:ind w:left="410"/>
              <w:spacing w:after="0" w:line="169" w:lineRule="exact"/>
              <w:rPr>
                <w:sz w:val="20"/>
                <w:szCs w:val="20"/>
                <w:color w:val="auto"/>
              </w:rPr>
            </w:pPr>
            <w:r>
              <w:rPr>
                <w:rFonts w:ascii="Times New Roman" w:cs="Times New Roman" w:eastAsia="Times New Roman" w:hAnsi="Times New Roman"/>
                <w:sz w:val="18"/>
                <w:szCs w:val="18"/>
                <w:b w:val="1"/>
                <w:bCs w:val="1"/>
                <w:color w:val="0000FF"/>
                <w:w w:val="99"/>
              </w:rPr>
              <w:t>1.125%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1320" w:type="dxa"/>
            <w:vAlign w:val="bottom"/>
            <w:gridSpan w:val="11"/>
          </w:tcPr>
          <w:p>
            <w:pPr>
              <w:jc w:val="center"/>
              <w:ind w:left="410"/>
              <w:spacing w:after="0" w:line="169" w:lineRule="exact"/>
              <w:rPr>
                <w:sz w:val="20"/>
                <w:szCs w:val="20"/>
                <w:color w:val="auto"/>
              </w:rPr>
            </w:pPr>
            <w:r>
              <w:rPr>
                <w:rFonts w:ascii="Times New Roman" w:cs="Times New Roman" w:eastAsia="Times New Roman" w:hAnsi="Times New Roman"/>
                <w:sz w:val="18"/>
                <w:szCs w:val="18"/>
                <w:b w:val="1"/>
                <w:bCs w:val="1"/>
                <w:color w:val="0000FF"/>
                <w:w w:val="99"/>
              </w:rPr>
              <w:t>0.125%</w:t>
            </w:r>
          </w:p>
        </w:tc>
        <w:tc>
          <w:tcPr>
            <w:tcW w:w="6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tcBorders>
              <w:left w:val="single" w:sz="8" w:color="010101"/>
              <w:bottom w:val="single" w:sz="8" w:color="010101"/>
              <w:right w:val="single" w:sz="8" w:color="010101"/>
            </w:tcBorders>
          </w:tcPr>
          <w:p>
            <w:pPr>
              <w:spacing w:after="0"/>
              <w:rPr>
                <w:sz w:val="17"/>
                <w:szCs w:val="17"/>
                <w:color w:val="auto"/>
              </w:rPr>
            </w:pPr>
          </w:p>
        </w:tc>
        <w:tc>
          <w:tcPr>
            <w:tcW w:w="1240" w:type="dxa"/>
            <w:vAlign w:val="bottom"/>
            <w:tcBorders>
              <w:bottom w:val="single" w:sz="8" w:color="010101"/>
              <w:right w:val="single" w:sz="8" w:color="010101"/>
            </w:tcBorders>
          </w:tcPr>
          <w:p>
            <w:pPr>
              <w:spacing w:after="0"/>
              <w:rPr>
                <w:sz w:val="17"/>
                <w:szCs w:val="17"/>
                <w:color w:val="auto"/>
              </w:rPr>
            </w:pPr>
          </w:p>
        </w:tc>
        <w:tc>
          <w:tcPr>
            <w:tcW w:w="42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440" w:type="dxa"/>
            <w:vAlign w:val="bottom"/>
            <w:tcBorders>
              <w:bottom w:val="single" w:sz="8" w:color="010101"/>
              <w:right w:val="single" w:sz="8" w:color="010101"/>
            </w:tcBorders>
          </w:tcPr>
          <w:p>
            <w:pPr>
              <w:spacing w:after="0"/>
              <w:rPr>
                <w:sz w:val="17"/>
                <w:szCs w:val="17"/>
                <w:color w:val="auto"/>
              </w:rPr>
            </w:pPr>
          </w:p>
        </w:tc>
        <w:tc>
          <w:tcPr>
            <w:tcW w:w="5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580" w:type="dxa"/>
            <w:vAlign w:val="bottom"/>
            <w:tcBorders>
              <w:bottom w:val="single" w:sz="8" w:color="010101"/>
              <w:right w:val="single" w:sz="8" w:color="010101"/>
            </w:tcBorders>
          </w:tcPr>
          <w:p>
            <w:pPr>
              <w:spacing w:after="0"/>
              <w:rPr>
                <w:sz w:val="17"/>
                <w:szCs w:val="17"/>
                <w:color w:val="auto"/>
              </w:rPr>
            </w:pPr>
          </w:p>
        </w:tc>
        <w:tc>
          <w:tcPr>
            <w:tcW w:w="4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80" w:type="dxa"/>
            <w:vAlign w:val="bottom"/>
            <w:tcBorders>
              <w:bottom w:val="single" w:sz="8" w:color="010101"/>
            </w:tcBorders>
          </w:tcPr>
          <w:p>
            <w:pPr>
              <w:spacing w:after="0"/>
              <w:rPr>
                <w:sz w:val="17"/>
                <w:szCs w:val="17"/>
                <w:color w:val="auto"/>
              </w:rPr>
            </w:pPr>
          </w:p>
        </w:tc>
        <w:tc>
          <w:tcPr>
            <w:tcW w:w="22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010101"/>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Level IV</w:t>
            </w:r>
          </w:p>
        </w:tc>
        <w:tc>
          <w:tcPr>
            <w:tcW w:w="1240" w:type="dxa"/>
            <w:vAlign w:val="bottom"/>
            <w:tcBorders>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0.15%</w:t>
            </w:r>
          </w:p>
        </w:tc>
        <w:tc>
          <w:tcPr>
            <w:tcW w:w="1460" w:type="dxa"/>
            <w:vAlign w:val="bottom"/>
            <w:gridSpan w:val="4"/>
          </w:tcPr>
          <w:p>
            <w:pPr>
              <w:jc w:val="center"/>
              <w:ind w:left="330"/>
              <w:spacing w:after="0" w:line="169" w:lineRule="exact"/>
              <w:rPr>
                <w:sz w:val="20"/>
                <w:szCs w:val="20"/>
                <w:color w:val="auto"/>
              </w:rPr>
            </w:pPr>
            <w:r>
              <w:rPr>
                <w:rFonts w:ascii="Times New Roman" w:cs="Times New Roman" w:eastAsia="Times New Roman" w:hAnsi="Times New Roman"/>
                <w:sz w:val="18"/>
                <w:szCs w:val="18"/>
                <w:color w:val="auto"/>
              </w:rPr>
              <w:t>1.225%</w:t>
            </w:r>
          </w:p>
        </w:tc>
        <w:tc>
          <w:tcPr>
            <w:tcW w:w="440" w:type="dxa"/>
            <w:vAlign w:val="bottom"/>
            <w:tcBorders>
              <w:right w:val="single" w:sz="8" w:color="010101"/>
            </w:tcBorders>
          </w:tcPr>
          <w:p>
            <w:pPr>
              <w:spacing w:after="0"/>
              <w:rPr>
                <w:sz w:val="14"/>
                <w:szCs w:val="14"/>
                <w:color w:val="auto"/>
              </w:rPr>
            </w:pPr>
          </w:p>
        </w:tc>
        <w:tc>
          <w:tcPr>
            <w:tcW w:w="1600" w:type="dxa"/>
            <w:vAlign w:val="bottom"/>
            <w:gridSpan w:val="4"/>
          </w:tcPr>
          <w:p>
            <w:pPr>
              <w:jc w:val="center"/>
              <w:ind w:left="470"/>
              <w:spacing w:after="0" w:line="169" w:lineRule="exact"/>
              <w:rPr>
                <w:sz w:val="20"/>
                <w:szCs w:val="20"/>
                <w:color w:val="auto"/>
              </w:rPr>
            </w:pPr>
            <w:r>
              <w:rPr>
                <w:rFonts w:ascii="Times New Roman" w:cs="Times New Roman" w:eastAsia="Times New Roman" w:hAnsi="Times New Roman"/>
                <w:sz w:val="18"/>
                <w:szCs w:val="18"/>
                <w:color w:val="auto"/>
              </w:rPr>
              <w:t>0.225%</w:t>
            </w:r>
          </w:p>
        </w:tc>
        <w:tc>
          <w:tcPr>
            <w:tcW w:w="580" w:type="dxa"/>
            <w:vAlign w:val="bottom"/>
            <w:tcBorders>
              <w:right w:val="single" w:sz="8" w:color="010101"/>
            </w:tcBorders>
          </w:tcPr>
          <w:p>
            <w:pPr>
              <w:spacing w:after="0"/>
              <w:rPr>
                <w:sz w:val="14"/>
                <w:szCs w:val="14"/>
                <w:color w:val="auto"/>
              </w:rPr>
            </w:pPr>
          </w:p>
        </w:tc>
        <w:tc>
          <w:tcPr>
            <w:tcW w:w="1260" w:type="dxa"/>
            <w:vAlign w:val="bottom"/>
            <w:gridSpan w:val="12"/>
          </w:tcPr>
          <w:p>
            <w:pPr>
              <w:jc w:val="center"/>
              <w:ind w:left="590"/>
              <w:spacing w:after="0" w:line="169" w:lineRule="exact"/>
              <w:rPr>
                <w:sz w:val="20"/>
                <w:szCs w:val="20"/>
                <w:color w:val="auto"/>
              </w:rPr>
            </w:pPr>
            <w:r>
              <w:rPr>
                <w:rFonts w:ascii="Times New Roman" w:cs="Times New Roman" w:eastAsia="Times New Roman" w:hAnsi="Times New Roman"/>
                <w:sz w:val="18"/>
                <w:szCs w:val="18"/>
                <w:b w:val="1"/>
                <w:bCs w:val="1"/>
                <w:color w:val="0000FF"/>
              </w:rPr>
              <w:t>1.25%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1200" w:type="dxa"/>
            <w:vAlign w:val="bottom"/>
            <w:gridSpan w:val="10"/>
          </w:tcPr>
          <w:p>
            <w:pPr>
              <w:jc w:val="center"/>
              <w:ind w:left="530"/>
              <w:spacing w:after="0" w:line="169" w:lineRule="exact"/>
              <w:rPr>
                <w:sz w:val="20"/>
                <w:szCs w:val="20"/>
                <w:color w:val="auto"/>
              </w:rPr>
            </w:pPr>
            <w:r>
              <w:rPr>
                <w:rFonts w:ascii="Times New Roman" w:cs="Times New Roman" w:eastAsia="Times New Roman" w:hAnsi="Times New Roman"/>
                <w:sz w:val="18"/>
                <w:szCs w:val="18"/>
                <w:b w:val="1"/>
                <w:bCs w:val="1"/>
                <w:color w:val="0000FF"/>
              </w:rPr>
              <w:t>0.25%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tcBorders>
              <w:left w:val="single" w:sz="8" w:color="010101"/>
              <w:bottom w:val="single" w:sz="8" w:color="010101"/>
              <w:right w:val="single" w:sz="8" w:color="010101"/>
            </w:tcBorders>
          </w:tcPr>
          <w:p>
            <w:pPr>
              <w:spacing w:after="0"/>
              <w:rPr>
                <w:sz w:val="17"/>
                <w:szCs w:val="17"/>
                <w:color w:val="auto"/>
              </w:rPr>
            </w:pPr>
          </w:p>
        </w:tc>
        <w:tc>
          <w:tcPr>
            <w:tcW w:w="1240" w:type="dxa"/>
            <w:vAlign w:val="bottom"/>
            <w:tcBorders>
              <w:bottom w:val="single" w:sz="8" w:color="010101"/>
              <w:right w:val="single" w:sz="8" w:color="010101"/>
            </w:tcBorders>
          </w:tcPr>
          <w:p>
            <w:pPr>
              <w:spacing w:after="0"/>
              <w:rPr>
                <w:sz w:val="17"/>
                <w:szCs w:val="17"/>
                <w:color w:val="auto"/>
              </w:rPr>
            </w:pPr>
          </w:p>
        </w:tc>
        <w:tc>
          <w:tcPr>
            <w:tcW w:w="42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440" w:type="dxa"/>
            <w:vAlign w:val="bottom"/>
            <w:tcBorders>
              <w:bottom w:val="single" w:sz="8" w:color="010101"/>
              <w:right w:val="single" w:sz="8" w:color="010101"/>
            </w:tcBorders>
          </w:tcPr>
          <w:p>
            <w:pPr>
              <w:spacing w:after="0"/>
              <w:rPr>
                <w:sz w:val="17"/>
                <w:szCs w:val="17"/>
                <w:color w:val="auto"/>
              </w:rPr>
            </w:pPr>
          </w:p>
        </w:tc>
        <w:tc>
          <w:tcPr>
            <w:tcW w:w="5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580" w:type="dxa"/>
            <w:vAlign w:val="bottom"/>
            <w:tcBorders>
              <w:bottom w:val="single" w:sz="8" w:color="010101"/>
              <w:right w:val="single" w:sz="8" w:color="010101"/>
            </w:tcBorders>
          </w:tcPr>
          <w:p>
            <w:pPr>
              <w:spacing w:after="0"/>
              <w:rPr>
                <w:sz w:val="17"/>
                <w:szCs w:val="17"/>
                <w:color w:val="auto"/>
              </w:rPr>
            </w:pPr>
          </w:p>
        </w:tc>
        <w:tc>
          <w:tcPr>
            <w:tcW w:w="4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80" w:type="dxa"/>
            <w:vAlign w:val="bottom"/>
            <w:tcBorders>
              <w:bottom w:val="single" w:sz="8" w:color="010101"/>
            </w:tcBorders>
          </w:tcPr>
          <w:p>
            <w:pPr>
              <w:spacing w:after="0"/>
              <w:rPr>
                <w:sz w:val="17"/>
                <w:szCs w:val="17"/>
                <w:color w:val="auto"/>
              </w:rPr>
            </w:pPr>
          </w:p>
        </w:tc>
        <w:tc>
          <w:tcPr>
            <w:tcW w:w="22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010101"/>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Level V</w:t>
            </w:r>
          </w:p>
        </w:tc>
        <w:tc>
          <w:tcPr>
            <w:tcW w:w="1240" w:type="dxa"/>
            <w:vAlign w:val="bottom"/>
            <w:tcBorders>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0.20%</w:t>
            </w:r>
          </w:p>
        </w:tc>
        <w:tc>
          <w:tcPr>
            <w:tcW w:w="1460" w:type="dxa"/>
            <w:vAlign w:val="bottom"/>
            <w:gridSpan w:val="4"/>
          </w:tcPr>
          <w:p>
            <w:pPr>
              <w:jc w:val="center"/>
              <w:ind w:left="330"/>
              <w:spacing w:after="0" w:line="169" w:lineRule="exact"/>
              <w:rPr>
                <w:sz w:val="20"/>
                <w:szCs w:val="20"/>
                <w:color w:val="auto"/>
              </w:rPr>
            </w:pPr>
            <w:r>
              <w:rPr>
                <w:rFonts w:ascii="Times New Roman" w:cs="Times New Roman" w:eastAsia="Times New Roman" w:hAnsi="Times New Roman"/>
                <w:sz w:val="18"/>
                <w:szCs w:val="18"/>
                <w:color w:val="auto"/>
              </w:rPr>
              <w:t>1.425%</w:t>
            </w:r>
          </w:p>
        </w:tc>
        <w:tc>
          <w:tcPr>
            <w:tcW w:w="440" w:type="dxa"/>
            <w:vAlign w:val="bottom"/>
            <w:tcBorders>
              <w:right w:val="single" w:sz="8" w:color="010101"/>
            </w:tcBorders>
          </w:tcPr>
          <w:p>
            <w:pPr>
              <w:spacing w:after="0"/>
              <w:rPr>
                <w:sz w:val="14"/>
                <w:szCs w:val="14"/>
                <w:color w:val="auto"/>
              </w:rPr>
            </w:pPr>
          </w:p>
        </w:tc>
        <w:tc>
          <w:tcPr>
            <w:tcW w:w="1600" w:type="dxa"/>
            <w:vAlign w:val="bottom"/>
            <w:gridSpan w:val="4"/>
          </w:tcPr>
          <w:p>
            <w:pPr>
              <w:jc w:val="center"/>
              <w:ind w:left="470"/>
              <w:spacing w:after="0" w:line="169" w:lineRule="exact"/>
              <w:rPr>
                <w:sz w:val="20"/>
                <w:szCs w:val="20"/>
                <w:color w:val="auto"/>
              </w:rPr>
            </w:pPr>
            <w:r>
              <w:rPr>
                <w:rFonts w:ascii="Times New Roman" w:cs="Times New Roman" w:eastAsia="Times New Roman" w:hAnsi="Times New Roman"/>
                <w:sz w:val="18"/>
                <w:szCs w:val="18"/>
                <w:color w:val="auto"/>
              </w:rPr>
              <w:t>0.425%</w:t>
            </w:r>
          </w:p>
        </w:tc>
        <w:tc>
          <w:tcPr>
            <w:tcW w:w="580" w:type="dxa"/>
            <w:vAlign w:val="bottom"/>
            <w:tcBorders>
              <w:right w:val="single" w:sz="8" w:color="010101"/>
            </w:tcBorders>
          </w:tcPr>
          <w:p>
            <w:pPr>
              <w:spacing w:after="0"/>
              <w:rPr>
                <w:sz w:val="14"/>
                <w:szCs w:val="14"/>
                <w:color w:val="auto"/>
              </w:rPr>
            </w:pPr>
          </w:p>
        </w:tc>
        <w:tc>
          <w:tcPr>
            <w:tcW w:w="1260" w:type="dxa"/>
            <w:vAlign w:val="bottom"/>
            <w:gridSpan w:val="12"/>
          </w:tcPr>
          <w:p>
            <w:pPr>
              <w:jc w:val="center"/>
              <w:ind w:left="590"/>
              <w:spacing w:after="0" w:line="169" w:lineRule="exact"/>
              <w:rPr>
                <w:sz w:val="20"/>
                <w:szCs w:val="20"/>
                <w:color w:val="auto"/>
              </w:rPr>
            </w:pPr>
            <w:r>
              <w:rPr>
                <w:rFonts w:ascii="Times New Roman" w:cs="Times New Roman" w:eastAsia="Times New Roman" w:hAnsi="Times New Roman"/>
                <w:sz w:val="18"/>
                <w:szCs w:val="18"/>
                <w:b w:val="1"/>
                <w:bCs w:val="1"/>
                <w:color w:val="0000FF"/>
              </w:rPr>
              <w:t>1.50%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1200" w:type="dxa"/>
            <w:vAlign w:val="bottom"/>
            <w:gridSpan w:val="10"/>
          </w:tcPr>
          <w:p>
            <w:pPr>
              <w:jc w:val="center"/>
              <w:ind w:left="530"/>
              <w:spacing w:after="0" w:line="169" w:lineRule="exact"/>
              <w:rPr>
                <w:sz w:val="20"/>
                <w:szCs w:val="20"/>
                <w:color w:val="auto"/>
              </w:rPr>
            </w:pPr>
            <w:r>
              <w:rPr>
                <w:rFonts w:ascii="Times New Roman" w:cs="Times New Roman" w:eastAsia="Times New Roman" w:hAnsi="Times New Roman"/>
                <w:sz w:val="18"/>
                <w:szCs w:val="18"/>
                <w:b w:val="1"/>
                <w:bCs w:val="1"/>
                <w:color w:val="0000FF"/>
              </w:rPr>
              <w:t>0.50%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10101"/>
              <w:right w:val="single" w:sz="8" w:color="010101"/>
            </w:tcBorders>
          </w:tcPr>
          <w:p>
            <w:pPr>
              <w:spacing w:after="0" w:line="20" w:lineRule="exact"/>
              <w:rPr>
                <w:sz w:val="1"/>
                <w:szCs w:val="1"/>
                <w:color w:val="auto"/>
              </w:rPr>
            </w:pPr>
          </w:p>
        </w:tc>
        <w:tc>
          <w:tcPr>
            <w:tcW w:w="1240" w:type="dxa"/>
            <w:vAlign w:val="bottom"/>
            <w:tcBorders>
              <w:righ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10101"/>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1010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80" w:type="dxa"/>
            <w:vAlign w:val="bottom"/>
            <w:tcBorders>
              <w:left w:val="single" w:sz="8" w:color="010101"/>
              <w:bottom w:val="single" w:sz="8" w:color="010101"/>
              <w:right w:val="single" w:sz="8" w:color="010101"/>
            </w:tcBorders>
          </w:tcPr>
          <w:p>
            <w:pPr>
              <w:spacing w:after="0"/>
              <w:rPr>
                <w:sz w:val="17"/>
                <w:szCs w:val="17"/>
                <w:color w:val="auto"/>
              </w:rPr>
            </w:pPr>
          </w:p>
        </w:tc>
        <w:tc>
          <w:tcPr>
            <w:tcW w:w="1240" w:type="dxa"/>
            <w:vAlign w:val="bottom"/>
            <w:tcBorders>
              <w:bottom w:val="single" w:sz="8" w:color="010101"/>
              <w:right w:val="single" w:sz="8" w:color="010101"/>
            </w:tcBorders>
          </w:tcPr>
          <w:p>
            <w:pPr>
              <w:spacing w:after="0"/>
              <w:rPr>
                <w:sz w:val="17"/>
                <w:szCs w:val="17"/>
                <w:color w:val="auto"/>
              </w:rPr>
            </w:pPr>
          </w:p>
        </w:tc>
        <w:tc>
          <w:tcPr>
            <w:tcW w:w="42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440" w:type="dxa"/>
            <w:vAlign w:val="bottom"/>
            <w:tcBorders>
              <w:bottom w:val="single" w:sz="8" w:color="010101"/>
              <w:right w:val="single" w:sz="8" w:color="010101"/>
            </w:tcBorders>
          </w:tcPr>
          <w:p>
            <w:pPr>
              <w:spacing w:after="0"/>
              <w:rPr>
                <w:sz w:val="17"/>
                <w:szCs w:val="17"/>
                <w:color w:val="auto"/>
              </w:rPr>
            </w:pPr>
          </w:p>
        </w:tc>
        <w:tc>
          <w:tcPr>
            <w:tcW w:w="5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300" w:type="dxa"/>
            <w:vAlign w:val="bottom"/>
            <w:tcBorders>
              <w:bottom w:val="single" w:sz="8" w:color="010101"/>
            </w:tcBorders>
          </w:tcPr>
          <w:p>
            <w:pPr>
              <w:spacing w:after="0"/>
              <w:rPr>
                <w:sz w:val="17"/>
                <w:szCs w:val="17"/>
                <w:color w:val="auto"/>
              </w:rPr>
            </w:pPr>
          </w:p>
        </w:tc>
        <w:tc>
          <w:tcPr>
            <w:tcW w:w="580" w:type="dxa"/>
            <w:vAlign w:val="bottom"/>
            <w:tcBorders>
              <w:bottom w:val="single" w:sz="8" w:color="010101"/>
              <w:right w:val="single" w:sz="8" w:color="010101"/>
            </w:tcBorders>
          </w:tcPr>
          <w:p>
            <w:pPr>
              <w:spacing w:after="0"/>
              <w:rPr>
                <w:sz w:val="17"/>
                <w:szCs w:val="17"/>
                <w:color w:val="auto"/>
              </w:rPr>
            </w:pPr>
          </w:p>
        </w:tc>
        <w:tc>
          <w:tcPr>
            <w:tcW w:w="4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80" w:type="dxa"/>
            <w:vAlign w:val="bottom"/>
            <w:tcBorders>
              <w:bottom w:val="single" w:sz="8" w:color="010101"/>
            </w:tcBorders>
          </w:tcPr>
          <w:p>
            <w:pPr>
              <w:spacing w:after="0"/>
              <w:rPr>
                <w:sz w:val="17"/>
                <w:szCs w:val="17"/>
                <w:color w:val="auto"/>
              </w:rPr>
            </w:pPr>
          </w:p>
        </w:tc>
        <w:tc>
          <w:tcPr>
            <w:tcW w:w="22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8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12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50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hereof: (i) Pricing Level I, Leverage Level 1 and Ratings Level A are equivalent and correspond to each other, (ii) Pricing Level II, Leverage Level 2 and Ratings Level B are equivalent and correspond to each other, (iii) Pricing Level III, Leverage Level 3 and Ratings Level C are equivalent and correspond to each other, (iv) Pricing Level IV, Leverage Level 4 and Ratings Level D are equivalent and correspond to each other and (v) Pricing Level V, Leverage Level 5 and Ratings Level E are equivalent and correspond to each other.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At any time of determination, the Pricing Level shall be determined by reference to the Leverage Level or the Ratings Level, as the Company shall from time to time elect by written notice to the Administrative Agent, and any change in Pricing Level resulting from such election by the Company shall be effected as promptly as practicable by the Administrative Agent after receiving such written election from the Company. Notwithstanding anything to the contrary set forth in this definition, it is understood and agreed that Pricing Level III shall be deemed to be applicable from the </w:t>
      </w:r>
      <w:r>
        <w:rPr>
          <w:rFonts w:ascii="Times New Roman" w:cs="Times New Roman" w:eastAsia="Times New Roman" w:hAnsi="Times New Roman"/>
          <w:sz w:val="18"/>
          <w:szCs w:val="18"/>
          <w:b w:val="1"/>
          <w:bCs w:val="1"/>
          <w:u w:val="single" w:color="auto"/>
          <w:color w:val="0000FF"/>
        </w:rPr>
        <w:t>Amendment No. 1</w:t>
      </w:r>
      <w:r>
        <w:rPr>
          <w:rFonts w:ascii="Times New Roman" w:cs="Times New Roman" w:eastAsia="Times New Roman" w:hAnsi="Times New Roman"/>
          <w:sz w:val="18"/>
          <w:szCs w:val="18"/>
          <w:color w:val="auto"/>
        </w:rPr>
        <w:t xml:space="preserve"> Effective Date until the Administrative Agent’s receipt of the financial statements and related compliance certificate for the Parent’s first fiscal quarter ending after the </w:t>
      </w:r>
      <w:r>
        <w:rPr>
          <w:rFonts w:ascii="Times New Roman" w:cs="Times New Roman" w:eastAsia="Times New Roman" w:hAnsi="Times New Roman"/>
          <w:sz w:val="18"/>
          <w:szCs w:val="18"/>
          <w:b w:val="1"/>
          <w:bCs w:val="1"/>
          <w:u w:val="single" w:color="auto"/>
          <w:color w:val="0000FF"/>
        </w:rPr>
        <w:t>Amendment No. 1</w:t>
      </w:r>
      <w:r>
        <w:rPr>
          <w:rFonts w:ascii="Times New Roman" w:cs="Times New Roman" w:eastAsia="Times New Roman" w:hAnsi="Times New Roman"/>
          <w:sz w:val="18"/>
          <w:szCs w:val="18"/>
          <w:color w:val="auto"/>
        </w:rPr>
        <w:t xml:space="preserve"> Effective Date (it being understood and agreed that the Company shall not be permitted to elect pricing by reference to the Ratings Level until such receipt by the Administrative Agent of such financial statements and compliance certificate), and adjustments to the Pricing Level then in effect shall thereafter be effected in accordance with the terms of this definition.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tbl>
      <w:tblPr>
        <w:tblLayout w:type="fixed"/>
        <w:tblInd w:w="283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Leverage Level Determination</w:t>
            </w:r>
          </w:p>
        </w:tc>
      </w:tr>
      <w:tr>
        <w:trPr>
          <w:trHeight w:val="237"/>
        </w:trPr>
        <w:tc>
          <w:tcPr>
            <w:tcW w:w="1700" w:type="dxa"/>
            <w:vAlign w:val="bottom"/>
            <w:tcBorders>
              <w:bottom w:val="single" w:sz="8" w:color="010101"/>
            </w:tcBorders>
          </w:tcPr>
          <w:p>
            <w:pPr>
              <w:spacing w:after="0"/>
              <w:rPr>
                <w:sz w:val="20"/>
                <w:szCs w:val="20"/>
                <w:color w:val="auto"/>
              </w:rPr>
            </w:pPr>
          </w:p>
        </w:tc>
        <w:tc>
          <w:tcPr>
            <w:tcW w:w="400" w:type="dxa"/>
            <w:vAlign w:val="bottom"/>
            <w:tcBorders>
              <w:top w:val="single" w:sz="8" w:color="auto"/>
              <w:bottom w:val="single" w:sz="8" w:color="010101"/>
            </w:tcBorders>
          </w:tcPr>
          <w:p>
            <w:pPr>
              <w:spacing w:after="0"/>
              <w:rPr>
                <w:sz w:val="20"/>
                <w:szCs w:val="20"/>
                <w:color w:val="auto"/>
              </w:rPr>
            </w:pPr>
          </w:p>
        </w:tc>
        <w:tc>
          <w:tcPr>
            <w:tcW w:w="1800" w:type="dxa"/>
            <w:vAlign w:val="bottom"/>
            <w:tcBorders>
              <w:top w:val="single" w:sz="8" w:color="auto"/>
              <w:bottom w:val="single" w:sz="8" w:color="010101"/>
            </w:tcBorders>
          </w:tcPr>
          <w:p>
            <w:pPr>
              <w:spacing w:after="0"/>
              <w:rPr>
                <w:sz w:val="20"/>
                <w:szCs w:val="20"/>
                <w:color w:val="auto"/>
              </w:rPr>
            </w:pPr>
          </w:p>
        </w:tc>
        <w:tc>
          <w:tcPr>
            <w:tcW w:w="1720" w:type="dxa"/>
            <w:vAlign w:val="bottom"/>
            <w:tcBorders>
              <w:bottom w:val="single" w:sz="8" w:color="010101"/>
            </w:tcBorders>
          </w:tcPr>
          <w:p>
            <w:pPr>
              <w:spacing w:after="0"/>
              <w:rPr>
                <w:sz w:val="20"/>
                <w:szCs w:val="20"/>
                <w:color w:val="auto"/>
              </w:rPr>
            </w:pPr>
          </w:p>
        </w:tc>
      </w:tr>
      <w:tr>
        <w:trPr>
          <w:trHeight w:val="228"/>
        </w:trPr>
        <w:tc>
          <w:tcPr>
            <w:tcW w:w="1700" w:type="dxa"/>
            <w:vAlign w:val="bottom"/>
            <w:tcBorders>
              <w:left w:val="single" w:sz="8" w:color="010101"/>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Leverage Level</w:t>
            </w:r>
          </w:p>
        </w:tc>
        <w:tc>
          <w:tcPr>
            <w:tcW w:w="40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Net Leverage Ratio</w:t>
            </w:r>
          </w:p>
        </w:tc>
      </w:tr>
      <w:tr>
        <w:trPr>
          <w:trHeight w:val="198"/>
        </w:trPr>
        <w:tc>
          <w:tcPr>
            <w:tcW w:w="1700" w:type="dxa"/>
            <w:vAlign w:val="bottom"/>
            <w:tcBorders>
              <w:left w:val="single" w:sz="8" w:color="010101"/>
              <w:bottom w:val="single" w:sz="8" w:color="010101"/>
            </w:tcBorders>
          </w:tcPr>
          <w:p>
            <w:pPr>
              <w:spacing w:after="0"/>
              <w:rPr>
                <w:sz w:val="17"/>
                <w:szCs w:val="17"/>
                <w:color w:val="auto"/>
              </w:rPr>
            </w:pPr>
          </w:p>
        </w:tc>
        <w:tc>
          <w:tcPr>
            <w:tcW w:w="400" w:type="dxa"/>
            <w:vAlign w:val="bottom"/>
            <w:tcBorders>
              <w:bottom w:val="single" w:sz="8" w:color="010101"/>
              <w:right w:val="single" w:sz="8" w:color="010101"/>
            </w:tcBorders>
          </w:tcPr>
          <w:p>
            <w:pPr>
              <w:spacing w:after="0"/>
              <w:rPr>
                <w:sz w:val="17"/>
                <w:szCs w:val="17"/>
                <w:color w:val="auto"/>
              </w:rPr>
            </w:pPr>
          </w:p>
        </w:tc>
        <w:tc>
          <w:tcPr>
            <w:tcW w:w="1800" w:type="dxa"/>
            <w:vAlign w:val="bottom"/>
            <w:tcBorders>
              <w:bottom w:val="single" w:sz="8" w:color="010101"/>
            </w:tcBorders>
          </w:tcPr>
          <w:p>
            <w:pPr>
              <w:spacing w:after="0"/>
              <w:rPr>
                <w:sz w:val="17"/>
                <w:szCs w:val="17"/>
                <w:color w:val="auto"/>
              </w:rPr>
            </w:pPr>
          </w:p>
        </w:tc>
        <w:tc>
          <w:tcPr>
            <w:tcW w:w="1720" w:type="dxa"/>
            <w:vAlign w:val="bottom"/>
            <w:tcBorders>
              <w:bottom w:val="single" w:sz="8" w:color="010101"/>
              <w:right w:val="single" w:sz="8" w:color="010101"/>
            </w:tcBorders>
          </w:tcPr>
          <w:p>
            <w:pPr>
              <w:spacing w:after="0"/>
              <w:rPr>
                <w:sz w:val="17"/>
                <w:szCs w:val="17"/>
                <w:color w:val="auto"/>
              </w:rPr>
            </w:pPr>
          </w:p>
        </w:tc>
      </w:tr>
      <w:tr>
        <w:trPr>
          <w:trHeight w:val="228"/>
        </w:trPr>
        <w:tc>
          <w:tcPr>
            <w:tcW w:w="1700" w:type="dxa"/>
            <w:vAlign w:val="bottom"/>
            <w:tcBorders>
              <w:left w:val="single" w:sz="8" w:color="010101"/>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Level 1</w:t>
            </w:r>
          </w:p>
        </w:tc>
        <w:tc>
          <w:tcPr>
            <w:tcW w:w="40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 0.50 to 1.00</w:t>
            </w:r>
          </w:p>
        </w:tc>
      </w:tr>
      <w:tr>
        <w:trPr>
          <w:trHeight w:val="198"/>
        </w:trPr>
        <w:tc>
          <w:tcPr>
            <w:tcW w:w="1700" w:type="dxa"/>
            <w:vAlign w:val="bottom"/>
            <w:tcBorders>
              <w:left w:val="single" w:sz="8" w:color="010101"/>
              <w:bottom w:val="single" w:sz="8" w:color="010101"/>
            </w:tcBorders>
          </w:tcPr>
          <w:p>
            <w:pPr>
              <w:spacing w:after="0"/>
              <w:rPr>
                <w:sz w:val="17"/>
                <w:szCs w:val="17"/>
                <w:color w:val="auto"/>
              </w:rPr>
            </w:pPr>
          </w:p>
        </w:tc>
        <w:tc>
          <w:tcPr>
            <w:tcW w:w="400" w:type="dxa"/>
            <w:vAlign w:val="bottom"/>
            <w:tcBorders>
              <w:bottom w:val="single" w:sz="8" w:color="010101"/>
              <w:right w:val="single" w:sz="8" w:color="010101"/>
            </w:tcBorders>
          </w:tcPr>
          <w:p>
            <w:pPr>
              <w:spacing w:after="0"/>
              <w:rPr>
                <w:sz w:val="17"/>
                <w:szCs w:val="17"/>
                <w:color w:val="auto"/>
              </w:rPr>
            </w:pPr>
          </w:p>
        </w:tc>
        <w:tc>
          <w:tcPr>
            <w:tcW w:w="1800" w:type="dxa"/>
            <w:vAlign w:val="bottom"/>
            <w:tcBorders>
              <w:bottom w:val="single" w:sz="8" w:color="010101"/>
            </w:tcBorders>
          </w:tcPr>
          <w:p>
            <w:pPr>
              <w:spacing w:after="0"/>
              <w:rPr>
                <w:sz w:val="17"/>
                <w:szCs w:val="17"/>
                <w:color w:val="auto"/>
              </w:rPr>
            </w:pPr>
          </w:p>
        </w:tc>
        <w:tc>
          <w:tcPr>
            <w:tcW w:w="1720" w:type="dxa"/>
            <w:vAlign w:val="bottom"/>
            <w:tcBorders>
              <w:bottom w:val="single" w:sz="8" w:color="010101"/>
              <w:right w:val="single" w:sz="8" w:color="010101"/>
            </w:tcBorders>
          </w:tcPr>
          <w:p>
            <w:pPr>
              <w:spacing w:after="0"/>
              <w:rPr>
                <w:sz w:val="17"/>
                <w:szCs w:val="17"/>
                <w:color w:val="auto"/>
              </w:rPr>
            </w:pPr>
          </w:p>
        </w:tc>
      </w:tr>
      <w:tr>
        <w:trPr>
          <w:trHeight w:val="191"/>
        </w:trPr>
        <w:tc>
          <w:tcPr>
            <w:tcW w:w="1700" w:type="dxa"/>
            <w:vAlign w:val="bottom"/>
            <w:tcBorders>
              <w:left w:val="single" w:sz="8" w:color="010101"/>
            </w:tcBorders>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Level 2</w:t>
            </w:r>
          </w:p>
        </w:tc>
        <w:tc>
          <w:tcPr>
            <w:tcW w:w="400" w:type="dxa"/>
            <w:vAlign w:val="bottom"/>
            <w:tcBorders>
              <w:right w:val="single" w:sz="8" w:color="010101"/>
            </w:tcBorders>
          </w:tcPr>
          <w:p>
            <w:pPr>
              <w:spacing w:after="0"/>
              <w:rPr>
                <w:sz w:val="16"/>
                <w:szCs w:val="16"/>
                <w:color w:val="auto"/>
              </w:rPr>
            </w:pPr>
          </w:p>
        </w:tc>
        <w:tc>
          <w:tcPr>
            <w:tcW w:w="3520" w:type="dxa"/>
            <w:vAlign w:val="bottom"/>
            <w:tcBorders>
              <w:right w:val="single" w:sz="8" w:color="010101"/>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&gt; 0.50 to 1.00 but</w:t>
            </w:r>
          </w:p>
        </w:tc>
      </w:tr>
      <w:tr>
        <w:trPr>
          <w:trHeight w:val="234"/>
        </w:trPr>
        <w:tc>
          <w:tcPr>
            <w:tcW w:w="1700" w:type="dxa"/>
            <w:vAlign w:val="bottom"/>
            <w:tcBorders>
              <w:left w:val="single" w:sz="8" w:color="010101"/>
              <w:bottom w:val="single" w:sz="8" w:color="010101"/>
            </w:tcBorders>
          </w:tcPr>
          <w:p>
            <w:pPr>
              <w:spacing w:after="0"/>
              <w:rPr>
                <w:sz w:val="20"/>
                <w:szCs w:val="20"/>
                <w:color w:val="auto"/>
              </w:rPr>
            </w:pPr>
          </w:p>
        </w:tc>
        <w:tc>
          <w:tcPr>
            <w:tcW w:w="400" w:type="dxa"/>
            <w:vAlign w:val="bottom"/>
            <w:tcBorders>
              <w:bottom w:val="single" w:sz="8" w:color="010101"/>
              <w:right w:val="single" w:sz="8" w:color="010101"/>
            </w:tcBorders>
          </w:tcPr>
          <w:p>
            <w:pPr>
              <w:spacing w:after="0"/>
              <w:rPr>
                <w:sz w:val="20"/>
                <w:szCs w:val="20"/>
                <w:color w:val="auto"/>
              </w:rPr>
            </w:pPr>
          </w:p>
        </w:tc>
        <w:tc>
          <w:tcPr>
            <w:tcW w:w="3520" w:type="dxa"/>
            <w:vAlign w:val="bottom"/>
            <w:tcBorders>
              <w:bottom w:val="single" w:sz="8" w:color="010101"/>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 1.00 to 1.00</w:t>
            </w:r>
          </w:p>
        </w:tc>
      </w:tr>
      <w:tr>
        <w:trPr>
          <w:trHeight w:val="191"/>
        </w:trPr>
        <w:tc>
          <w:tcPr>
            <w:tcW w:w="1700" w:type="dxa"/>
            <w:vAlign w:val="bottom"/>
            <w:tcBorders>
              <w:left w:val="single" w:sz="8" w:color="010101"/>
            </w:tcBorders>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Level 3</w:t>
            </w:r>
          </w:p>
        </w:tc>
        <w:tc>
          <w:tcPr>
            <w:tcW w:w="400" w:type="dxa"/>
            <w:vAlign w:val="bottom"/>
            <w:tcBorders>
              <w:right w:val="single" w:sz="8" w:color="010101"/>
            </w:tcBorders>
          </w:tcPr>
          <w:p>
            <w:pPr>
              <w:spacing w:after="0"/>
              <w:rPr>
                <w:sz w:val="16"/>
                <w:szCs w:val="16"/>
                <w:color w:val="auto"/>
              </w:rPr>
            </w:pPr>
          </w:p>
        </w:tc>
        <w:tc>
          <w:tcPr>
            <w:tcW w:w="3520" w:type="dxa"/>
            <w:vAlign w:val="bottom"/>
            <w:tcBorders>
              <w:right w:val="single" w:sz="8" w:color="010101"/>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&gt; 1.00 to 1.00 but</w:t>
            </w:r>
          </w:p>
        </w:tc>
      </w:tr>
      <w:tr>
        <w:trPr>
          <w:trHeight w:val="234"/>
        </w:trPr>
        <w:tc>
          <w:tcPr>
            <w:tcW w:w="1700" w:type="dxa"/>
            <w:vAlign w:val="bottom"/>
            <w:tcBorders>
              <w:left w:val="single" w:sz="8" w:color="010101"/>
              <w:bottom w:val="single" w:sz="8" w:color="010101"/>
            </w:tcBorders>
          </w:tcPr>
          <w:p>
            <w:pPr>
              <w:spacing w:after="0"/>
              <w:rPr>
                <w:sz w:val="20"/>
                <w:szCs w:val="20"/>
                <w:color w:val="auto"/>
              </w:rPr>
            </w:pPr>
          </w:p>
        </w:tc>
        <w:tc>
          <w:tcPr>
            <w:tcW w:w="400" w:type="dxa"/>
            <w:vAlign w:val="bottom"/>
            <w:tcBorders>
              <w:bottom w:val="single" w:sz="8" w:color="010101"/>
              <w:right w:val="single" w:sz="8" w:color="010101"/>
            </w:tcBorders>
          </w:tcPr>
          <w:p>
            <w:pPr>
              <w:spacing w:after="0"/>
              <w:rPr>
                <w:sz w:val="20"/>
                <w:szCs w:val="20"/>
                <w:color w:val="auto"/>
              </w:rPr>
            </w:pPr>
          </w:p>
        </w:tc>
        <w:tc>
          <w:tcPr>
            <w:tcW w:w="3520" w:type="dxa"/>
            <w:vAlign w:val="bottom"/>
            <w:tcBorders>
              <w:bottom w:val="single" w:sz="8" w:color="010101"/>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 1.75 to 1.00</w:t>
            </w:r>
          </w:p>
        </w:tc>
      </w:tr>
      <w:tr>
        <w:trPr>
          <w:trHeight w:val="191"/>
        </w:trPr>
        <w:tc>
          <w:tcPr>
            <w:tcW w:w="1700" w:type="dxa"/>
            <w:vAlign w:val="bottom"/>
            <w:tcBorders>
              <w:left w:val="single" w:sz="8" w:color="010101"/>
            </w:tcBorders>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Level 4</w:t>
            </w:r>
          </w:p>
        </w:tc>
        <w:tc>
          <w:tcPr>
            <w:tcW w:w="400" w:type="dxa"/>
            <w:vAlign w:val="bottom"/>
            <w:tcBorders>
              <w:right w:val="single" w:sz="8" w:color="010101"/>
            </w:tcBorders>
          </w:tcPr>
          <w:p>
            <w:pPr>
              <w:spacing w:after="0"/>
              <w:rPr>
                <w:sz w:val="16"/>
                <w:szCs w:val="16"/>
                <w:color w:val="auto"/>
              </w:rPr>
            </w:pPr>
          </w:p>
        </w:tc>
        <w:tc>
          <w:tcPr>
            <w:tcW w:w="3520" w:type="dxa"/>
            <w:vAlign w:val="bottom"/>
            <w:tcBorders>
              <w:right w:val="single" w:sz="8" w:color="010101"/>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rPr>
              <w:t>&gt;1.75 to 1.00 but</w:t>
            </w:r>
          </w:p>
        </w:tc>
      </w:tr>
      <w:tr>
        <w:trPr>
          <w:trHeight w:val="234"/>
        </w:trPr>
        <w:tc>
          <w:tcPr>
            <w:tcW w:w="1700" w:type="dxa"/>
            <w:vAlign w:val="bottom"/>
            <w:tcBorders>
              <w:left w:val="single" w:sz="8" w:color="010101"/>
              <w:bottom w:val="single" w:sz="8" w:color="010101"/>
            </w:tcBorders>
          </w:tcPr>
          <w:p>
            <w:pPr>
              <w:spacing w:after="0"/>
              <w:rPr>
                <w:sz w:val="20"/>
                <w:szCs w:val="20"/>
                <w:color w:val="auto"/>
              </w:rPr>
            </w:pPr>
          </w:p>
        </w:tc>
        <w:tc>
          <w:tcPr>
            <w:tcW w:w="400" w:type="dxa"/>
            <w:vAlign w:val="bottom"/>
            <w:tcBorders>
              <w:bottom w:val="single" w:sz="8" w:color="010101"/>
              <w:right w:val="single" w:sz="8" w:color="010101"/>
            </w:tcBorders>
          </w:tcPr>
          <w:p>
            <w:pPr>
              <w:spacing w:after="0"/>
              <w:rPr>
                <w:sz w:val="20"/>
                <w:szCs w:val="20"/>
                <w:color w:val="auto"/>
              </w:rPr>
            </w:pPr>
          </w:p>
        </w:tc>
        <w:tc>
          <w:tcPr>
            <w:tcW w:w="3520" w:type="dxa"/>
            <w:vAlign w:val="bottom"/>
            <w:tcBorders>
              <w:bottom w:val="single" w:sz="8" w:color="010101"/>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 2.50 to 1.00</w:t>
            </w:r>
          </w:p>
        </w:tc>
      </w:tr>
      <w:tr>
        <w:trPr>
          <w:trHeight w:val="228"/>
        </w:trPr>
        <w:tc>
          <w:tcPr>
            <w:tcW w:w="1700" w:type="dxa"/>
            <w:vAlign w:val="bottom"/>
            <w:tcBorders>
              <w:left w:val="single" w:sz="8" w:color="010101"/>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Level 5</w:t>
            </w:r>
          </w:p>
        </w:tc>
        <w:tc>
          <w:tcPr>
            <w:tcW w:w="40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&gt; 2.50 to 1.00</w:t>
            </w:r>
          </w:p>
        </w:tc>
      </w:tr>
      <w:tr>
        <w:trPr>
          <w:trHeight w:val="198"/>
        </w:trPr>
        <w:tc>
          <w:tcPr>
            <w:tcW w:w="1700" w:type="dxa"/>
            <w:vAlign w:val="bottom"/>
            <w:tcBorders>
              <w:left w:val="single" w:sz="8" w:color="010101"/>
              <w:bottom w:val="single" w:sz="8" w:color="010101"/>
            </w:tcBorders>
          </w:tcPr>
          <w:p>
            <w:pPr>
              <w:spacing w:after="0"/>
              <w:rPr>
                <w:sz w:val="17"/>
                <w:szCs w:val="17"/>
                <w:color w:val="auto"/>
              </w:rPr>
            </w:pPr>
          </w:p>
        </w:tc>
        <w:tc>
          <w:tcPr>
            <w:tcW w:w="400" w:type="dxa"/>
            <w:vAlign w:val="bottom"/>
            <w:tcBorders>
              <w:bottom w:val="single" w:sz="8" w:color="010101"/>
              <w:right w:val="single" w:sz="8" w:color="010101"/>
            </w:tcBorders>
          </w:tcPr>
          <w:p>
            <w:pPr>
              <w:spacing w:after="0"/>
              <w:rPr>
                <w:sz w:val="17"/>
                <w:szCs w:val="17"/>
                <w:color w:val="auto"/>
              </w:rPr>
            </w:pPr>
          </w:p>
        </w:tc>
        <w:tc>
          <w:tcPr>
            <w:tcW w:w="1800" w:type="dxa"/>
            <w:vAlign w:val="bottom"/>
            <w:tcBorders>
              <w:bottom w:val="single" w:sz="8" w:color="010101"/>
            </w:tcBorders>
          </w:tcPr>
          <w:p>
            <w:pPr>
              <w:spacing w:after="0"/>
              <w:rPr>
                <w:sz w:val="17"/>
                <w:szCs w:val="17"/>
                <w:color w:val="auto"/>
              </w:rPr>
            </w:pPr>
          </w:p>
        </w:tc>
        <w:tc>
          <w:tcPr>
            <w:tcW w:w="1720" w:type="dxa"/>
            <w:vAlign w:val="bottom"/>
            <w:tcBorders>
              <w:bottom w:val="single" w:sz="8" w:color="010101"/>
              <w:right w:val="single" w:sz="8" w:color="010101"/>
            </w:tcBorders>
          </w:tcPr>
          <w:p>
            <w:pPr>
              <w:spacing w:after="0"/>
              <w:rPr>
                <w:sz w:val="17"/>
                <w:szCs w:val="17"/>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at any time the Parent fails to deliver the quarterly or annual financial statements or related compliance certificates required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on or before the date such statements or certificates are due, Leverage Level 5 shall be deemed applicable for the period commencing three (3) Business Days after such required date of delivery and ending on the date which is three (3) Business Days after such statements or certificates are actually delivered, after which the Leverage Level shall be determined in accordance with this definition.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 statements and certificates (it being understood and agreed that each change in Leverage Level shall apply during the period commencing on the effective date of such change and ending on the date immediately preceding the effective date of the next such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96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color w:val="auto"/>
                <w:w w:val="99"/>
              </w:rPr>
              <w:t>Ratings Level Determination</w:t>
            </w:r>
          </w:p>
        </w:tc>
        <w:tc>
          <w:tcPr>
            <w:tcW w:w="2800" w:type="dxa"/>
            <w:vAlign w:val="bottom"/>
          </w:tcPr>
          <w:p>
            <w:pPr>
              <w:spacing w:after="0"/>
              <w:rPr>
                <w:sz w:val="17"/>
                <w:szCs w:val="17"/>
                <w:color w:val="auto"/>
              </w:rPr>
            </w:pPr>
          </w:p>
        </w:tc>
      </w:tr>
      <w:tr>
        <w:trPr>
          <w:trHeight w:val="237"/>
        </w:trPr>
        <w:tc>
          <w:tcPr>
            <w:tcW w:w="2840" w:type="dxa"/>
            <w:vAlign w:val="bottom"/>
          </w:tcPr>
          <w:p>
            <w:pPr>
              <w:spacing w:after="0"/>
              <w:rPr>
                <w:sz w:val="20"/>
                <w:szCs w:val="20"/>
                <w:color w:val="auto"/>
              </w:rPr>
            </w:pPr>
          </w:p>
        </w:tc>
        <w:tc>
          <w:tcPr>
            <w:tcW w:w="1640" w:type="dxa"/>
            <w:vAlign w:val="bottom"/>
            <w:tcBorders>
              <w:bottom w:val="single" w:sz="8" w:color="010101"/>
            </w:tcBorders>
          </w:tcPr>
          <w:p>
            <w:pPr>
              <w:spacing w:after="0"/>
              <w:rPr>
                <w:sz w:val="20"/>
                <w:szCs w:val="20"/>
                <w:color w:val="auto"/>
              </w:rPr>
            </w:pPr>
          </w:p>
        </w:tc>
        <w:tc>
          <w:tcPr>
            <w:tcW w:w="100" w:type="dxa"/>
            <w:vAlign w:val="bottom"/>
            <w:tcBorders>
              <w:bottom w:val="single" w:sz="8" w:color="010101"/>
            </w:tcBorders>
          </w:tcPr>
          <w:p>
            <w:pPr>
              <w:spacing w:after="0"/>
              <w:rPr>
                <w:sz w:val="20"/>
                <w:szCs w:val="20"/>
                <w:color w:val="auto"/>
              </w:rPr>
            </w:pPr>
          </w:p>
        </w:tc>
        <w:tc>
          <w:tcPr>
            <w:tcW w:w="340" w:type="dxa"/>
            <w:vAlign w:val="bottom"/>
            <w:tcBorders>
              <w:top w:val="single" w:sz="8" w:color="auto"/>
              <w:bottom w:val="single" w:sz="8" w:color="010101"/>
            </w:tcBorders>
          </w:tcPr>
          <w:p>
            <w:pPr>
              <w:spacing w:after="0"/>
              <w:rPr>
                <w:sz w:val="20"/>
                <w:szCs w:val="20"/>
                <w:color w:val="auto"/>
              </w:rPr>
            </w:pPr>
          </w:p>
        </w:tc>
        <w:tc>
          <w:tcPr>
            <w:tcW w:w="1740" w:type="dxa"/>
            <w:vAlign w:val="bottom"/>
            <w:tcBorders>
              <w:top w:val="single" w:sz="8" w:color="auto"/>
              <w:bottom w:val="single" w:sz="8" w:color="010101"/>
            </w:tcBorders>
          </w:tcPr>
          <w:p>
            <w:pPr>
              <w:spacing w:after="0"/>
              <w:rPr>
                <w:sz w:val="20"/>
                <w:szCs w:val="20"/>
                <w:color w:val="auto"/>
              </w:rPr>
            </w:pPr>
          </w:p>
        </w:tc>
        <w:tc>
          <w:tcPr>
            <w:tcW w:w="1780" w:type="dxa"/>
            <w:vAlign w:val="bottom"/>
            <w:tcBorders>
              <w:bottom w:val="single" w:sz="8" w:color="010101"/>
            </w:tcBorders>
          </w:tcPr>
          <w:p>
            <w:pPr>
              <w:spacing w:after="0"/>
              <w:rPr>
                <w:sz w:val="20"/>
                <w:szCs w:val="20"/>
                <w:color w:val="auto"/>
              </w:rPr>
            </w:pPr>
          </w:p>
        </w:tc>
        <w:tc>
          <w:tcPr>
            <w:tcW w:w="2800" w:type="dxa"/>
            <w:vAlign w:val="bottom"/>
          </w:tcPr>
          <w:p>
            <w:pPr>
              <w:spacing w:after="0"/>
              <w:rPr>
                <w:sz w:val="20"/>
                <w:szCs w:val="20"/>
                <w:color w:val="auto"/>
              </w:rPr>
            </w:pPr>
          </w:p>
        </w:tc>
      </w:tr>
      <w:tr>
        <w:trPr>
          <w:trHeight w:val="191"/>
        </w:trPr>
        <w:tc>
          <w:tcPr>
            <w:tcW w:w="2840" w:type="dxa"/>
            <w:vAlign w:val="bottom"/>
            <w:tcBorders>
              <w:right w:val="single" w:sz="8" w:color="010101"/>
            </w:tcBorders>
          </w:tcPr>
          <w:p>
            <w:pPr>
              <w:spacing w:after="0"/>
              <w:rPr>
                <w:sz w:val="16"/>
                <w:szCs w:val="16"/>
                <w:color w:val="auto"/>
              </w:rPr>
            </w:pPr>
          </w:p>
        </w:tc>
        <w:tc>
          <w:tcPr>
            <w:tcW w:w="1640" w:type="dxa"/>
            <w:vAlign w:val="bottom"/>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Ratings Level</w:t>
            </w:r>
          </w:p>
        </w:tc>
        <w:tc>
          <w:tcPr>
            <w:tcW w:w="100" w:type="dxa"/>
            <w:vAlign w:val="bottom"/>
          </w:tcPr>
          <w:p>
            <w:pPr>
              <w:spacing w:after="0"/>
              <w:rPr>
                <w:sz w:val="16"/>
                <w:szCs w:val="16"/>
                <w:color w:val="auto"/>
              </w:rPr>
            </w:pPr>
          </w:p>
        </w:tc>
        <w:tc>
          <w:tcPr>
            <w:tcW w:w="340" w:type="dxa"/>
            <w:vAlign w:val="bottom"/>
            <w:tcBorders>
              <w:right w:val="single" w:sz="8" w:color="010101"/>
            </w:tcBorders>
          </w:tcPr>
          <w:p>
            <w:pPr>
              <w:spacing w:after="0"/>
              <w:rPr>
                <w:sz w:val="16"/>
                <w:szCs w:val="16"/>
                <w:color w:val="auto"/>
              </w:rPr>
            </w:pPr>
          </w:p>
        </w:tc>
        <w:tc>
          <w:tcPr>
            <w:tcW w:w="3520" w:type="dxa"/>
            <w:vAlign w:val="bottom"/>
            <w:tcBorders>
              <w:right w:val="single" w:sz="8" w:color="010101"/>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Public Debt Ratings</w:t>
            </w:r>
          </w:p>
        </w:tc>
        <w:tc>
          <w:tcPr>
            <w:tcW w:w="2800" w:type="dxa"/>
            <w:vAlign w:val="bottom"/>
          </w:tcPr>
          <w:p>
            <w:pPr>
              <w:spacing w:after="0"/>
              <w:rPr>
                <w:sz w:val="16"/>
                <w:szCs w:val="16"/>
                <w:color w:val="auto"/>
              </w:rPr>
            </w:pPr>
          </w:p>
        </w:tc>
      </w:tr>
      <w:tr>
        <w:trPr>
          <w:trHeight w:val="234"/>
        </w:trPr>
        <w:tc>
          <w:tcPr>
            <w:tcW w:w="2840" w:type="dxa"/>
            <w:vAlign w:val="bottom"/>
            <w:tcBorders>
              <w:right w:val="single" w:sz="8" w:color="010101"/>
            </w:tcBorders>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right w:val="single" w:sz="8" w:color="010101"/>
            </w:tcBorders>
          </w:tcPr>
          <w:p>
            <w:pPr>
              <w:spacing w:after="0"/>
              <w:rPr>
                <w:sz w:val="20"/>
                <w:szCs w:val="20"/>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(S&amp;P / Moody’s / Fitch)</w:t>
            </w:r>
          </w:p>
        </w:tc>
        <w:tc>
          <w:tcPr>
            <w:tcW w:w="2800" w:type="dxa"/>
            <w:vAlign w:val="bottom"/>
          </w:tcPr>
          <w:p>
            <w:pPr>
              <w:spacing w:after="0"/>
              <w:rPr>
                <w:sz w:val="20"/>
                <w:szCs w:val="20"/>
                <w:color w:val="auto"/>
              </w:rPr>
            </w:pPr>
          </w:p>
        </w:tc>
      </w:tr>
      <w:tr>
        <w:trPr>
          <w:trHeight w:val="216"/>
        </w:trPr>
        <w:tc>
          <w:tcPr>
            <w:tcW w:w="2840" w:type="dxa"/>
            <w:vAlign w:val="bottom"/>
            <w:tcBorders>
              <w:right w:val="single" w:sz="8" w:color="010101"/>
            </w:tcBorders>
          </w:tcPr>
          <w:p>
            <w:pPr>
              <w:spacing w:after="0"/>
              <w:rPr>
                <w:sz w:val="18"/>
                <w:szCs w:val="18"/>
                <w:color w:val="auto"/>
              </w:rPr>
            </w:pPr>
          </w:p>
        </w:tc>
        <w:tc>
          <w:tcPr>
            <w:tcW w:w="1640" w:type="dxa"/>
            <w:vAlign w:val="bottom"/>
            <w:tcBorders>
              <w:bottom w:val="single" w:sz="8" w:color="010101"/>
            </w:tcBorders>
          </w:tcPr>
          <w:p>
            <w:pPr>
              <w:spacing w:after="0"/>
              <w:rPr>
                <w:sz w:val="18"/>
                <w:szCs w:val="18"/>
                <w:color w:val="auto"/>
              </w:rPr>
            </w:pPr>
          </w:p>
        </w:tc>
        <w:tc>
          <w:tcPr>
            <w:tcW w:w="100" w:type="dxa"/>
            <w:vAlign w:val="bottom"/>
            <w:tcBorders>
              <w:bottom w:val="single" w:sz="8" w:color="010101"/>
            </w:tcBorders>
          </w:tcPr>
          <w:p>
            <w:pPr>
              <w:spacing w:after="0"/>
              <w:rPr>
                <w:sz w:val="18"/>
                <w:szCs w:val="18"/>
                <w:color w:val="auto"/>
              </w:rPr>
            </w:pPr>
          </w:p>
        </w:tc>
        <w:tc>
          <w:tcPr>
            <w:tcW w:w="340" w:type="dxa"/>
            <w:vAlign w:val="bottom"/>
            <w:tcBorders>
              <w:bottom w:val="single" w:sz="8" w:color="010101"/>
              <w:right w:val="single" w:sz="8" w:color="010101"/>
            </w:tcBorders>
          </w:tcPr>
          <w:p>
            <w:pPr>
              <w:spacing w:after="0"/>
              <w:rPr>
                <w:sz w:val="18"/>
                <w:szCs w:val="18"/>
                <w:color w:val="auto"/>
              </w:rPr>
            </w:pPr>
          </w:p>
        </w:tc>
        <w:tc>
          <w:tcPr>
            <w:tcW w:w="1740" w:type="dxa"/>
            <w:vAlign w:val="bottom"/>
            <w:tcBorders>
              <w:bottom w:val="single" w:sz="8" w:color="010101"/>
            </w:tcBorders>
          </w:tcPr>
          <w:p>
            <w:pPr>
              <w:spacing w:after="0"/>
              <w:rPr>
                <w:sz w:val="18"/>
                <w:szCs w:val="18"/>
                <w:color w:val="auto"/>
              </w:rPr>
            </w:pPr>
          </w:p>
        </w:tc>
        <w:tc>
          <w:tcPr>
            <w:tcW w:w="1780" w:type="dxa"/>
            <w:vAlign w:val="bottom"/>
            <w:tcBorders>
              <w:bottom w:val="single" w:sz="8" w:color="010101"/>
              <w:right w:val="single" w:sz="8" w:color="010101"/>
            </w:tcBorders>
          </w:tcPr>
          <w:p>
            <w:pPr>
              <w:spacing w:after="0"/>
              <w:rPr>
                <w:sz w:val="18"/>
                <w:szCs w:val="18"/>
                <w:color w:val="auto"/>
              </w:rPr>
            </w:pPr>
          </w:p>
        </w:tc>
        <w:tc>
          <w:tcPr>
            <w:tcW w:w="2800" w:type="dxa"/>
            <w:vAlign w:val="bottom"/>
          </w:tcPr>
          <w:p>
            <w:pPr>
              <w:spacing w:after="0"/>
              <w:rPr>
                <w:sz w:val="18"/>
                <w:szCs w:val="18"/>
                <w:color w:val="auto"/>
              </w:rPr>
            </w:pPr>
          </w:p>
        </w:tc>
      </w:tr>
      <w:tr>
        <w:trPr>
          <w:trHeight w:val="228"/>
        </w:trPr>
        <w:tc>
          <w:tcPr>
            <w:tcW w:w="2840" w:type="dxa"/>
            <w:vAlign w:val="bottom"/>
            <w:tcBorders>
              <w:right w:val="single" w:sz="8" w:color="010101"/>
            </w:tcBorders>
          </w:tcPr>
          <w:p>
            <w:pPr>
              <w:spacing w:after="0"/>
              <w:rPr>
                <w:sz w:val="19"/>
                <w:szCs w:val="19"/>
                <w:color w:val="auto"/>
              </w:rPr>
            </w:pPr>
          </w:p>
        </w:tc>
        <w:tc>
          <w:tcPr>
            <w:tcW w:w="16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Level A</w:t>
            </w:r>
          </w:p>
        </w:tc>
        <w:tc>
          <w:tcPr>
            <w:tcW w:w="100" w:type="dxa"/>
            <w:vAlign w:val="bottom"/>
          </w:tcPr>
          <w:p>
            <w:pPr>
              <w:spacing w:after="0"/>
              <w:rPr>
                <w:sz w:val="19"/>
                <w:szCs w:val="19"/>
                <w:color w:val="auto"/>
              </w:rPr>
            </w:pPr>
          </w:p>
        </w:tc>
        <w:tc>
          <w:tcPr>
            <w:tcW w:w="34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 / A3 / A- or higher</w:t>
            </w:r>
          </w:p>
        </w:tc>
        <w:tc>
          <w:tcPr>
            <w:tcW w:w="2800" w:type="dxa"/>
            <w:vAlign w:val="bottom"/>
          </w:tcPr>
          <w:p>
            <w:pPr>
              <w:spacing w:after="0"/>
              <w:rPr>
                <w:sz w:val="19"/>
                <w:szCs w:val="19"/>
                <w:color w:val="auto"/>
              </w:rPr>
            </w:pPr>
          </w:p>
        </w:tc>
      </w:tr>
      <w:tr>
        <w:trPr>
          <w:trHeight w:val="198"/>
        </w:trPr>
        <w:tc>
          <w:tcPr>
            <w:tcW w:w="2840" w:type="dxa"/>
            <w:vAlign w:val="bottom"/>
            <w:tcBorders>
              <w:right w:val="single" w:sz="8" w:color="010101"/>
            </w:tcBorders>
          </w:tcPr>
          <w:p>
            <w:pPr>
              <w:spacing w:after="0"/>
              <w:rPr>
                <w:sz w:val="17"/>
                <w:szCs w:val="17"/>
                <w:color w:val="auto"/>
              </w:rPr>
            </w:pPr>
          </w:p>
        </w:tc>
        <w:tc>
          <w:tcPr>
            <w:tcW w:w="164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340" w:type="dxa"/>
            <w:vAlign w:val="bottom"/>
            <w:tcBorders>
              <w:bottom w:val="single" w:sz="8" w:color="010101"/>
              <w:right w:val="single" w:sz="8" w:color="010101"/>
            </w:tcBorders>
          </w:tcPr>
          <w:p>
            <w:pPr>
              <w:spacing w:after="0"/>
              <w:rPr>
                <w:sz w:val="17"/>
                <w:szCs w:val="17"/>
                <w:color w:val="auto"/>
              </w:rPr>
            </w:pPr>
          </w:p>
        </w:tc>
        <w:tc>
          <w:tcPr>
            <w:tcW w:w="1740" w:type="dxa"/>
            <w:vAlign w:val="bottom"/>
            <w:tcBorders>
              <w:bottom w:val="single" w:sz="8" w:color="010101"/>
            </w:tcBorders>
          </w:tcPr>
          <w:p>
            <w:pPr>
              <w:spacing w:after="0"/>
              <w:rPr>
                <w:sz w:val="17"/>
                <w:szCs w:val="17"/>
                <w:color w:val="auto"/>
              </w:rPr>
            </w:pPr>
          </w:p>
        </w:tc>
        <w:tc>
          <w:tcPr>
            <w:tcW w:w="1780" w:type="dxa"/>
            <w:vAlign w:val="bottom"/>
            <w:tcBorders>
              <w:bottom w:val="single" w:sz="8" w:color="010101"/>
              <w:right w:val="single" w:sz="8" w:color="010101"/>
            </w:tcBorders>
          </w:tcPr>
          <w:p>
            <w:pPr>
              <w:spacing w:after="0"/>
              <w:rPr>
                <w:sz w:val="17"/>
                <w:szCs w:val="17"/>
                <w:color w:val="auto"/>
              </w:rPr>
            </w:pPr>
          </w:p>
        </w:tc>
        <w:tc>
          <w:tcPr>
            <w:tcW w:w="2800" w:type="dxa"/>
            <w:vAlign w:val="bottom"/>
          </w:tcPr>
          <w:p>
            <w:pPr>
              <w:spacing w:after="0"/>
              <w:rPr>
                <w:sz w:val="17"/>
                <w:szCs w:val="17"/>
                <w:color w:val="auto"/>
              </w:rPr>
            </w:pPr>
          </w:p>
        </w:tc>
      </w:tr>
      <w:tr>
        <w:trPr>
          <w:trHeight w:val="228"/>
        </w:trPr>
        <w:tc>
          <w:tcPr>
            <w:tcW w:w="2840" w:type="dxa"/>
            <w:vAlign w:val="bottom"/>
            <w:tcBorders>
              <w:right w:val="single" w:sz="8" w:color="010101"/>
            </w:tcBorders>
          </w:tcPr>
          <w:p>
            <w:pPr>
              <w:spacing w:after="0"/>
              <w:rPr>
                <w:sz w:val="19"/>
                <w:szCs w:val="19"/>
                <w:color w:val="auto"/>
              </w:rPr>
            </w:pP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Level B</w:t>
            </w:r>
          </w:p>
        </w:tc>
        <w:tc>
          <w:tcPr>
            <w:tcW w:w="100" w:type="dxa"/>
            <w:vAlign w:val="bottom"/>
          </w:tcPr>
          <w:p>
            <w:pPr>
              <w:spacing w:after="0"/>
              <w:rPr>
                <w:sz w:val="19"/>
                <w:szCs w:val="19"/>
                <w:color w:val="auto"/>
              </w:rPr>
            </w:pPr>
          </w:p>
        </w:tc>
        <w:tc>
          <w:tcPr>
            <w:tcW w:w="34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BBB+ / Baa1 / BBB+</w:t>
            </w:r>
          </w:p>
        </w:tc>
        <w:tc>
          <w:tcPr>
            <w:tcW w:w="2800" w:type="dxa"/>
            <w:vAlign w:val="bottom"/>
          </w:tcPr>
          <w:p>
            <w:pPr>
              <w:spacing w:after="0"/>
              <w:rPr>
                <w:sz w:val="19"/>
                <w:szCs w:val="19"/>
                <w:color w:val="auto"/>
              </w:rPr>
            </w:pPr>
          </w:p>
        </w:tc>
      </w:tr>
      <w:tr>
        <w:trPr>
          <w:trHeight w:val="198"/>
        </w:trPr>
        <w:tc>
          <w:tcPr>
            <w:tcW w:w="2840" w:type="dxa"/>
            <w:vAlign w:val="bottom"/>
            <w:tcBorders>
              <w:right w:val="single" w:sz="8" w:color="010101"/>
            </w:tcBorders>
          </w:tcPr>
          <w:p>
            <w:pPr>
              <w:spacing w:after="0"/>
              <w:rPr>
                <w:sz w:val="17"/>
                <w:szCs w:val="17"/>
                <w:color w:val="auto"/>
              </w:rPr>
            </w:pPr>
          </w:p>
        </w:tc>
        <w:tc>
          <w:tcPr>
            <w:tcW w:w="164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340" w:type="dxa"/>
            <w:vAlign w:val="bottom"/>
            <w:tcBorders>
              <w:bottom w:val="single" w:sz="8" w:color="010101"/>
              <w:right w:val="single" w:sz="8" w:color="010101"/>
            </w:tcBorders>
          </w:tcPr>
          <w:p>
            <w:pPr>
              <w:spacing w:after="0"/>
              <w:rPr>
                <w:sz w:val="17"/>
                <w:szCs w:val="17"/>
                <w:color w:val="auto"/>
              </w:rPr>
            </w:pPr>
          </w:p>
        </w:tc>
        <w:tc>
          <w:tcPr>
            <w:tcW w:w="1740" w:type="dxa"/>
            <w:vAlign w:val="bottom"/>
            <w:tcBorders>
              <w:bottom w:val="single" w:sz="8" w:color="010101"/>
            </w:tcBorders>
          </w:tcPr>
          <w:p>
            <w:pPr>
              <w:spacing w:after="0"/>
              <w:rPr>
                <w:sz w:val="17"/>
                <w:szCs w:val="17"/>
                <w:color w:val="auto"/>
              </w:rPr>
            </w:pPr>
          </w:p>
        </w:tc>
        <w:tc>
          <w:tcPr>
            <w:tcW w:w="1780" w:type="dxa"/>
            <w:vAlign w:val="bottom"/>
            <w:tcBorders>
              <w:bottom w:val="single" w:sz="8" w:color="010101"/>
              <w:right w:val="single" w:sz="8" w:color="010101"/>
            </w:tcBorders>
          </w:tcPr>
          <w:p>
            <w:pPr>
              <w:spacing w:after="0"/>
              <w:rPr>
                <w:sz w:val="17"/>
                <w:szCs w:val="17"/>
                <w:color w:val="auto"/>
              </w:rPr>
            </w:pPr>
          </w:p>
        </w:tc>
        <w:tc>
          <w:tcPr>
            <w:tcW w:w="2800" w:type="dxa"/>
            <w:vAlign w:val="bottom"/>
          </w:tcPr>
          <w:p>
            <w:pPr>
              <w:spacing w:after="0"/>
              <w:rPr>
                <w:sz w:val="17"/>
                <w:szCs w:val="17"/>
                <w:color w:val="auto"/>
              </w:rPr>
            </w:pPr>
          </w:p>
        </w:tc>
      </w:tr>
      <w:tr>
        <w:trPr>
          <w:trHeight w:val="228"/>
        </w:trPr>
        <w:tc>
          <w:tcPr>
            <w:tcW w:w="2840" w:type="dxa"/>
            <w:vAlign w:val="bottom"/>
            <w:tcBorders>
              <w:right w:val="single" w:sz="8" w:color="010101"/>
            </w:tcBorders>
          </w:tcPr>
          <w:p>
            <w:pPr>
              <w:spacing w:after="0"/>
              <w:rPr>
                <w:sz w:val="19"/>
                <w:szCs w:val="19"/>
                <w:color w:val="auto"/>
              </w:rPr>
            </w:pP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Level C</w:t>
            </w:r>
          </w:p>
        </w:tc>
        <w:tc>
          <w:tcPr>
            <w:tcW w:w="100" w:type="dxa"/>
            <w:vAlign w:val="bottom"/>
          </w:tcPr>
          <w:p>
            <w:pPr>
              <w:spacing w:after="0"/>
              <w:rPr>
                <w:sz w:val="19"/>
                <w:szCs w:val="19"/>
                <w:color w:val="auto"/>
              </w:rPr>
            </w:pPr>
          </w:p>
        </w:tc>
        <w:tc>
          <w:tcPr>
            <w:tcW w:w="34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BBB / Baa2 / BBB</w:t>
            </w:r>
          </w:p>
        </w:tc>
        <w:tc>
          <w:tcPr>
            <w:tcW w:w="2800" w:type="dxa"/>
            <w:vAlign w:val="bottom"/>
          </w:tcPr>
          <w:p>
            <w:pPr>
              <w:spacing w:after="0"/>
              <w:rPr>
                <w:sz w:val="19"/>
                <w:szCs w:val="19"/>
                <w:color w:val="auto"/>
              </w:rPr>
            </w:pPr>
          </w:p>
        </w:tc>
      </w:tr>
      <w:tr>
        <w:trPr>
          <w:trHeight w:val="198"/>
        </w:trPr>
        <w:tc>
          <w:tcPr>
            <w:tcW w:w="2840" w:type="dxa"/>
            <w:vAlign w:val="bottom"/>
            <w:tcBorders>
              <w:right w:val="single" w:sz="8" w:color="010101"/>
            </w:tcBorders>
          </w:tcPr>
          <w:p>
            <w:pPr>
              <w:spacing w:after="0"/>
              <w:rPr>
                <w:sz w:val="17"/>
                <w:szCs w:val="17"/>
                <w:color w:val="auto"/>
              </w:rPr>
            </w:pPr>
          </w:p>
        </w:tc>
        <w:tc>
          <w:tcPr>
            <w:tcW w:w="164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340" w:type="dxa"/>
            <w:vAlign w:val="bottom"/>
            <w:tcBorders>
              <w:bottom w:val="single" w:sz="8" w:color="010101"/>
              <w:right w:val="single" w:sz="8" w:color="010101"/>
            </w:tcBorders>
          </w:tcPr>
          <w:p>
            <w:pPr>
              <w:spacing w:after="0"/>
              <w:rPr>
                <w:sz w:val="17"/>
                <w:szCs w:val="17"/>
                <w:color w:val="auto"/>
              </w:rPr>
            </w:pPr>
          </w:p>
        </w:tc>
        <w:tc>
          <w:tcPr>
            <w:tcW w:w="1740" w:type="dxa"/>
            <w:vAlign w:val="bottom"/>
            <w:tcBorders>
              <w:bottom w:val="single" w:sz="8" w:color="010101"/>
            </w:tcBorders>
          </w:tcPr>
          <w:p>
            <w:pPr>
              <w:spacing w:after="0"/>
              <w:rPr>
                <w:sz w:val="17"/>
                <w:szCs w:val="17"/>
                <w:color w:val="auto"/>
              </w:rPr>
            </w:pPr>
          </w:p>
        </w:tc>
        <w:tc>
          <w:tcPr>
            <w:tcW w:w="1780" w:type="dxa"/>
            <w:vAlign w:val="bottom"/>
            <w:tcBorders>
              <w:bottom w:val="single" w:sz="8" w:color="010101"/>
              <w:right w:val="single" w:sz="8" w:color="010101"/>
            </w:tcBorders>
          </w:tcPr>
          <w:p>
            <w:pPr>
              <w:spacing w:after="0"/>
              <w:rPr>
                <w:sz w:val="17"/>
                <w:szCs w:val="17"/>
                <w:color w:val="auto"/>
              </w:rPr>
            </w:pPr>
          </w:p>
        </w:tc>
        <w:tc>
          <w:tcPr>
            <w:tcW w:w="2800" w:type="dxa"/>
            <w:vAlign w:val="bottom"/>
          </w:tcPr>
          <w:p>
            <w:pPr>
              <w:spacing w:after="0"/>
              <w:rPr>
                <w:sz w:val="17"/>
                <w:szCs w:val="17"/>
                <w:color w:val="auto"/>
              </w:rPr>
            </w:pPr>
          </w:p>
        </w:tc>
      </w:tr>
      <w:tr>
        <w:trPr>
          <w:trHeight w:val="228"/>
        </w:trPr>
        <w:tc>
          <w:tcPr>
            <w:tcW w:w="2840" w:type="dxa"/>
            <w:vAlign w:val="bottom"/>
            <w:tcBorders>
              <w:right w:val="single" w:sz="8" w:color="010101"/>
            </w:tcBorders>
          </w:tcPr>
          <w:p>
            <w:pPr>
              <w:spacing w:after="0"/>
              <w:rPr>
                <w:sz w:val="19"/>
                <w:szCs w:val="19"/>
                <w:color w:val="auto"/>
              </w:rPr>
            </w:pPr>
          </w:p>
        </w:tc>
        <w:tc>
          <w:tcPr>
            <w:tcW w:w="16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Level D</w:t>
            </w:r>
          </w:p>
        </w:tc>
        <w:tc>
          <w:tcPr>
            <w:tcW w:w="100" w:type="dxa"/>
            <w:vAlign w:val="bottom"/>
          </w:tcPr>
          <w:p>
            <w:pPr>
              <w:spacing w:after="0"/>
              <w:rPr>
                <w:sz w:val="19"/>
                <w:szCs w:val="19"/>
                <w:color w:val="auto"/>
              </w:rPr>
            </w:pPr>
          </w:p>
        </w:tc>
        <w:tc>
          <w:tcPr>
            <w:tcW w:w="34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BBB- / Baa3 / BBB-</w:t>
            </w:r>
          </w:p>
        </w:tc>
        <w:tc>
          <w:tcPr>
            <w:tcW w:w="2800" w:type="dxa"/>
            <w:vAlign w:val="bottom"/>
          </w:tcPr>
          <w:p>
            <w:pPr>
              <w:spacing w:after="0"/>
              <w:rPr>
                <w:sz w:val="19"/>
                <w:szCs w:val="19"/>
                <w:color w:val="auto"/>
              </w:rPr>
            </w:pPr>
          </w:p>
        </w:tc>
      </w:tr>
      <w:tr>
        <w:trPr>
          <w:trHeight w:val="198"/>
        </w:trPr>
        <w:tc>
          <w:tcPr>
            <w:tcW w:w="2840" w:type="dxa"/>
            <w:vAlign w:val="bottom"/>
            <w:tcBorders>
              <w:right w:val="single" w:sz="8" w:color="010101"/>
            </w:tcBorders>
          </w:tcPr>
          <w:p>
            <w:pPr>
              <w:spacing w:after="0"/>
              <w:rPr>
                <w:sz w:val="17"/>
                <w:szCs w:val="17"/>
                <w:color w:val="auto"/>
              </w:rPr>
            </w:pPr>
          </w:p>
        </w:tc>
        <w:tc>
          <w:tcPr>
            <w:tcW w:w="164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340" w:type="dxa"/>
            <w:vAlign w:val="bottom"/>
            <w:tcBorders>
              <w:bottom w:val="single" w:sz="8" w:color="010101"/>
              <w:right w:val="single" w:sz="8" w:color="010101"/>
            </w:tcBorders>
          </w:tcPr>
          <w:p>
            <w:pPr>
              <w:spacing w:after="0"/>
              <w:rPr>
                <w:sz w:val="17"/>
                <w:szCs w:val="17"/>
                <w:color w:val="auto"/>
              </w:rPr>
            </w:pPr>
          </w:p>
        </w:tc>
        <w:tc>
          <w:tcPr>
            <w:tcW w:w="1740" w:type="dxa"/>
            <w:vAlign w:val="bottom"/>
            <w:tcBorders>
              <w:bottom w:val="single" w:sz="8" w:color="010101"/>
            </w:tcBorders>
          </w:tcPr>
          <w:p>
            <w:pPr>
              <w:spacing w:after="0"/>
              <w:rPr>
                <w:sz w:val="17"/>
                <w:szCs w:val="17"/>
                <w:color w:val="auto"/>
              </w:rPr>
            </w:pPr>
          </w:p>
        </w:tc>
        <w:tc>
          <w:tcPr>
            <w:tcW w:w="1780" w:type="dxa"/>
            <w:vAlign w:val="bottom"/>
            <w:tcBorders>
              <w:bottom w:val="single" w:sz="8" w:color="010101"/>
              <w:right w:val="single" w:sz="8" w:color="010101"/>
            </w:tcBorders>
          </w:tcPr>
          <w:p>
            <w:pPr>
              <w:spacing w:after="0"/>
              <w:rPr>
                <w:sz w:val="17"/>
                <w:szCs w:val="17"/>
                <w:color w:val="auto"/>
              </w:rPr>
            </w:pPr>
          </w:p>
        </w:tc>
        <w:tc>
          <w:tcPr>
            <w:tcW w:w="2800" w:type="dxa"/>
            <w:vAlign w:val="bottom"/>
          </w:tcPr>
          <w:p>
            <w:pPr>
              <w:spacing w:after="0"/>
              <w:rPr>
                <w:sz w:val="17"/>
                <w:szCs w:val="17"/>
                <w:color w:val="auto"/>
              </w:rPr>
            </w:pPr>
          </w:p>
        </w:tc>
      </w:tr>
      <w:tr>
        <w:trPr>
          <w:trHeight w:val="228"/>
        </w:trPr>
        <w:tc>
          <w:tcPr>
            <w:tcW w:w="2840" w:type="dxa"/>
            <w:vAlign w:val="bottom"/>
            <w:tcBorders>
              <w:right w:val="single" w:sz="8" w:color="010101"/>
            </w:tcBorders>
          </w:tcPr>
          <w:p>
            <w:pPr>
              <w:spacing w:after="0"/>
              <w:rPr>
                <w:sz w:val="19"/>
                <w:szCs w:val="19"/>
                <w:color w:val="auto"/>
              </w:rPr>
            </w:pP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Level E</w:t>
            </w:r>
          </w:p>
        </w:tc>
        <w:tc>
          <w:tcPr>
            <w:tcW w:w="100" w:type="dxa"/>
            <w:vAlign w:val="bottom"/>
          </w:tcPr>
          <w:p>
            <w:pPr>
              <w:spacing w:after="0"/>
              <w:rPr>
                <w:sz w:val="19"/>
                <w:szCs w:val="19"/>
                <w:color w:val="auto"/>
              </w:rPr>
            </w:pPr>
          </w:p>
        </w:tc>
        <w:tc>
          <w:tcPr>
            <w:tcW w:w="340" w:type="dxa"/>
            <w:vAlign w:val="bottom"/>
            <w:tcBorders>
              <w:right w:val="single" w:sz="8" w:color="010101"/>
            </w:tcBorders>
          </w:tcPr>
          <w:p>
            <w:pPr>
              <w:spacing w:after="0"/>
              <w:rPr>
                <w:sz w:val="19"/>
                <w:szCs w:val="19"/>
                <w:color w:val="auto"/>
              </w:rPr>
            </w:pPr>
          </w:p>
        </w:tc>
        <w:tc>
          <w:tcPr>
            <w:tcW w:w="3520" w:type="dxa"/>
            <w:vAlign w:val="bottom"/>
            <w:tcBorders>
              <w:right w:val="single" w:sz="8" w:color="010101"/>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BB+ / Ba1 / BB+ or lower</w:t>
            </w:r>
          </w:p>
        </w:tc>
        <w:tc>
          <w:tcPr>
            <w:tcW w:w="2800" w:type="dxa"/>
            <w:vAlign w:val="bottom"/>
          </w:tcPr>
          <w:p>
            <w:pPr>
              <w:spacing w:after="0"/>
              <w:rPr>
                <w:sz w:val="19"/>
                <w:szCs w:val="19"/>
                <w:color w:val="auto"/>
              </w:rPr>
            </w:pPr>
          </w:p>
        </w:tc>
      </w:tr>
      <w:tr>
        <w:trPr>
          <w:trHeight w:val="198"/>
        </w:trPr>
        <w:tc>
          <w:tcPr>
            <w:tcW w:w="2840" w:type="dxa"/>
            <w:vAlign w:val="bottom"/>
            <w:tcBorders>
              <w:right w:val="single" w:sz="8" w:color="010101"/>
            </w:tcBorders>
          </w:tcPr>
          <w:p>
            <w:pPr>
              <w:spacing w:after="0"/>
              <w:rPr>
                <w:sz w:val="17"/>
                <w:szCs w:val="17"/>
                <w:color w:val="auto"/>
              </w:rPr>
            </w:pPr>
          </w:p>
        </w:tc>
        <w:tc>
          <w:tcPr>
            <w:tcW w:w="1640" w:type="dxa"/>
            <w:vAlign w:val="bottom"/>
            <w:tcBorders>
              <w:bottom w:val="single" w:sz="8" w:color="010101"/>
            </w:tcBorders>
          </w:tcPr>
          <w:p>
            <w:pPr>
              <w:spacing w:after="0"/>
              <w:rPr>
                <w:sz w:val="17"/>
                <w:szCs w:val="17"/>
                <w:color w:val="auto"/>
              </w:rPr>
            </w:pPr>
          </w:p>
        </w:tc>
        <w:tc>
          <w:tcPr>
            <w:tcW w:w="100" w:type="dxa"/>
            <w:vAlign w:val="bottom"/>
            <w:tcBorders>
              <w:bottom w:val="single" w:sz="8" w:color="010101"/>
            </w:tcBorders>
          </w:tcPr>
          <w:p>
            <w:pPr>
              <w:spacing w:after="0"/>
              <w:rPr>
                <w:sz w:val="17"/>
                <w:szCs w:val="17"/>
                <w:color w:val="auto"/>
              </w:rPr>
            </w:pPr>
          </w:p>
        </w:tc>
        <w:tc>
          <w:tcPr>
            <w:tcW w:w="340" w:type="dxa"/>
            <w:vAlign w:val="bottom"/>
            <w:tcBorders>
              <w:bottom w:val="single" w:sz="8" w:color="010101"/>
              <w:right w:val="single" w:sz="8" w:color="010101"/>
            </w:tcBorders>
          </w:tcPr>
          <w:p>
            <w:pPr>
              <w:spacing w:after="0"/>
              <w:rPr>
                <w:sz w:val="17"/>
                <w:szCs w:val="17"/>
                <w:color w:val="auto"/>
              </w:rPr>
            </w:pPr>
          </w:p>
        </w:tc>
        <w:tc>
          <w:tcPr>
            <w:tcW w:w="1740" w:type="dxa"/>
            <w:vAlign w:val="bottom"/>
            <w:tcBorders>
              <w:bottom w:val="single" w:sz="8" w:color="010101"/>
            </w:tcBorders>
          </w:tcPr>
          <w:p>
            <w:pPr>
              <w:spacing w:after="0"/>
              <w:rPr>
                <w:sz w:val="17"/>
                <w:szCs w:val="17"/>
                <w:color w:val="auto"/>
              </w:rPr>
            </w:pPr>
          </w:p>
        </w:tc>
        <w:tc>
          <w:tcPr>
            <w:tcW w:w="1780" w:type="dxa"/>
            <w:vAlign w:val="bottom"/>
            <w:tcBorders>
              <w:bottom w:val="single" w:sz="8" w:color="010101"/>
              <w:right w:val="single" w:sz="8" w:color="010101"/>
            </w:tcBorders>
          </w:tcPr>
          <w:p>
            <w:pPr>
              <w:spacing w:after="0"/>
              <w:rPr>
                <w:sz w:val="17"/>
                <w:szCs w:val="17"/>
                <w:color w:val="auto"/>
              </w:rPr>
            </w:pPr>
          </w:p>
        </w:tc>
        <w:tc>
          <w:tcPr>
            <w:tcW w:w="2800" w:type="dxa"/>
            <w:vAlign w:val="bottom"/>
          </w:tcPr>
          <w:p>
            <w:pPr>
              <w:spacing w:after="0"/>
              <w:rPr>
                <w:sz w:val="17"/>
                <w:szCs w:val="17"/>
                <w:color w:val="auto"/>
              </w:rPr>
            </w:pPr>
          </w:p>
        </w:tc>
      </w:tr>
      <w:tr>
        <w:trPr>
          <w:trHeight w:val="641"/>
        </w:trPr>
        <w:tc>
          <w:tcPr>
            <w:tcW w:w="2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10</w:t>
            </w:r>
          </w:p>
        </w:tc>
        <w:tc>
          <w:tcPr>
            <w:tcW w:w="1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For purposes of the foregoing, (a) if only one of S&amp;P, Moody’s or Fitch shall have in effect a Public Debt Rating, the Ratings Level shall be determined by reference to the available rating; (b) if none of S&amp;P, Moody’s or Fitch shall have in effect a Public Debt Rating, the Ratings Level will be set in accordance with Level E; (c) if all three of the rating agencies shall have a Public Debt Rating in effect and the ratings established by each of S&amp;P, Moody’s and Fitch shall fall within three different Levels in the immediately foregoing table (such Level A, Level B, Level C, Level D and Level E, collectively, the “</w:t>
      </w:r>
      <w:r>
        <w:rPr>
          <w:rFonts w:ascii="Times New Roman" w:cs="Times New Roman" w:eastAsia="Times New Roman" w:hAnsi="Times New Roman"/>
          <w:sz w:val="18"/>
          <w:szCs w:val="18"/>
          <w:u w:val="single" w:color="auto"/>
          <w:color w:val="auto"/>
        </w:rPr>
        <w:t>Levels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the Ratings Level shall be based upon the intermediate Level; (d) if all three of the rating agencies shall have a Public Debt Rating in effect and two out of the three ratings of S&amp;P, Moody’s and Fitch are at the same Level, then the Ratings Level shall be based on such Level, (e) if only two Public Debt Ratings from S&amp;P, Moody’s and Fitch are available and such ratings fall within different Levels, then the Ratings Level shall be based on the higher rating unless such ratings differ by two or more Levels, in which case the applicable Ratings Level will be deemed to be one Level above the lower of such Levels, (f) if any rating established by S&amp;P, Moody’s or Fitch shall be changed, such change shall be effective as of the third Business Day following the date on which such change is first announced publicly by the rating agency making such change; (g) if S&amp;P, Moody’s or Fitch shall change the basis on which ratings are established, each reference to the Public Debt Rating announced by S&amp;P, Moody’s or Fitch, as the case may be, shall refer to the then equivalent rating by S&amp;P, Moody’s or Fitch, as the case may be (and if there is no such equivalent rating, to the rating most recently in effect prior to such change); and (h) if any such rating agency shall cease to be in the business of rating corporate debt obligations, the Company and the Lenders shall negotiate in good faith to amend this definition to reflect the unavailability of ratings from such rating agency and, pending the effectiveness of such amendment, the Ratings Level shall be determined by reference to the rating (and the Level applicable thereto) most recently in effect prior to such cessation.</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Foreign Currency, the local time in the place of settlement for such Foreign Currency as may be determined by the Administrative Agent or the applicable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Jurisdictions</w:t>
      </w:r>
      <w:r>
        <w:rPr>
          <w:rFonts w:ascii="Times New Roman" w:cs="Times New Roman" w:eastAsia="Times New Roman" w:hAnsi="Times New Roman"/>
          <w:sz w:val="18"/>
          <w:szCs w:val="18"/>
          <w:color w:val="auto"/>
        </w:rPr>
        <w:t>” means Ireland, Switzerland, Luxembourg, the United States and England and Wales.</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each of JPMCB, BofA Securities, Inc., BMO Capital Markets Corp., Citibank, N.A. and U.S. Bank National Association in its capacity as a joint bookrunner and joint lead arranger hereunder</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for the Revolving Credit Facility and (ii) each of JPMCB, BofA Securities, Inc.,</w:t>
      </w:r>
    </w:p>
    <w:p>
      <w:pPr>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0000FF"/>
        </w:rPr>
        <w:t>BMO Capital Markets Corp., PNC Capital Markets LLC and U.S. Bank National Association in its capacity as a joint bookrunner and joint lead arranger hereunder for the Term Loan Facility.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Effective Date to but excluding the earlier of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Maturity Date and the date of termination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for any Agreed Loan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the Parent or any Subsidiary by any Lender or any of its Affiliates: (a) credit cards for commercial customers (including, without limitation, commercial credit cards and purchasing cards), (b) stored value cards,</w:t>
      </w:r>
    </w:p>
    <w:p>
      <w:pPr>
        <w:ind w:firstLine="8"/>
        <w:spacing w:after="0" w:line="260" w:lineRule="auto"/>
        <w:tabs>
          <w:tab w:leader="none" w:pos="2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 processing services and (d) treasury management services (including, without limitation, controlled disbursement services, automated clearinghouse transactions, return items services, any direct debit scheme or arrangement, overdraft services and interstate depository network services).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Agreement</w:t>
      </w:r>
      <w:r>
        <w:rPr>
          <w:rFonts w:ascii="Times New Roman" w:cs="Times New Roman" w:eastAsia="Times New Roman" w:hAnsi="Times New Roman"/>
          <w:sz w:val="18"/>
          <w:szCs w:val="18"/>
          <w:color w:val="auto"/>
        </w:rPr>
        <w:t>” means any agreement entered into by the Parent or any Subsidiary in connection with Banking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Federal Bankruptcy Reform Act of 1978 (11 U.S.C. §101, et seq.).</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Loan Currency, the applicable Relevant Rate for such Agreed Loan Currency or (ii) Term Benchmark Loan, the Relevant Rate for such Agreed Loan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Loan Currency, then “Benchmark” means the applicable Benchmark Replacement to the extent that such Benchmark Replacement has replaced such prior benchmark rate pursuant to clause (b) of Section 2.14.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 Foreign Currency, “Benchmark Replacement” shall mean the alternative set forth in (2)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the case of any Loan denominated in Dollars, the Adjusted Daily Simple RFR for RFR Borrowings denominated in Dollars; or</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Loan Currency at such time in the United States and (b) the related Benchmark Replacement Adjustment;</w:t>
      </w:r>
    </w:p>
    <w:p>
      <w:pPr>
        <w:spacing w:after="0" w:line="187"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clause (1) or clause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Loan Currency at such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Company, decides in its reasonable good faith discretion may be appropriate to reflect the adoption and implementation of such Benchmark and to permit the administration thereof by the Administrative Agent in a manner substantially consistent with market practice (or, if the Administrative Agent decides in its reasonable good faith discretion that adoption of any portion of such market practice is not administratively feasible or if the Administrative Agent determines in its reasonable good faith discretion that no market practice for the administration of such Benchmark exists, in such other manner of administration as the Administrative Agent, in consultation with the Company, decides is reasonably necessary in connection with the administration of this Agreement and the other Loan Documents).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56"/>
        <w:spacing w:after="0" w:line="254" w:lineRule="auto"/>
        <w:tabs>
          <w:tab w:leader="none" w:pos="9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public statement or publication of information by the regulatory supervisor for the administrator of such Benchmark (or the published component used in the calculation thereof), the Board, the NYFRB, the CME Term SOFR Administrator, the central bank for the Agreed Loan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as of a specific date;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(x) beginning at the time that a Benchmark Replacement Date pursuant to clauses (1) or (2) of that definition has occurred if, at such time, no Benchmark Replacement has replaced such then- 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“Blocking Law” has the meaning assigned to it in Section 3.12.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“Blocking Regulation” has the meaning assigned to it in Section 3.12.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or any Affiliate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Revolving Loans of the same Type, made, converted or continued on the same date and, in the case of Term Benchmark Loans, as to which a single Interest Period is in effect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b w:val="1"/>
          <w:bCs w:val="1"/>
          <w:u w:val="single" w:color="auto"/>
          <w:color w:val="0000FF"/>
        </w:rPr>
        <w:t>) a Term Loan of the same Type and Class, made, converted or continued on the same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date and, in the case of Term Benchmark Loans, as to which a single Interest Period is in effect or (c</w:t>
      </w:r>
      <w:r>
        <w:rPr>
          <w:rFonts w:ascii="Times New Roman" w:cs="Times New Roman" w:eastAsia="Times New Roman" w:hAnsi="Times New Roman"/>
          <w:sz w:val="18"/>
          <w:szCs w:val="18"/>
          <w:color w:val="000000"/>
        </w:rPr>
        <w:t>) a Swingline Loan.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any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substantially the form approved by the Administrative Agent and separately provided to the Company.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a Sunday) on which banks are open for business in New York 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addition to the foregoing, a Business Day shall be (i) in relation to Loans denominated in euro and in relation to the calculation or computation of the EURIBO Rate, any day which is a TARGET Day, (ii) in relation to RFR Loans and any interest rate settings, fundings, disbursements, settlements or payments of any such RFR Loan, or any other dealings in the applicable Agreed Currency of such RFR Loan, any such day that is only a RFR Business Day and (iii)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xml:space="preserve">” means to pledge and deposit with or deliver to the Administrative Agent, for the benefit of the Administrative Agent, the applicable Issuing Bank and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as collateral or support for the LC Exposure, cash or deposit account balances, or a standby letter of credit from a financial institution satisfactory to the Administrative Agent, in each case pursuant to documentation in form and substance reasonably satisfactory to the Administrative Agent and the applicable Issuing Bank (which documents are hereby consented to by the Lenders). Derivatives of such term shall have corresponding meanings.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a Loan that is replaced by a CBR Loan.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(i) (A) for any Loan denominated in euro, one of the following three rates as may be selected by the Administrative Agent reasonably and in good faith: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determined after the Effective Date, a central bank rate as determined by the Administrative Agent in its reasonable good faith discretion; plus (B) the applicable Central Bank Rate Adjustment and (ii) the Floor.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w:t>
      </w:r>
    </w:p>
    <w:p>
      <w:pPr>
        <w:spacing w:after="0" w:line="225" w:lineRule="exact"/>
        <w:rPr>
          <w:sz w:val="20"/>
          <w:szCs w:val="20"/>
          <w:color w:val="auto"/>
        </w:rPr>
      </w:pPr>
    </w:p>
    <w:p>
      <w:pPr>
        <w:jc w:val="both"/>
        <w:ind w:firstLine="656"/>
        <w:spacing w:after="0" w:line="261"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Foreign Currency determined after the Effective Date, an adjustment as determined by the Administrative Agent in its reasonable good faith discretion designed to represent the reserve ratio or analogous requirement of any central banking or financial regulatory authority imposed in respect of the maintenance of the Commitments or the funding of the Loans.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notwithstanding anything herein to the contrary, except to the extent they are merely proposed and not in effect, (i) the Dodd-Frank Wall Street Reform and Consumer Protection Act and all requests, rules, guidelines, requirements and directives thereunder, issued in connection therewith or in implementation thereof, and</w:t>
      </w:r>
    </w:p>
    <w:p>
      <w:pPr>
        <w:spacing w:after="0" w:line="5" w:lineRule="exact"/>
        <w:rPr>
          <w:sz w:val="20"/>
          <w:szCs w:val="20"/>
          <w:color w:val="auto"/>
        </w:rPr>
      </w:pPr>
    </w:p>
    <w:p>
      <w:pPr>
        <w:jc w:val="both"/>
        <w:ind w:firstLine="8"/>
        <w:spacing w:after="0" w:line="255" w:lineRule="auto"/>
        <w:tabs>
          <w:tab w:leader="none" w:pos="2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w:t>
      </w:r>
      <w:r>
        <w:rPr>
          <w:rFonts w:ascii="Times New Roman" w:cs="Times New Roman" w:eastAsia="Times New Roman" w:hAnsi="Times New Roman"/>
          <w:sz w:val="18"/>
          <w:szCs w:val="18"/>
          <w:b w:val="1"/>
          <w:bCs w:val="1"/>
          <w:u w:val="single" w:color="auto"/>
          <w:color w:val="0000FF"/>
        </w:rPr>
        <w:t>, Term Loans</w:t>
      </w:r>
      <w:r>
        <w:rPr>
          <w:rFonts w:ascii="Times New Roman" w:cs="Times New Roman" w:eastAsia="Times New Roman" w:hAnsi="Times New Roman"/>
          <w:sz w:val="18"/>
          <w:szCs w:val="18"/>
          <w:color w:val="auto"/>
        </w:rPr>
        <w:t xml:space="preserve"> or Swingline Loans.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w:t>
      </w:r>
      <w:r>
        <w:rPr>
          <w:rFonts w:ascii="Times New Roman" w:cs="Times New Roman" w:eastAsia="Times New Roman" w:hAnsi="Times New Roman"/>
          <w:sz w:val="18"/>
          <w:szCs w:val="18"/>
          <w:b w:val="1"/>
          <w:bCs w:val="1"/>
          <w:color w:val="FF0000"/>
          <w:strike w:val="1"/>
        </w:rPr>
        <w:t>amount</w:t>
      </w:r>
      <w:r>
        <w:rPr>
          <w:rFonts w:ascii="Times New Roman" w:cs="Times New Roman" w:eastAsia="Times New Roman" w:hAnsi="Times New Roman"/>
          <w:sz w:val="18"/>
          <w:szCs w:val="18"/>
          <w:b w:val="1"/>
          <w:bCs w:val="1"/>
          <w:u w:val="single" w:color="auto"/>
          <w:color w:val="0000FF"/>
        </w:rPr>
        <w:t>sum of such Lender’s  Revolving Commitment and Term Loan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initial amount of each Lender’s Commitment 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set forth 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Schedule 2.01</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opposite such Lender’s name under the heading “Commitment”</w:t>
      </w:r>
      <w:r>
        <w:rPr>
          <w:rFonts w:ascii="Times New Roman" w:cs="Times New Roman" w:eastAsia="Times New Roman" w:hAnsi="Times New Roman"/>
          <w:sz w:val="18"/>
          <w:szCs w:val="18"/>
          <w:color w:val="000000"/>
        </w:rPr>
        <w:t>,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in the Assignment and Assumption or other documentation or record (as such term is defined in Section 9-102(a)(70) of the New York Uniform Commercial Code) as provided in Section 9.04(b)(ii)(C) </w:t>
      </w:r>
      <w:r>
        <w:rPr>
          <w:rFonts w:ascii="Times New Roman" w:cs="Times New Roman" w:eastAsia="Times New Roman" w:hAnsi="Times New Roman"/>
          <w:sz w:val="18"/>
          <w:szCs w:val="18"/>
          <w:b w:val="1"/>
          <w:bCs w:val="1"/>
          <w:u w:val="single" w:color="auto"/>
          <w:color w:val="0000FF"/>
        </w:rPr>
        <w:t>or other documentation contemplated hereby</w:t>
      </w:r>
      <w:r>
        <w:rPr>
          <w:rFonts w:ascii="Times New Roman" w:cs="Times New Roman" w:eastAsia="Times New Roman" w:hAnsi="Times New Roman"/>
          <w:sz w:val="18"/>
          <w:szCs w:val="18"/>
          <w:color w:val="000000"/>
        </w:rPr>
        <w:t xml:space="preserve"> pursuant to which such Lender shall have assumed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w:t>
      </w:r>
      <w:r>
        <w:rPr>
          <w:rFonts w:ascii="Times New Roman" w:cs="Times New Roman" w:eastAsia="Times New Roman" w:hAnsi="Times New Roman"/>
          <w:sz w:val="18"/>
          <w:szCs w:val="18"/>
          <w:b w:val="1"/>
          <w:bCs w:val="1"/>
          <w:u w:val="single" w:color="auto"/>
          <w:color w:val="0000FF"/>
        </w:rPr>
        <w:t>or Term Loan Commitment pursuant to the terms hereof</w:t>
      </w:r>
      <w:r>
        <w:rPr>
          <w:rFonts w:ascii="Times New Roman" w:cs="Times New Roman" w:eastAsia="Times New Roman" w:hAnsi="Times New Roman"/>
          <w:sz w:val="18"/>
          <w:szCs w:val="18"/>
          <w:color w:val="000000"/>
        </w:rPr>
        <w:t>, as applicable</w:t>
      </w:r>
      <w:r>
        <w:rPr>
          <w:rFonts w:ascii="Times New Roman" w:cs="Times New Roman" w:eastAsia="Times New Roman" w:hAnsi="Times New Roman"/>
          <w:sz w:val="18"/>
          <w:szCs w:val="18"/>
          <w:b w:val="1"/>
          <w:bCs w:val="1"/>
          <w:color w:val="FF0000"/>
          <w:strike w:val="1"/>
        </w:rPr>
        <w:t>, and giving effect to (a) any reduction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 xml:space="preserve">such amount from time to time pursuant to Section 2.09, (b) any increase from time to time pursuant to Section 2.20 and (c) any reduction or increase in such amount from time to time pursuant to assignments by or to such Lender pursuant to Section 9.04;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at no time shall the Revolving Credit Exposure of any Lender exceed its Commitment.</w:t>
      </w:r>
      <w:r>
        <w:rPr>
          <w:rFonts w:ascii="Times New Roman" w:cs="Times New Roman" w:eastAsia="Times New Roman" w:hAnsi="Times New Roman"/>
          <w:sz w:val="18"/>
          <w:szCs w:val="18"/>
          <w:b w:val="1"/>
          <w:bCs w:val="1"/>
          <w:u w:val="single" w:color="auto"/>
          <w:color w:val="0000FF"/>
          <w:strike w:val="1"/>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including through an Approved Electronic Platform.</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Pentair Finance S.à r.l., a Luxembourg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having its registered office at 26, Boulevard Royal, L-2449 Luxembourg and registered with the Luxembourg Trade and Companies Register (</w:t>
      </w:r>
      <w:r>
        <w:rPr>
          <w:rFonts w:ascii="Times New Roman" w:cs="Times New Roman" w:eastAsia="Times New Roman" w:hAnsi="Times New Roman"/>
          <w:sz w:val="18"/>
          <w:szCs w:val="18"/>
          <w:i w:val="1"/>
          <w:iCs w:val="1"/>
          <w:color w:val="auto"/>
        </w:rPr>
        <w:t>Registre de commerce et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sociétés, Luxembourg</w:t>
      </w:r>
      <w:r>
        <w:rPr>
          <w:rFonts w:ascii="Times New Roman" w:cs="Times New Roman" w:eastAsia="Times New Roman" w:hAnsi="Times New Roman"/>
          <w:sz w:val="18"/>
          <w:szCs w:val="18"/>
          <w:color w:val="auto"/>
        </w:rPr>
        <w:t>) under number B166305.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as of any date, any Subsidiary or other entity the accounts of which would be consolidated with those of the Parent in its consolidated financial statements as of such date prepared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the total consolidated assets of the Parent and its Subsidiaries, in each case determined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Country Risk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any law, action or failure to act by any Governmental Authority in any Borrower’s or Letter of Credit beneficiary’s country which has the effect of:</w:t>
      </w:r>
    </w:p>
    <w:p>
      <w:pPr>
        <w:spacing w:after="0" w:line="162" w:lineRule="exact"/>
        <w:rPr>
          <w:sz w:val="20"/>
          <w:szCs w:val="20"/>
          <w:color w:val="auto"/>
        </w:rPr>
      </w:pPr>
    </w:p>
    <w:p>
      <w:pPr>
        <w:jc w:val="both"/>
        <w:ind w:left="1300" w:firstLine="652"/>
        <w:spacing w:after="0" w:line="266" w:lineRule="auto"/>
        <w:tabs>
          <w:tab w:leader="none" w:pos="22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obligations of any Issuing Bank or the Lenders under the relevant Letter of Credit, the Agreement or any of the other Loan Documents as originally agreed or otherwise creating any additional liability, cost or expense to any Issuing Bank, the Lenders or the Administrative Agent from that which exists on the Effective Date,</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ownership or control by such Borrower or Letter of Credit beneficiary of its business, or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2260" w:hanging="308"/>
        <w:spacing w:after="0"/>
        <w:tabs>
          <w:tab w:leader="none" w:pos="2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or restricting the conversion into or transfer of the applicable Agreed Currency;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event,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in relation to (a), (b) and (c), directly or indirectly, prevents or restricts the payment or transfer of any amounts owing under the relevant Letter of Credit in the applicable Agreed Currency into an account designated by the Administrative Agent or such Issuing Bank and freely available to the Administrative Agent or such Issuing Bank.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2160" w:hanging="208"/>
        <w:spacing w:after="0"/>
        <w:tabs>
          <w:tab w:leader="none" w:pos="2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“Credit Exposure” means, as to any Lender at any time, the sum of (a) such Lender’s Revolving Credit Exposure at such time, plus (b) an amount equal to the aggregate principal amount of its Term Loans outstanding at such time.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or extension of a Letter of Credit, the amendment of a Letter of Credit that increases the face amount thereof, an LC Disbursement or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the Issuing Banks, the Swingline Lenders or any other Lender.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 (i) Dollars, Daily Simple SOFR (following a Benchmark Transition Event and a Benchmark Replacement Date with respect to the Term SOFR Rate) and (ii) euro (solely with respect to Swingline Loans denominated in euro), ESTR for the day that is five (5) RFR Business Days prior to (A) if such RFR Interest Day is an RFR Business Day, such RFR Interest Day or (B) if such RFR Interest Day is not an RFR Business Day, the RFR Business Day immediately preceding such RFR Interest Day.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with respect to any Person at any date, without duplication, (i) all obligations of such Person for borrowed money, (ii) all obligations of such Person evidenced by bonds, debentures, notes or other similar instruments, (iii) all obligations of such Person to pay the deferred purchase price of property or services, except trade accounts payable and accrued liabilities (including employee compensation and benefit obligations) arising in the ordinary course of business, (iv) the outstanding principal obligations of such Person as lessee under capital leases, (v) all Debt of others secured by a Lien on any asset of such Person, whether or not such Debt is assumed by such Person (it being understood that if such Debt has not been assumed by such Person, the amount of such Debt shall be deemed to be the lesser of the fair market value at such date of such asset and the amount of such Debt), (vi) the aggregate outstanding investment or claim held by purchasers, assignees or transferees of (or of interests in) receivables of such Person in connection with any Securitization Transaction, (vii) all non-contingent reimbursement obligations of such Person under letters of credit and bank guarantees, and (viii) all Debt (as defined above) of others Guaranteed by such Person. Notwithstanding the foregoing, Debt shall exclude (a) any customary purchase price adjustments, earnouts, holdbacks and deferred payments of a similar nature in connection with a Permitted Acquisition (including deferred compensation representing consideration or other contingent obligations incurred in connection with a Permitted Acquisition), (b) any obligations in respect of customer advances in the ordinary course of business consistent with past practices, (c) defeased, discharged and/or redeemed indebtedness so long as (1) neither the Parent nor any Subsidiary has any liability (contingent or otherwise) with respect to such indebtedness and (2) the cash, securities and/or other assets used to defease, discharge and/or redeem such indebtedness are not, directly or indirectly, an asset of the Parent or any Subsidiary and</w:t>
      </w:r>
    </w:p>
    <w:p>
      <w:pPr>
        <w:spacing w:after="0" w:line="12" w:lineRule="exact"/>
        <w:rPr>
          <w:sz w:val="20"/>
          <w:szCs w:val="20"/>
          <w:color w:val="auto"/>
        </w:rPr>
      </w:pPr>
    </w:p>
    <w:p>
      <w:pPr>
        <w:jc w:val="both"/>
        <w:ind w:firstLine="8"/>
        <w:spacing w:after="0" w:line="253" w:lineRule="auto"/>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fees, make-whole amounts, premiums, charges or expenses, if any, relating to the principal amount of Debt. In the event any of the foregoing Debt is limited to recourse against a particular asset or assets of such Person, the amount of the corresponding Debt shall be equal to the lesser of the amount of such Debt and the fair market value of such asset or assets, as determined by the Company in good faith, at the date for determination of the amount of such Debt. For the avoidance of doubt, the amount of Debt of any Person at any date will be calculated without duplication of any Guarantee in respect thereof.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three (3)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the Company or the Administrative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and/or (ii) a Bail-In Action.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Departing Lender</w:t>
      </w:r>
      <w:r>
        <w:rPr>
          <w:rFonts w:ascii="Times New Roman" w:cs="Times New Roman" w:eastAsia="Times New Roman" w:hAnsi="Times New Roman"/>
          <w:sz w:val="18"/>
          <w:szCs w:val="18"/>
          <w:color w:val="auto"/>
        </w:rPr>
        <w:t>” means each lender under the Existing Credit Agreement that executes and delivers to the Administrative Agent a Departing Lender Signature Page.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Departing Lender Signature Page</w:t>
      </w:r>
      <w:r>
        <w:rPr>
          <w:rFonts w:ascii="Times New Roman" w:cs="Times New Roman" w:eastAsia="Times New Roman" w:hAnsi="Times New Roman"/>
          <w:sz w:val="18"/>
          <w:szCs w:val="18"/>
          <w:color w:val="auto"/>
        </w:rPr>
        <w:t>” means the signature page to this Agreement on which it is indicated that the Departing Lender executing the same shall cease to be a party to the Existing Credit Agreement on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Persons</w:t>
      </w:r>
      <w:r>
        <w:rPr>
          <w:rFonts w:ascii="Times New Roman" w:cs="Times New Roman" w:eastAsia="Times New Roman" w:hAnsi="Times New Roman"/>
          <w:sz w:val="18"/>
          <w:szCs w:val="18"/>
          <w:color w:val="auto"/>
        </w:rPr>
        <w:t>” means any Person listed on a Sanctions List.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xml:space="preserve">” means (i) those Persons identified by the Company to the Administrative Agent and the Lenders in writing prior to the Effective Date, (ii) those Persons that are reasonably determined by the Company to be competitors of the Company or any of its Subsidiaries and which have been specifically identified by the Company to the Administrative Agent and the Lenders in writing prior to the Effective Date and (iii) in the case of each of clauses (i) and (ii) (and any supplements thereto as contemplated below), any of their respective Affiliates, to the extent any such Affiliate (x) is clearly identifiable as an Affiliate of the applicable Person solely by similarity of such Affiliate’s name and (y) is not a bona fide debt investment fund that is an Affiliate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by notice to the Administrative Agent and the Lenders after the Effective Date, shall be permitted to supplement from time to time in writing by name the list of Persons that are Disqualified Institutions to the extent that the Persons added by such supplements are determined by the Company to be competitors of the Company or any of its Subsidiaries (or Affiliates of such competitors that are not bona fide debt investment funds). Each such supplement shall become effective three (3) Business Days after delivery thereof to the Administrative Agent and the Lenders (including through an Approved Electronic Platform)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but which shall not apply retroactively to disqualify any Persons that have previously acquired an assignment or participation interest in the Loans (but solely with respect to such Loans). It is understood and agreed that (i) the Administrative Agent shall have no responsibility or liability to determine or monitor whether any Lender or potential Lender is a Disqualified Institution, (ii) the Company’s failure to deliver such list (or supplement thereto) in accordance with Section 9.01 shall render such list (or supplement) not received and not effective and (iii) “Disqualified Institution” shall exclude any Person that the Company has designated as no longer being a “Disqualified Institution” by written notice delivered to the Administrative Agent (which notice may be distributed to the Lenders) from time to time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Disregarded Entity</w:t>
      </w:r>
      <w:r>
        <w:rPr>
          <w:rFonts w:ascii="Times New Roman" w:cs="Times New Roman" w:eastAsia="Times New Roman" w:hAnsi="Times New Roman"/>
          <w:sz w:val="18"/>
          <w:szCs w:val="18"/>
          <w:color w:val="auto"/>
        </w:rPr>
        <w:t>” means an entity that, pursuant to Treas. Reg. § 301.7701-2(c)(2), is disregarded for U.S. federal income Tax purposes as an entity separate from its owner.</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each of PNC Bank, National Association, Bank of China, Los Angeles Branch, Banco Bilbao Vizcaya Argentaria, S.A. New York Branch and Sumitomo Mitsui Banking Corporation in its capacity as documentation agent for the </w:t>
      </w:r>
      <w:r>
        <w:rPr>
          <w:rFonts w:ascii="Times New Roman" w:cs="Times New Roman" w:eastAsia="Times New Roman" w:hAnsi="Times New Roman"/>
          <w:sz w:val="18"/>
          <w:szCs w:val="18"/>
          <w:b w:val="1"/>
          <w:bCs w:val="1"/>
          <w:color w:val="FF0000"/>
          <w:strike w:val="1"/>
        </w:rPr>
        <w:t>credit facility evidenced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this Agreement.</w:t>
      </w:r>
      <w:r>
        <w:rPr>
          <w:rFonts w:ascii="Times New Roman" w:cs="Times New Roman" w:eastAsia="Times New Roman" w:hAnsi="Times New Roman"/>
          <w:sz w:val="18"/>
          <w:szCs w:val="18"/>
          <w:b w:val="1"/>
          <w:bCs w:val="1"/>
          <w:u w:val="single" w:color="auto"/>
          <w:color w:val="0000FF"/>
          <w:strike w:val="1"/>
        </w:rPr>
        <w:t>Revolving Credit Facility and (ii) each of Bank of China, Los Angeles Branch and Banco Bilbao Vizcaya Argentaria, S.A. New</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York Branch in its capacity as documentation agent for the Term Loan Facility.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reasonably determined by the Administrative Agent, in consultation with the Company, using any reasonable method of determination it deems reasonably appropriate) and (c) if such amount is denominated in any other currency, the equivalent of such amount in Dollars as reasonably determined by the Administrative Agent, in consultation with the Company, using any reasonable method of determination it deems reasonably appropriate.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each Subsidiary of the Parent other than a Foreign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9.04(e)(iv)</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for any period, the sum of the consolidated net income of the Parent for such period excluding the effect of (a) any non- cash gains (including any non-cash gains arising from the adoption of mark-to-market accounting with respect to pension or other retirement benefit plans); (b) any non-cash losses, charges and expenses (including any non-cash loss, charge or expense arising from the adoption of mark-to-market accounting with respect to pension or other retirement benefit plans); (c) any earnings from discontinued operations (but if such operations are classified as discontinued due to the fact that they are subject to an agreement to dispose of such operations, such earnings shall be excluded in the calculation of EBITDA (i) only when and to the extent such operations are actually disposed of and (ii) if the sales revenue generated by the applicable entity or business unit in the twelve</w:t>
      </w:r>
    </w:p>
    <w:p>
      <w:pPr>
        <w:spacing w:after="0" w:line="5" w:lineRule="exact"/>
        <w:rPr>
          <w:sz w:val="20"/>
          <w:szCs w:val="20"/>
          <w:color w:val="auto"/>
        </w:rPr>
      </w:pPr>
    </w:p>
    <w:p>
      <w:pPr>
        <w:jc w:val="both"/>
        <w:ind w:firstLine="8"/>
        <w:spacing w:after="0" w:line="251" w:lineRule="auto"/>
        <w:tabs>
          <w:tab w:leader="none" w:pos="3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prior to such disposition was $25,000,000 or more); (d) fees, costs, expenses, premiums, make-whole or penalty payments, other similar items and, in the case of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awards, settlement payments and similar amounts, in each case, incurred after the Effective Date arising out of (i) Permitted Acquisitions, (ii) investments and dispositions not prohibited by this Agreement, (iii) any incurrence, issuance, repayment or refinancing of Debt permitted by this Agreement, (iv) any issuance or redemption of Equity Interests and (v) litigation, arbitration and/or other resolutions of legal disputes (provided that the aggregate amount permitted to be added back pursuant to this </w:t>
      </w:r>
      <w:r>
        <w:rPr>
          <w:rFonts w:ascii="Times New Roman" w:cs="Times New Roman" w:eastAsia="Times New Roman" w:hAnsi="Times New Roman"/>
          <w:sz w:val="18"/>
          <w:szCs w:val="18"/>
          <w:u w:val="single" w:color="auto"/>
          <w:color w:val="auto"/>
        </w:rPr>
        <w:t>clause (d)(v)</w:t>
      </w:r>
      <w:r>
        <w:rPr>
          <w:rFonts w:ascii="Times New Roman" w:cs="Times New Roman" w:eastAsia="Times New Roman" w:hAnsi="Times New Roman"/>
          <w:sz w:val="18"/>
          <w:szCs w:val="18"/>
          <w:color w:val="auto"/>
        </w:rPr>
        <w:t xml:space="preserve"> shall not exceed $25,000,000 during such period); (e) any losses, charges, costs and expenses from discontinued operations plus, to the extent deducted in determining such consolidated net income, but without duplication, Interest Expense, taxes on or measured by income, depreciation, amortization, non-cash stock-based compensation expenses; (f) any losses, charges, costs and expenses from restructurings, casualty and condemnation events, takings under power of eminent domain and similar events (not to exceed 10% of EBITDA for such period); (g) any unusual or non-recurring losses, charges, costs and expenses to the extent deducted in the calculation of consolidated net income (together with the amount added back pursuant to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below, not to exceed 10% of EBITDA); and (h) any cost-savings and cost synergies resulting from a Permitted Acquisition projected in good faith by the Parent to be realized within 18 months of such acquisition (together with the amounts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not to exceed 10% of EBITDA).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Subsidiary</w:t>
      </w:r>
      <w:r>
        <w:rPr>
          <w:rFonts w:ascii="Times New Roman" w:cs="Times New Roman" w:eastAsia="Times New Roman" w:hAnsi="Times New Roman"/>
          <w:sz w:val="18"/>
          <w:szCs w:val="18"/>
          <w:color w:val="auto"/>
        </w:rPr>
        <w:t xml:space="preserve">” means any (i) Subsidiary incorporated or organized under the laws of an Approved Jurisdiction and (ii) Subsidiary that is approved from time to time by the Administrative Agent and each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all claims, however asserted, by any Governmental Authority or other Person alleging potential liability or responsibility for violation of any Environmental Law, or for release or injury to the environment.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federal, state and local laws, statutes, common law duties, rules, regulations, ordinances and codes, together with all administrative orders, directed duties, requests, licenses, authorizations and permits of, and agreements with, any judicial, regulating or other governmental authority, in each case relating to environmental and land use matters or health or safety matters affecting the environment or land use.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Parent or any Subsidiary directly or indirectly resulting from or based upon (a) violation of any Environmental Law,</w:t>
      </w:r>
    </w:p>
    <w:p>
      <w:pPr>
        <w:jc w:val="both"/>
        <w:ind w:right="20" w:firstLine="8"/>
        <w:spacing w:after="0" w:line="255" w:lineRule="auto"/>
        <w:tabs>
          <w:tab w:leader="none" w:pos="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Parent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ESTR</w:t>
      </w:r>
      <w:r>
        <w:rPr>
          <w:rFonts w:ascii="Times New Roman" w:cs="Times New Roman" w:eastAsia="Times New Roman" w:hAnsi="Times New Roman"/>
          <w:sz w:val="18"/>
          <w:szCs w:val="18"/>
          <w:color w:val="auto"/>
        </w:rPr>
        <w:t>” means, with respect to any Business Day, a rate per annum equal to the Euro Short Term Rate for such Business Day published by the ESTR Administrator on the ESTR Administrator’s Website.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ESTR Administrator</w:t>
      </w:r>
      <w:r>
        <w:rPr>
          <w:rFonts w:ascii="Times New Roman" w:cs="Times New Roman" w:eastAsia="Times New Roman" w:hAnsi="Times New Roman"/>
          <w:sz w:val="18"/>
          <w:szCs w:val="18"/>
          <w:color w:val="auto"/>
        </w:rPr>
        <w:t>” means the European Central Bank (or any successor administrator of the Euro Short Term Rate).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ESTR Administrator’s Website</w:t>
      </w:r>
      <w:r>
        <w:rPr>
          <w:rFonts w:ascii="Times New Roman" w:cs="Times New Roman" w:eastAsia="Times New Roman" w:hAnsi="Times New Roman"/>
          <w:sz w:val="18"/>
          <w:szCs w:val="18"/>
          <w:color w:val="auto"/>
        </w:rPr>
        <w:t>” means the European Central Bank’s website, currently at http://www.ecb.europa.eu, or any successor source for the Euro Short Term Rate identified as such by the ESTR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means the European Union.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 In Legislation Schedule published by the Loan Market Association (or any successor Person), as in effect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Rate</w:t>
      </w:r>
      <w:r>
        <w:rPr>
          <w:rFonts w:ascii="Times New Roman" w:cs="Times New Roman" w:eastAsia="Times New Roman" w:hAnsi="Times New Roman"/>
          <w:sz w:val="18"/>
          <w:szCs w:val="18"/>
          <w:color w:val="auto"/>
        </w:rPr>
        <w:t>” means, with respect to any Term Benchmark Borrowing denominated in euro and for any Interest Period, the EURIBO Screen Rate two (2) TARGET Days prior to the commencement of such Interest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such date of determination. If such page or service ceases to be available, the Administrative Agent may specify another page or service displaying the relevant rate after consultation with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or any other condition has been satisfied.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(a) by virtue of such Loan Party’s failure for any reason to constitute an ECP at the time the Guarantee of such Loan Party or the grant of such security interest becomes or would become effective with respect to such Specified Swap Obligation or (b) in the case of a Specified Swap Obligation subject to a clearing requirement pursuant to Section 2(h) of the Commodity Exchange Act (or any successor provision thereto), because such Loan Party is a “financial entity,” as defined in Section 2(h)(7)(C)(i) of the Commodity Exchange Act (or any successor provision thereto), at the time the Guarantee of such Loan Party or the grant of such security interest becomes or would become effective with respect to such related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any Issuing Bank or any other recipient of any payment to be made by or on account of any obligation of any Borrower or any guarantor under any Loan Document, (a) Taxes imposed on or measured by net income (however denominated), franchise Taxes and branch profits Taxes, in each case, (i) imposed by the jurisdiction under the laws of which such recipient is organized or in which it has a principal office or, in the case of any Lender, in which its applicable lending office is located or (ii) that are Other Connection Taxes, (b) in the case of a Lender, any U.S. federal withholding Tax that is imposed on amounts payable to or for the account of such Lender with respect to an applicable interest in a Loan, Letter of Credit or Commitment pursuant to a law in effect on the date on which (i) such Lender becomes a party to this Agreement (other than pursuant to an assignment request by the Company or any other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or (ii) such Lender designates a new lending office, except in each case to the extent that such Lender (or its assignor, if any) was entitled, immediately before the designation of a new lending office (or an assignment), to receive additional amounts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(c) Taxes attributable to such recipient’s failure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(d) any withholding Tax that is imposed under FATCA and (e) any deduction or withholding on account of Taxes imposed by Luxembourg under the law dated 23 December 2005, as amended, introducing a final withholding tax on interest payable to Luxembourg resident individuals.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is defined in the recitals hereof.</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“Existing Loan Agreement” means that certain Loan Agreement, dated as of March 24, 2022, among the Parent, the Borrower, the lenders party thereto and JPMorgan Chase Bank, N.A., as administrative agent (as amended, restated, supplemented or otherwise modified from time to time prior to the Amendment No. 1 Effective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Maturity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Availability Period</w:t>
      </w:r>
      <w:r>
        <w:rPr>
          <w:rFonts w:ascii="Times New Roman" w:cs="Times New Roman" w:eastAsia="Times New Roman" w:hAnsi="Times New Roman"/>
          <w:sz w:val="18"/>
          <w:szCs w:val="18"/>
          <w:color w:val="auto"/>
        </w:rPr>
        <w:t>” means the period beginning on the Effective Date and ending on the five year anniversary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Office</w:t>
      </w:r>
      <w:r>
        <w:rPr>
          <w:rFonts w:ascii="Times New Roman" w:cs="Times New Roman" w:eastAsia="Times New Roman" w:hAnsi="Times New Roman"/>
          <w:sz w:val="18"/>
          <w:szCs w:val="18"/>
          <w:color w:val="auto"/>
        </w:rPr>
        <w:t>” means the office or offices through which a Lender will perform its obligations under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 Deduction</w:t>
      </w:r>
      <w:r>
        <w:rPr>
          <w:rFonts w:ascii="Times New Roman" w:cs="Times New Roman" w:eastAsia="Times New Roman" w:hAnsi="Times New Roman"/>
          <w:sz w:val="18"/>
          <w:szCs w:val="18"/>
          <w:color w:val="auto"/>
        </w:rPr>
        <w:t>” means a deduction or withholding from a payment under a Loan Document required by FATCA.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(i) with respect to the Company, a Manager of the Company; and (ii) with respect to the Parent, the Chief Financial Officer, the Chief Accounting Officer or the Treasurer of the Parent.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EURIBO Rate, the Adjusted Daily Simple RFR, or the Central Bank Rate, as applicable. For the avoidance of doubt, the initial Floor for each of the Adjusted Term SOFR Rate, the Adjusted EURIBO Rate, the Adjusted Daily Simple RFR or the Central Bank Rate shall be 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means each Agreed Currency other than Dollars.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LC Exposure</w:t>
      </w:r>
      <w:r>
        <w:rPr>
          <w:rFonts w:ascii="Times New Roman" w:cs="Times New Roman" w:eastAsia="Times New Roman" w:hAnsi="Times New Roman"/>
          <w:sz w:val="18"/>
          <w:szCs w:val="18"/>
          <w:color w:val="auto"/>
        </w:rPr>
        <w:t>” means, at any time, the sum of (a) the Dollar Amount of the aggregate undrawn, available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Letter of Credit</w:t>
      </w:r>
      <w:r>
        <w:rPr>
          <w:rFonts w:ascii="Times New Roman" w:cs="Times New Roman" w:eastAsia="Times New Roman" w:hAnsi="Times New Roman"/>
          <w:sz w:val="18"/>
          <w:szCs w:val="18"/>
          <w:color w:val="auto"/>
        </w:rPr>
        <w:t>” means a Letter of Credit denominated in a Foreign Currency.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Payment Office</w:t>
      </w:r>
      <w:r>
        <w:rPr>
          <w:rFonts w:ascii="Times New Roman" w:cs="Times New Roman" w:eastAsia="Times New Roman" w:hAnsi="Times New Roman"/>
          <w:sz w:val="18"/>
          <w:szCs w:val="18"/>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Sublimit</w:t>
      </w:r>
      <w:r>
        <w:rPr>
          <w:rFonts w:ascii="Times New Roman" w:cs="Times New Roman" w:eastAsia="Times New Roman" w:hAnsi="Times New Roman"/>
          <w:sz w:val="18"/>
          <w:szCs w:val="18"/>
          <w:color w:val="auto"/>
        </w:rPr>
        <w:t>” means $300,000,000.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neither a U.S. Person nor a Disregarded Entity that is treated for U.S. federal income Tax purposes as having as its sole owner a Person that is a U.S.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each Subsidiary of such Person that is incorporated or organized under the laws of a jurisdiction located outside of the United States or any state thereof.</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from time to time in effect in the United States of America.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municipal, national or other governmental department, commission, board, bureau, court, agency, ministry or instrumentality or political subdivision thereof or any entity, officer, minister or other Person exercising executive, legislative, judicial, regulatory or administrative functions of or pertaining to any government or any court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means, with respect to any Person, any obligation of such Person, contingent or otherwise, directly or indirectly guaranteeing any Debt of any other Person or in any manner providing for the payment of any Debt of any other Person or otherwise protecting the holder of such Debt against loss (whether by agreement to keep- well, to purchase assets, goods, securities or services, to take-or-pay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used as a verb has a correlative meaning. It is understood that the amount of any Guarantee of or by any Person shall be deemed to be the lower of (a) the amount of Debt in respect of which such Guarantee exists and (b) the maximum amount for which such Person may be liable pursuant to the instrument embodying such Guarantee. For the avoidance of doubt, in the event any Guarantee is limited to recourse against a particular asset or assets of such Person, the amount of such Guarantee shall be equal to the lesser of the amount of such Guarantee and the fair market value of such asset or assets, as determined by such Person in good faith, at the date for determination of the amount of such Guarantee.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the Parent.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xml:space="preserve">” means any agreement with respect to any swap, forward, future or derivative transaction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or the Subsidiaries shall be a Hedging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any Loan Party under any Loan Document and (b) Other Taxes.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Affiliate Borrower</w:t>
      </w:r>
      <w:r>
        <w:rPr>
          <w:rFonts w:ascii="Times New Roman" w:cs="Times New Roman" w:eastAsia="Times New Roman" w:hAnsi="Times New Roman"/>
          <w:sz w:val="18"/>
          <w:szCs w:val="18"/>
          <w:color w:val="auto"/>
        </w:rPr>
        <w:t>” means Pentair, Inc., a Minnesota corporation.</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Regulation</w:t>
      </w:r>
      <w:r>
        <w:rPr>
          <w:rFonts w:ascii="Times New Roman" w:cs="Times New Roman" w:eastAsia="Times New Roman" w:hAnsi="Times New Roman"/>
          <w:sz w:val="18"/>
          <w:szCs w:val="18"/>
          <w:color w:val="auto"/>
        </w:rPr>
        <w:t>” means Regulation (EU) 2015/848 of the European Parliament and of the Council of 20 May 2015 on insolvency proceedings (recast).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for any period, the ratio of (i) EBITDA for such period to (ii) Interest Expense (excluding any Interest Expense in respect of intercompany Debt), to the extent paid in cash, for such period.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xml:space="preserve">” means, for any period, the sum, without duplication, of consolidated interest expense of the Parent and its Subsidiaries for such period (including, in each case to the extent included in interest expense on the Parent’s consolidated income statement, the interest component of capital leases, the interest component of Synthetic Lease Obligations, facility, commitment and usage fees, and fees for standby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consolidated yield or discount accrued, during such period on the aggregate outstanding investment or claim held by purchasers, assignees or other transferees of (or of interests in) receivables of the Parent and its Subsidiaries in connection with any Securitization Transaction (regardless of the accounting treatment of such Securitization Transaction), plus net payments (if any) pursuant to Hedging Agreements,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(without duplication) of (a) annual administrative agent fees, (b) costs associated with obtaining swap agreements and any interest expense attributable to the movement of the mark-to-market valuation of obligations under swap agreements or other derivative instruments and any one- time costs associated with breakage in respect of swap agreements for interest rates, (c) costs associated with the issuance or incurrence of debt, including amortization and write-off of deferred and other financing fees, debt issuance costs, commissions, fees and expenses and original issue discount, (d) PIK interest, (e) any non-cash expense in respect of any interest component relating to accretion or accrual of discounted liabilities and (f) net receipts (if any) pursuant to Hedging Agreements.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applicable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such other form as the Administrative Agent may approve from time to time.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with respect to any ABR Loan (other than a Swingline Loan), the last day of each March, June, September and December and the applicable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auto"/>
        </w:rPr>
        <w:t xml:space="preserv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applicable Maturity Date, and (d) with respect to any Swingline Loan, the day that such Loan is required to be repaid and the applicable Maturity Date.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(or such other period of time as is acceptable to each of the Lenders) (in each case, subject to the availability for the Benchmark applicable to the relevant Loan or Commitment for any Agreed Currency), as the applicable Borrower (or the Company on behalf of the applicable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shall be available for specification in any Borrowing Request or Interest Election Request. For purposes hereof, the date of a Borrowing initially shall be the date on which such Borrowing is made and thereafter, other than for purposes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shall be the effective date of the most recent conversion or continuation of such Borrowing.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Ireland</w:t>
      </w:r>
      <w:r>
        <w:rPr>
          <w:rFonts w:ascii="Times New Roman" w:cs="Times New Roman" w:eastAsia="Times New Roman" w:hAnsi="Times New Roman"/>
          <w:sz w:val="18"/>
          <w:szCs w:val="18"/>
          <w:color w:val="auto"/>
        </w:rPr>
        <w:t>” means Ireland, exclusive of Northern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Borrower</w:t>
      </w:r>
      <w:r>
        <w:rPr>
          <w:rFonts w:ascii="Times New Roman" w:cs="Times New Roman" w:eastAsia="Times New Roman" w:hAnsi="Times New Roman"/>
          <w:sz w:val="18"/>
          <w:szCs w:val="18"/>
          <w:color w:val="auto"/>
        </w:rPr>
        <w:t>” means any Affiliate Borrower resident for tax purposes in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Companies Act</w:t>
      </w:r>
      <w:r>
        <w:rPr>
          <w:rFonts w:ascii="Times New Roman" w:cs="Times New Roman" w:eastAsia="Times New Roman" w:hAnsi="Times New Roman"/>
          <w:sz w:val="18"/>
          <w:szCs w:val="18"/>
          <w:color w:val="auto"/>
        </w:rPr>
        <w:t>” means the Companies Act 2014 of Ireland.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Guarantor</w:t>
      </w:r>
      <w:r>
        <w:rPr>
          <w:rFonts w:ascii="Times New Roman" w:cs="Times New Roman" w:eastAsia="Times New Roman" w:hAnsi="Times New Roman"/>
          <w:sz w:val="18"/>
          <w:szCs w:val="18"/>
          <w:color w:val="auto"/>
        </w:rPr>
        <w:t>” means the Parent.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Loan Party</w:t>
      </w:r>
      <w:r>
        <w:rPr>
          <w:rFonts w:ascii="Times New Roman" w:cs="Times New Roman" w:eastAsia="Times New Roman" w:hAnsi="Times New Roman"/>
          <w:sz w:val="18"/>
          <w:szCs w:val="18"/>
          <w:color w:val="auto"/>
        </w:rPr>
        <w:t>” means any Irish Borrower or any Irish Guarantor or any Affiliate Borrower incorporated in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a Lender which is beneficially entitled to interest payable to it in respect of an advance under this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 bank within the meaning of Section 246 of the Irish TCA which is carrying on a bona fide banking business in Ireland for the purposes of Section 246(3)(a) of the Irish TCA and whose Facility Office is located in Ireland;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1300" w:right="20" w:firstLine="652"/>
        <w:spacing w:after="0" w:line="266" w:lineRule="auto"/>
        <w:tabs>
          <w:tab w:leader="none" w:pos="22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(within the meaning of Section 246 of the Irish TCA) which by virtue of the laws of a Relevant Territory is resident in that Relevant Territory for the purposes of tax and that Relevant Territory imposes a tax that generally applies to interest receivable in that Relevant Territory by companies from sources outside that Relevant Territory; or</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(within the meaning of Section 246 of the Irish TCA) in receipt of interest under this Agreement which:</w:t>
      </w:r>
    </w:p>
    <w:p>
      <w:pPr>
        <w:spacing w:after="0" w:line="225" w:lineRule="exact"/>
        <w:rPr>
          <w:sz w:val="20"/>
          <w:szCs w:val="20"/>
          <w:color w:val="auto"/>
        </w:rPr>
      </w:pPr>
    </w:p>
    <w:p>
      <w:pPr>
        <w:jc w:val="both"/>
        <w:ind w:left="2600" w:right="60" w:hanging="648"/>
        <w:spacing w:after="0" w:line="266" w:lineRule="auto"/>
        <w:tabs>
          <w:tab w:leader="none" w:pos="2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exempted from the charge to Irish income tax under an Irish Treaty between Ireland and the country in which the Lender is resident for tax purposes having the force of law under the procedures set out in section 826(1) of the Irish TCA; or</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exempted from the charge to Irish income tax under an Irish Treaty between Ireland and the country in which the Lender is resident for tax purposes entered into on or before the payment date of that interest if that Irish Treaty had the force of law under the procedures set out in section 826(1) of the Irish TCA at that date; or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2320" w:hanging="368"/>
        <w:spacing w:after="0"/>
        <w:tabs>
          <w:tab w:leader="none" w:pos="2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company that is incorporated in the U.S. and taxed in the U.S. on its worldwide income; or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limited liability company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provided the ultimate recipients of the interest would be Irish Qualifying Lenders within paragraph (i), (ii) or (iii) of this definition and the business conducted through the LLC is so structured for non-tax commercial reasons and not for tax avoidance purposes;</w:t>
      </w:r>
    </w:p>
    <w:p>
      <w:pPr>
        <w:spacing w:after="0" w:line="176"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provided that, in the case of (i), (ii), (iii), and (iv), the company does not provide its (or in the case of (iv), the ultimate recipients of the interest do not provide their) commitment in connection with a trade or business which is carried on in Ireland through a branch or agency; or</w:t>
      </w:r>
    </w:p>
    <w:p>
      <w:pPr>
        <w:spacing w:after="0" w:line="162"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which:</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money in the ordinary course of a trade which includes the lending of money and whose Facility Office is located in Ireland; and</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6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whose hands any interest payable in respect of money so advanced is taken into account in computing the trading income of that company;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which has complied with the notification requirements set out in Section 246(5)(a) of the Irish TCA.</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company within the meaning of Section 110 of the Irish TCA;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undertaking within the meaning of Section 739B of the Irish TCA;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 or</w:t>
      </w:r>
    </w:p>
    <w:p>
      <w:pPr>
        <w:spacing w:after="0" w:line="225" w:lineRule="exact"/>
        <w:rPr>
          <w:rFonts w:ascii="Times New Roman" w:cs="Times New Roman" w:eastAsia="Times New Roman" w:hAnsi="Times New Roman"/>
          <w:sz w:val="18"/>
          <w:szCs w:val="18"/>
          <w:color w:val="auto"/>
        </w:rPr>
      </w:pPr>
    </w:p>
    <w:p>
      <w:pPr>
        <w:ind w:left="660" w:right="3920" w:hanging="4"/>
        <w:spacing w:after="0" w:line="500" w:lineRule="auto"/>
        <w:tabs>
          <w:tab w:leader="none" w:pos="1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approved scheme within the meaning of Section 774 of the Irish TCA. “</w:t>
      </w:r>
      <w:r>
        <w:rPr>
          <w:rFonts w:ascii="Times New Roman" w:cs="Times New Roman" w:eastAsia="Times New Roman" w:hAnsi="Times New Roman"/>
          <w:sz w:val="18"/>
          <w:szCs w:val="18"/>
          <w:u w:val="single" w:color="auto"/>
          <w:color w:val="auto"/>
        </w:rPr>
        <w:t>Irish TCA</w:t>
      </w:r>
      <w:r>
        <w:rPr>
          <w:rFonts w:ascii="Times New Roman" w:cs="Times New Roman" w:eastAsia="Times New Roman" w:hAnsi="Times New Roman"/>
          <w:sz w:val="18"/>
          <w:szCs w:val="18"/>
          <w:color w:val="auto"/>
        </w:rPr>
        <w:t>” means the Taxes Consolidation Act, 1997 of Ireland.</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Lender</w:t>
      </w:r>
      <w:r>
        <w:rPr>
          <w:rFonts w:ascii="Times New Roman" w:cs="Times New Roman" w:eastAsia="Times New Roman" w:hAnsi="Times New Roman"/>
          <w:sz w:val="18"/>
          <w:szCs w:val="18"/>
          <w:color w:val="auto"/>
        </w:rPr>
        <w:t>” means a Lender (other than a Lender falling within clause (b) of the definition of Irish Qualifying Lender) which is on the date the relevant payment is made entitled under a double taxation agreement (an “</w:t>
      </w:r>
      <w:r>
        <w:rPr>
          <w:rFonts w:ascii="Times New Roman" w:cs="Times New Roman" w:eastAsia="Times New Roman" w:hAnsi="Times New Roman"/>
          <w:sz w:val="18"/>
          <w:szCs w:val="18"/>
          <w:u w:val="single" w:color="auto"/>
          <w:color w:val="auto"/>
        </w:rPr>
        <w:t>Irish Treaty</w:t>
      </w:r>
      <w:r>
        <w:rPr>
          <w:rFonts w:ascii="Times New Roman" w:cs="Times New Roman" w:eastAsia="Times New Roman" w:hAnsi="Times New Roman"/>
          <w:sz w:val="18"/>
          <w:szCs w:val="18"/>
          <w:color w:val="auto"/>
        </w:rPr>
        <w:t>”) in force on that date between Ireland and another jurisdiction to that payment without any withholding for or on account of Irish Tax (subject to the completion of any procedural formalities) and which does not carry on a business in Ireland through a permanent establishment with which that Lender’s participation in the Loan is effectively connected.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each of JPMCB, Bank of America, N.A., Bank of Montreal, London Branch, Citibank, N.A. and U.S. Bank National Association and each other Lender designated by the Company as an “Issuing Bank” hereunder that has agreed to such designation (and is reasonably acceptable to the Administrative Agent), each in its capacity as the issuer of Letters of Credit hereunder, and its successors in such capacity as provided in </w:t>
      </w:r>
      <w:r>
        <w:rPr>
          <w:rFonts w:ascii="Times New Roman" w:cs="Times New Roman" w:eastAsia="Times New Roman" w:hAnsi="Times New Roman"/>
          <w:sz w:val="18"/>
          <w:szCs w:val="18"/>
          <w:u w:val="single" w:color="auto"/>
          <w:color w:val="auto"/>
        </w:rPr>
        <w:t>Section 2.06(i)</w:t>
      </w:r>
      <w:r>
        <w:rPr>
          <w:rFonts w:ascii="Times New Roman" w:cs="Times New Roman" w:eastAsia="Times New Roman" w:hAnsi="Times New Roman"/>
          <w:sz w:val="18"/>
          <w:szCs w:val="18"/>
          <w:color w:val="auto"/>
        </w:rPr>
        <w:t>. Each Issuing Bank may, in its discretion, arrange for one or more Letters of Credit to be issued by Affiliates or branches of such Issuing Bank, in which case the term “Issuing Bank” shall include any such Affiliate or branch, as applicable, with respect to Letters of Credit issued by such Affiliate or branch, as applicable (excluding Sections 2.06(i) and 9.04(b)(i)(C)).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the actual knowledge of a Responsible Officer, without giving effect to imputed or constructive knowledge or giving rise to any duty to investigate.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undrawn Dollar Amount of all outstanding Letters of Credit at such time which are then available plus (b) the aggregate Dollar Amount of all LC Disbursements that have not yet been reimbursed by or on behalf of the Company at such time. The LC Exposure of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Company and each Lender shall remain in full force and effect until the relevant Issuing Bank and the Lenders shall have no further obligations to make any payments or disbursements under any circumstances with respect to any Letter of Credit.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Notice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Lenders and the Issuing Banks. For the avoidance of doubt, the term “Lenders” excludes the Departing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or commercial letter of credit issued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“Liabilities” means any losses, claims, damages or liabilities.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interest in property securing any obligation owed to, or a claim by, a Person other than the owner of the property, whether such interest is based on the common law, statute, regulation, decree or contract, including (a) any lien or security interest arising from any mortgage, encumbrance, pledge, security agreement, conditional sale or trust receipt or consignment or bailment for security purposes and (b) the interest of a person under a capital lease (but excluding the interest of a lessor under an operating lease).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means, at any time, the amount of unrestricted an unencumbered cash and cash equivalent investments of the Parent and its Subsidiaries at such time that is not subject to any Lien other than Liens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that is in excess of $5,000,000 but in no event to exceed $250,000,000.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Conditionality Acquisition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Conditionality Acquisition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Affiliate Borrowing Agreement, each Affiliate Borrowing Termination, each Letter of Credit Agreement, any promissory notes executed and delivered pursuant to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each Borrowing Request and any and all other instruments and documents executed and delivered in connection with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the Parent, the Company and each Affiliate Borrower.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 it being understood that conversions and continuations of Loans are not Loans hereunder.</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Chicago time in the case of a Loan, Borrowing or LC Disbursement denominated in Dollars and (ii) local time in the case of a Loan, Borrowing or LC Disbursement denominated in a Foreign Currency (it being understood that such local time shall mean (a) London, England time with respect to any Foreign Currency (other than euro) and (b) Brussels, Belgium time with respect to euro, in each case of the foregoing clauses (a) and (b) unless otherwise notified by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w:t>
      </w:r>
      <w:r>
        <w:rPr>
          <w:rFonts w:ascii="Times New Roman" w:cs="Times New Roman" w:eastAsia="Times New Roman" w:hAnsi="Times New Roman"/>
          <w:sz w:val="18"/>
          <w:szCs w:val="18"/>
          <w:color w:val="auto"/>
        </w:rPr>
        <w:t>” means the Grand Duchy of Luxembourg.</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Debtor Relief Laws</w:t>
      </w:r>
      <w:r>
        <w:rPr>
          <w:rFonts w:ascii="Times New Roman" w:cs="Times New Roman" w:eastAsia="Times New Roman" w:hAnsi="Times New Roman"/>
          <w:sz w:val="18"/>
          <w:szCs w:val="18"/>
          <w:color w:val="auto"/>
        </w:rPr>
        <w:t>” means (i)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xml:space="preserve">) within the meaning of Articles 437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Luxembourg Commercial Code, (ii) judicial reorganisation proceedings in the form of a mutual agreement (</w:t>
      </w:r>
      <w:r>
        <w:rPr>
          <w:rFonts w:ascii="Times New Roman" w:cs="Times New Roman" w:eastAsia="Times New Roman" w:hAnsi="Times New Roman"/>
          <w:sz w:val="18"/>
          <w:szCs w:val="18"/>
          <w:i w:val="1"/>
          <w:iCs w:val="1"/>
          <w:color w:val="auto"/>
        </w:rPr>
        <w:t>réorganisation judiciaire par accord amiable</w:t>
      </w:r>
      <w:r>
        <w:rPr>
          <w:rFonts w:ascii="Times New Roman" w:cs="Times New Roman" w:eastAsia="Times New Roman" w:hAnsi="Times New Roman"/>
          <w:sz w:val="18"/>
          <w:szCs w:val="18"/>
          <w:color w:val="auto"/>
        </w:rPr>
        <w:t>), a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or a judicial reorganisation by transfer by court order (</w:t>
      </w:r>
      <w:r>
        <w:rPr>
          <w:rFonts w:ascii="Times New Roman" w:cs="Times New Roman" w:eastAsia="Times New Roman" w:hAnsi="Times New Roman"/>
          <w:sz w:val="18"/>
          <w:szCs w:val="18"/>
          <w:i w:val="1"/>
          <w:iCs w:val="1"/>
          <w:color w:val="auto"/>
        </w:rPr>
        <w:t>réorganisation judiciaire par transfert par décision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justice</w:t>
      </w:r>
      <w:r>
        <w:rPr>
          <w:rFonts w:ascii="Times New Roman" w:cs="Times New Roman" w:eastAsia="Times New Roman" w:hAnsi="Times New Roman"/>
          <w:sz w:val="18"/>
          <w:szCs w:val="18"/>
          <w:color w:val="auto"/>
        </w:rPr>
        <w:t>) within the meaning of Luxembourg law of 7 August 2023 on business preservation and modernization of the bankruptcy law, (iv) suspension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xml:space="preserve">) within the meaning of Articles 593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Luxembourg Commercial Code, and (v) voluntary or compulsory liquidation pursuant to the Luxembourg law of August 10, 1915 on commercial companies.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Person</w:t>
      </w:r>
      <w:r>
        <w:rPr>
          <w:rFonts w:ascii="Times New Roman" w:cs="Times New Roman" w:eastAsia="Times New Roman" w:hAnsi="Times New Roman"/>
          <w:sz w:val="18"/>
          <w:szCs w:val="18"/>
          <w:color w:val="auto"/>
        </w:rPr>
        <w:t>” means an entity that (i) is organized under the laws of the Grand-Duchy of Luxembourg, (ii) has its center of main interests, within the meaning of the Insolvency Regulation, in Luxembourg or (iii) has an establishment, within the meaning of the Insolvency Regulation, in Luxembourg.</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Relief</w:t>
      </w:r>
      <w:r>
        <w:rPr>
          <w:rFonts w:ascii="Times New Roman" w:cs="Times New Roman" w:eastAsia="Times New Roman" w:hAnsi="Times New Roman"/>
          <w:sz w:val="18"/>
          <w:szCs w:val="18"/>
          <w:color w:val="auto"/>
        </w:rPr>
        <w:t>” means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suspension of 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judicial reorganisation proceedings in the form of a mutual agreement (</w:t>
      </w:r>
      <w:r>
        <w:rPr>
          <w:rFonts w:ascii="Times New Roman" w:cs="Times New Roman" w:eastAsia="Times New Roman" w:hAnsi="Times New Roman"/>
          <w:sz w:val="18"/>
          <w:szCs w:val="18"/>
          <w:i w:val="1"/>
          <w:iCs w:val="1"/>
          <w:color w:val="auto"/>
        </w:rPr>
        <w:t>réorganisation judiciaire par accord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amiable</w:t>
      </w:r>
      <w:r>
        <w:rPr>
          <w:rFonts w:ascii="Times New Roman" w:cs="Times New Roman" w:eastAsia="Times New Roman" w:hAnsi="Times New Roman"/>
          <w:sz w:val="18"/>
          <w:szCs w:val="18"/>
          <w:color w:val="auto"/>
        </w:rPr>
        <w:t>), a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or a judicial reorganisation by transfer by court order (</w:t>
      </w:r>
      <w:r>
        <w:rPr>
          <w:rFonts w:ascii="Times New Roman" w:cs="Times New Roman" w:eastAsia="Times New Roman" w:hAnsi="Times New Roman"/>
          <w:sz w:val="18"/>
          <w:szCs w:val="18"/>
          <w:i w:val="1"/>
          <w:iCs w:val="1"/>
          <w:color w:val="auto"/>
        </w:rPr>
        <w:t>réorganisation judiciaire par transfert par décision de justice</w:t>
      </w:r>
      <w:r>
        <w:rPr>
          <w:rFonts w:ascii="Times New Roman" w:cs="Times New Roman" w:eastAsia="Times New Roman" w:hAnsi="Times New Roman"/>
          <w:sz w:val="18"/>
          <w:szCs w:val="18"/>
          <w:color w:val="auto"/>
        </w:rPr>
        <w:t>), a general settlement with creditors and voluntary or compulsory liquidation, as such terms are understood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Luxembourg Debtor Relief Laws, and also means any other proceedings affecting the rights of creditors generally or the appointment of an interim administrator (</w:t>
      </w:r>
      <w:r>
        <w:rPr>
          <w:rFonts w:ascii="Times New Roman" w:cs="Times New Roman" w:eastAsia="Times New Roman" w:hAnsi="Times New Roman"/>
          <w:sz w:val="18"/>
          <w:szCs w:val="18"/>
          <w:i w:val="1"/>
          <w:iCs w:val="1"/>
          <w:color w:val="auto"/>
        </w:rPr>
        <w:t>administrateur provisoire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acquisition if the aggregate consideration paid or to be paid (including liabilities to be assumed as part of the purchase consideration) by the Parent or a Subsidiary in respect of such acquisition is equal to or greater than $250,000,000.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 material adverse effect on (i) the business, assets, operations or financial condition of the Parent and its Subsidiaries taken as a whole or (ii) the ability of any Loan Party to perform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specific events, circumstances, changes, effects or conditions (and not general economic or industry conditions) specifically applicable to the Parent and its Subsidiaries disclosed in the Public Filings shall not constitute a “Material Adverse Effect” to the extent so disclosed.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Financial Obligations</w:t>
      </w:r>
      <w:r>
        <w:rPr>
          <w:rFonts w:ascii="Times New Roman" w:cs="Times New Roman" w:eastAsia="Times New Roman" w:hAnsi="Times New Roman"/>
          <w:sz w:val="18"/>
          <w:szCs w:val="18"/>
          <w:color w:val="auto"/>
        </w:rPr>
        <w:t>” means Debt or Synthetic Lease Obligations of the Parent or any Subsidiary (excluding amounts owed to the Parent or any Subsidiary that is wholly-owned (except for directors’ qualifying shares)) in an aggregate amount (for all applicable Debt and Synthetic Lease Obligations, but without duplication) equal to or greater than a Dollar Amount of $75,000,000.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each Borrower and (b) each other Subsidiary of the Parent that at the time of determination constitutes a “significant subsidiary” (as such term is defined in Regulation S-X of the SEC as in effect on the date of this Agreement).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b w:val="1"/>
          <w:bCs w:val="1"/>
          <w:color w:val="FF0000"/>
          <w:strike w:val="1"/>
        </w:rPr>
        <w:t>five year anniversary of the Effective Date, as extended (in the case of each Lender consenting thereto) pursuant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to </w:t>
      </w:r>
      <w:r>
        <w:rPr>
          <w:rFonts w:ascii="Times New Roman" w:cs="Times New Roman" w:eastAsia="Times New Roman" w:hAnsi="Times New Roman"/>
          <w:sz w:val="18"/>
          <w:szCs w:val="18"/>
          <w:b w:val="1"/>
          <w:bCs w:val="1"/>
          <w:u w:val="single" w:color="auto"/>
          <w:color w:val="FF0000"/>
          <w:strike w:val="1"/>
        </w:rPr>
        <w:t>Section 2.25</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FF0000"/>
          <w:strike w:val="1"/>
        </w:rPr>
        <w:t>however</w:t>
      </w:r>
      <w:r>
        <w:rPr>
          <w:rFonts w:ascii="Times New Roman" w:cs="Times New Roman" w:eastAsia="Times New Roman" w:hAnsi="Times New Roman"/>
          <w:sz w:val="18"/>
          <w:szCs w:val="18"/>
          <w:b w:val="1"/>
          <w:bCs w:val="1"/>
          <w:color w:val="FF0000"/>
          <w:strike w:val="1"/>
        </w:rPr>
        <w:t>, in each case, if such date is not a Business Day, the Maturity Date shall be the next preceding Business Day</w:t>
      </w:r>
      <w:r>
        <w:rPr>
          <w:rFonts w:ascii="Times New Roman" w:cs="Times New Roman" w:eastAsia="Times New Roman" w:hAnsi="Times New Roman"/>
          <w:sz w:val="18"/>
          <w:szCs w:val="18"/>
          <w:b w:val="1"/>
          <w:bCs w:val="1"/>
          <w:u w:val="single" w:color="auto"/>
          <w:color w:val="0000FF"/>
          <w:strike w:val="1"/>
        </w:rPr>
        <w:t>Revolving Credit Maturity Date or the Term Loan Maturity Date, as the case may be</w:t>
      </w:r>
      <w:r>
        <w:rPr>
          <w:rFonts w:ascii="Times New Roman" w:cs="Times New Roman" w:eastAsia="Times New Roman" w:hAnsi="Times New Roman"/>
          <w:sz w:val="18"/>
          <w:szCs w:val="18"/>
          <w:color w:val="000000"/>
          <w:strike w:val="1"/>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 xml:space="preserve">” means, as of the last day of any period of four consecutive fiscal quarters, the ratio of (a) (i) the sum (without duplication) of the outstanding principal amount of all Debt (excluding, without duplication, Synthetic Lease Obligations) of the Parent and its Consolidated Subsidiaries determined on a consolidated basis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Liquidity as of such date, to (b) EBITDA for the period of four consecutive fiscal quarters then 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EBITDA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consolidated net income of any Person or business unit acquired (or divested or liquidated, if the sales revenue generated by such Person or business unit in the 12 months prior to such divestiture or liquidation was $ 25,000,000 or more) by the Parent or any Subsidiary during such period (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to the extent deducted in determining such consolidated net income, Interest Expense, income tax expense, depreciation and amortization and non-cash compensation expenses of such Person or business unit) shall be included (or, in the case of a divestiture or liquidation, excluded)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for such period (assuming the consummation of each such acquisition and the incurrence or assumption of any Debt in connection therewith (or the consummation of such divestiture or liquidation) occurred on the first day of such period) in accordance with Article 11 of Regulation S-X of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at any time after the definitive agreement for any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(and the proceeds of such Debt) shall be excluded from the determination of the Net Leverage Ratio.</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Money Credit Event</w:t>
      </w:r>
      <w:r>
        <w:rPr>
          <w:rFonts w:ascii="Times New Roman" w:cs="Times New Roman" w:eastAsia="Times New Roman" w:hAnsi="Times New Roman"/>
          <w:sz w:val="18"/>
          <w:szCs w:val="18"/>
          <w:color w:val="auto"/>
        </w:rPr>
        <w:t>” means with respect to any Issuing Bank, any increase (directly or indirectly) in such Issuing Bank’s exposure (whether by way of additional credit or banking facilities or otherwise, including as part of a restructuring) to any Borrower occurring by reason of (i) any law, action or requirement of any Governmental Authority in such Borrower’s or such Letter of Credit beneficiary’s country, or (ii) any agreement in relation to clause (i), in each case to the extent calculated by reference to the aggregate Revolving Credit Exposures outstanding prior to such increase.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2.25(b)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right="8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“Non-U.S. Administrative Agent” means J.P. Morgan SE (or any of its designated branch offices or affiliates), in its capacity as administrative agent for the Lenders 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note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u w:val="single" w:color="auto"/>
          <w:color w:val="0000FF"/>
        </w:rPr>
        <w:t>-1 or D-2</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u w:val="single" w:color="auto"/>
          <w:color w:val="0000FF"/>
        </w:rPr>
        <w:t>as applicable,</w:t>
      </w:r>
      <w:r>
        <w:rPr>
          <w:rFonts w:ascii="Times New Roman" w:cs="Times New Roman" w:eastAsia="Times New Roman" w:hAnsi="Times New Roman"/>
          <w:sz w:val="18"/>
          <w:szCs w:val="18"/>
          <w:color w:val="auto"/>
        </w:rPr>
        <w:t xml:space="preserve"> evidencing the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Loans </w:t>
      </w:r>
      <w:r>
        <w:rPr>
          <w:rFonts w:ascii="Times New Roman" w:cs="Times New Roman" w:eastAsia="Times New Roman" w:hAnsi="Times New Roman"/>
          <w:sz w:val="18"/>
          <w:szCs w:val="18"/>
          <w:b w:val="1"/>
          <w:bCs w:val="1"/>
          <w:u w:val="single" w:color="auto"/>
          <w:color w:val="0000FF"/>
        </w:rPr>
        <w:t>of the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Class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made by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to each applicable Borrower.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both such rates are not so published for any day that is a Business Day, the term “NYFRB Rate” means the rate quoted for such day for a federal funds transaction at 11:00 a.m., New York City time,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would be less than 0%, such rate shall be deemed to be 0%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indebtedness (including interest and fees accruing during the pendency of any bankruptcy, insolvency, examinership, receivership or other similar proceeding, regardless of whether allowed or allowable in such proceeding), obligations and liabilities of any of the Parent and its Subsidiaries to any of the Lenders, any of the Issuing Banks, any indemnified party and the Administrative Agent, individually or collectively, under this Agreement or any of the other Loan Documents or in respect of any of the Loans made or reimbursement obligations incurred or any of the Letters of Credit or other instruments at any time evidencing any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Treasury.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or unlimited liability company,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the Administrative Agent, any Lender or any Issuing Bank,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registration or documentary Taxes or any other excise or property Taxes, charges or similar Taxes or levies arising from any payment made hereunder or from the execution, delivery or enforcement of, or otherwise with respect to, any Loan Document, but excluding (i) Excluded Taxes and (ii) any such stamp, court or documentary, intangible, mortgage, recording, filing or similar Tax that becomes payable upon a registration made by any party (including, for the avoidance of doubt, any Luxembourg registration duties (</w:t>
      </w:r>
      <w:r>
        <w:rPr>
          <w:rFonts w:ascii="Times New Roman" w:cs="Times New Roman" w:eastAsia="Times New Roman" w:hAnsi="Times New Roman"/>
          <w:sz w:val="18"/>
          <w:szCs w:val="18"/>
          <w:i w:val="1"/>
          <w:iCs w:val="1"/>
          <w:color w:val="auto"/>
        </w:rPr>
        <w:t>droits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d'enregistrement</w:t>
      </w:r>
      <w:r>
        <w:rPr>
          <w:rFonts w:ascii="Times New Roman" w:cs="Times New Roman" w:eastAsia="Times New Roman" w:hAnsi="Times New Roman"/>
          <w:sz w:val="18"/>
          <w:szCs w:val="18"/>
          <w:color w:val="auto"/>
        </w:rPr>
        <w:t>)), including the Administrative Agent or any Lender, if such registration is not required to enforce the rights of such party or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party under a Loan Document.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NYFRB Rate and (b) with respect to any amount denominated in a Foreign Currency, an overnight rate reasonably determined by the Administrative Agent or the relevant Issuing Bank, as the case may be, in accordance with banking industry rules on interbank compensation.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Pentair plc, an Irish public limited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right="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the Parent or a Subsidiary which satisfies each of the following requirements: (i) no Event of Default or Default has occurred and is continuing at the time of, or will result upon giving effect to, such Acquisition; and (ii) in the case of the Acquisition of any Person, the board of directors (or equivalent governing body) of the Person being acquired (or all of the equity holders thereof) shall have approved such Acquisition.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Governmental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any time an employee pension benefit plan which is covered by Title IV of ERISA or subject to the minimum funding standards under Section 412 of the Code and is either (i) maintained by the Parent or any ERISA Affiliate for employees of the Parent or such ERISA Affiliate or (ii) maintained pursuant to a collective bargaining agreement or any other arrangement under which more than one employer makes contributions and to which the Parent or any ERISA Affiliate is then making or accruing an obligation to make contributions or has within the preceding five plan years made contributions.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reasonably and in good faith by the Administrative Agent) or any similar release by the Board (as determined reasonably and in good faith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the rating that has been most recently announced by S&amp;P, Moody’s or Fitch, as the case may be, for any class of non-credit enhanced long-term senior unsecured debt issued by the Company (or if no such rating is then in effect with respect to such debt, then the corporate, issuer or similar rating with respect to the Parent, that has been most recently announced by S&amp;P, Moody’s or Fitch, as the case may be), or, if any such rating agency shall have issued more than one such rating, the lowest such rating issued by such rating agency.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Filings</w:t>
      </w:r>
      <w:r>
        <w:rPr>
          <w:rFonts w:ascii="Times New Roman" w:cs="Times New Roman" w:eastAsia="Times New Roman" w:hAnsi="Times New Roman"/>
          <w:sz w:val="18"/>
          <w:szCs w:val="18"/>
          <w:color w:val="auto"/>
        </w:rPr>
        <w:t>” means any 10-K, 10-Q or 8-K, S-1 or S-4 filed by the Parent, in each case with the SEC after December 31, 2017 and on or before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following a Benchmark Transition Event and Benchmark Replacement Date with respect to the Term SOFR Rate, the RFR for such Benchmark is Daily Simple SOFR, then four (4) RFR Business Days prior to such setting or (iv) if such Benchmark is none of the Term SOFR Rate, Daily Simple SOFR or the EURIBO Rate, the time determined by the Administrative Agent in its reasonable good faith discretion.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Indemnified Person</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euro, the European Central Bank, or a committee officially endorsed or convened by the European Central Bank or, in each case, any successor thereto or (iii)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Term SOFR Rate, (ii) with respect to any Term Benchmark Borrowing denominated in euro, the EURIBO Rate or (iii) with respect to any RFR Borrowing denominated in Dollars, the applicable Daily Simple RFR, in each case, as applicable.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or (ii) with respect to any Term Benchmark Borrowing denominated in euro, the EURIBO Screen Rate.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Territory</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member state of the European Communities (other than Ireland); 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to the extent not a member state of the European Communities, a jurisdiction with which Ireland has entered into a double taxation treaty that either has the force of law by virtue of Section 826(1) of the Irish TCA or which will have the force of law on completion of the procedures set out in Section 826(1) of the Irish TCA.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 at any time prior to the earlier of the Loans becoming due and payable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terminating or expiring, Lenders having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Credit </w:t>
      </w:r>
      <w:r>
        <w:rPr>
          <w:rFonts w:ascii="Times New Roman" w:cs="Times New Roman" w:eastAsia="Times New Roman" w:hAnsi="Times New Roman"/>
          <w:sz w:val="18"/>
          <w:szCs w:val="18"/>
          <w:b w:val="1"/>
          <w:bCs w:val="1"/>
          <w:color w:val="FF0000"/>
          <w:strike w:val="1"/>
        </w:rPr>
        <w:t>Exposure</w:t>
      </w:r>
      <w:r>
        <w:rPr>
          <w:rFonts w:ascii="Times New Roman" w:cs="Times New Roman" w:eastAsia="Times New Roman" w:hAnsi="Times New Roman"/>
          <w:sz w:val="18"/>
          <w:szCs w:val="18"/>
          <w:b w:val="1"/>
          <w:bCs w:val="1"/>
          <w:u w:val="single" w:color="auto"/>
          <w:color w:val="0000FF"/>
        </w:rPr>
        <w:t>Exposures</w:t>
      </w:r>
      <w:r>
        <w:rPr>
          <w:rFonts w:ascii="Times New Roman" w:cs="Times New Roman" w:eastAsia="Times New Roman" w:hAnsi="Times New Roman"/>
          <w:sz w:val="18"/>
          <w:szCs w:val="18"/>
          <w:color w:val="auto"/>
        </w:rPr>
        <w:t xml:space="preserve"> and Unfunded Commitments representing more than 50% of the sum of the </w:t>
      </w:r>
      <w:r>
        <w:rPr>
          <w:rFonts w:ascii="Times New Roman" w:cs="Times New Roman" w:eastAsia="Times New Roman" w:hAnsi="Times New Roman"/>
          <w:sz w:val="18"/>
          <w:szCs w:val="18"/>
          <w:b w:val="1"/>
          <w:bCs w:val="1"/>
          <w:color w:val="FF0000"/>
          <w:strike w:val="1"/>
        </w:rPr>
        <w:t>Total Revolving</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Credit Exposures and Unfunded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declaring the Loans to be due and payable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 Unfunded Commitment of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shall be deemed to be zero; and (b) for all purposes after the Loans become due and payable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expire or terminate, Lenders having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Credit Exposures representing more than 50% of the </w:t>
      </w:r>
      <w:r>
        <w:rPr>
          <w:rFonts w:ascii="Times New Roman" w:cs="Times New Roman" w:eastAsia="Times New Roman" w:hAnsi="Times New Roman"/>
          <w:sz w:val="18"/>
          <w:szCs w:val="18"/>
          <w:b w:val="1"/>
          <w:bCs w:val="1"/>
          <w:color w:val="FF0000"/>
          <w:strike w:val="1"/>
        </w:rPr>
        <w:t>Total Revolving</w:t>
      </w:r>
      <w:r>
        <w:rPr>
          <w:rFonts w:ascii="Times New Roman" w:cs="Times New Roman" w:eastAsia="Times New Roman" w:hAnsi="Times New Roman"/>
          <w:sz w:val="18"/>
          <w:szCs w:val="18"/>
          <w:b w:val="1"/>
          <w:bCs w:val="1"/>
          <w:u w:val="single" w:color="auto"/>
          <w:color w:val="0000FF"/>
        </w:rPr>
        <w:t>sum of the total</w:t>
      </w:r>
      <w:r>
        <w:rPr>
          <w:rFonts w:ascii="Times New Roman" w:cs="Times New Roman" w:eastAsia="Times New Roman" w:hAnsi="Times New Roman"/>
          <w:sz w:val="18"/>
          <w:szCs w:val="18"/>
          <w:color w:val="auto"/>
        </w:rPr>
        <w:t xml:space="preserve"> Credit </w:t>
      </w:r>
      <w:r>
        <w:rPr>
          <w:rFonts w:ascii="Times New Roman" w:cs="Times New Roman" w:eastAsia="Times New Roman" w:hAnsi="Times New Roman"/>
          <w:sz w:val="18"/>
          <w:szCs w:val="18"/>
          <w:b w:val="1"/>
          <w:bCs w:val="1"/>
          <w:color w:val="FF0000"/>
          <w:strike w:val="1"/>
        </w:rPr>
        <w:t>Exposure</w:t>
      </w:r>
      <w:r>
        <w:rPr>
          <w:rFonts w:ascii="Times New Roman" w:cs="Times New Roman" w:eastAsia="Times New Roman" w:hAnsi="Times New Roman"/>
          <w:sz w:val="18"/>
          <w:szCs w:val="18"/>
          <w:b w:val="1"/>
          <w:bCs w:val="1"/>
          <w:u w:val="single" w:color="auto"/>
          <w:color w:val="0000FF"/>
        </w:rPr>
        <w:t>Exposures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above, (x) the Revolving Credit Exposure of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that is a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Parent or an Affiliate of the Parent shall be disregarded.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(i) with respect to the Company, a Manager of the Company; (ii) with respect to the Parent, the Chief Executive Officer, the Chief Financial Officer, the Chief Accounting Officer or the Treasurer of the Parent; and (iii) with respect to any other Loan Party, a manager, a director, the chief executive officer, the chief operating officer, the president, any vice president (if appointed by the board of directors or similar governing body of such Loan Party), the chief financial officer, the treasurer or any assistant treasurer of such Loan Party, or any other officer having substantially the same authority and responsibility.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Retired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Thomson Reuters Corp., Refinitiv or any successor thereto.</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“Revolving Commitment” means, with respect to each Lender, the commitment of such Lender, if any,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Revolving Commitment is set forth on Schedule 2.01, or in the Assignment and Assumption or other documentation or record (as such term is defined in Section 9-102(a)(70) of the New York Uniform Commercial Code) as provided in Section 9.04(b)(ii)(C) or other documentation contemplated hereby pursuant to which such Lender shall have assumed its Revolving Commitment pursuant to the terms hereof, as applicable. The aggregate amount of the Revolving Lenders’ Revolving Commitments as of the Amendment No. 1 Effective Date is $900,000,000.</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Loans and its LC Exposure and Swingline Exposure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“Revolving Credit Facility” means the revolving credit facility under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“Revolving Credit Maturity Date” means the five year anniversary of the Effective Date, as extended (in the case of each Revolving Lender consenting thereto) pursuant to Section 2.25; provided, however, in each case, if such date is not a Business Day, the Revolving Credit Maturity Date shall be the next preceding Business Day.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“Revolving Lender” means, as of any date of determination, each Lender that has a Revolving Commitment or, if the Revolving Commitments have terminated or expired, a Lender with Revolving Credit Exposure.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made by a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RFR Loan denominated in (a) Dollars, (solely following a Benchmark Transition Event and a Benchmark Replacement Date with respect to the Term SOFR Rate), Daily Simple SOFR and (b) euro (but solely with respect to a Swingline Loan denominated in euro), ESTR, and when used in reference to any Loan or Borrowing, means that such Loan, or the Loans comprising such Borrowing, bears interest at a rate determined by reference to the applicable Adjusted Daily Simple RFR.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(a) Dollars, a U.S. Government Securities Business Day and (b) euro (but solely with respect to a Swingline Loan denominated in euro), any day except for (i) a Saturday, (ii) a Sunday or (iii) any day on which the TARGET2 payment system is not open for the settlement of payments in euro.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Adjusted Daily Simple RFR.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region or territory which is at any relevant time subject to any comprehensive Sanctions (at the time of this Agreement, the so-called Donetsk People’s Republic, the so-called Luhansk People’s Republic, the Crimea, Zaporizhzhia and Kherson Regions of Ukraine, Cuba, Iran</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auto"/>
        </w:rPr>
        <w:t xml:space="preserve"> North Korea </w:t>
      </w:r>
      <w:r>
        <w:rPr>
          <w:rFonts w:ascii="Times New Roman" w:cs="Times New Roman" w:eastAsia="Times New Roman" w:hAnsi="Times New Roman"/>
          <w:sz w:val="18"/>
          <w:szCs w:val="18"/>
          <w:b w:val="1"/>
          <w:bCs w:val="1"/>
          <w:color w:val="FF0000"/>
          <w:strike w:val="1"/>
        </w:rPr>
        <w:t>and Syria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656"/>
        <w:spacing w:after="0" w:line="282" w:lineRule="auto"/>
        <w:tabs>
          <w:tab w:leader="none" w:pos="9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financial sanctions, trade embargoes or similar restrictions imposed, administered or enforced from time to time by the US government and administered by OFAC; and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56"/>
        <w:spacing w:after="0" w:line="268"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economic or financial sanctions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imposed, trade embargoes or similar restrictions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imposed, administered or enforced from time to time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by the US State Department, the US Department of Commerce, the US Department of the Treasury or </w:t>
      </w:r>
      <w:r>
        <w:rPr>
          <w:rFonts w:ascii="Times New Roman" w:cs="Times New Roman" w:eastAsia="Times New Roman" w:hAnsi="Times New Roman"/>
          <w:sz w:val="18"/>
          <w:szCs w:val="18"/>
          <w:b w:val="1"/>
          <w:bCs w:val="1"/>
          <w:u w:val="single" w:color="auto"/>
          <w:color w:val="0000FF"/>
        </w:rPr>
        <w:t>(ii) the United Nations Security Council,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the European Union, any European Union member state, His Majesty’s Treasury of the United Kingdom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 relevant sanctions authority.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xml:space="preserve">” means any of the lists of specifically designated nationals or designated persons or entities (or equivalent) maintained by the US government, including by OFAC, the US State Department, the US Department of Commerce or the US Department of the Treasury or by the United Nations Security Council or any similar list maintained by any other U.S. government entity or </w:t>
      </w:r>
      <w:r>
        <w:rPr>
          <w:rFonts w:ascii="Times New Roman" w:cs="Times New Roman" w:eastAsia="Times New Roman" w:hAnsi="Times New Roman"/>
          <w:sz w:val="18"/>
          <w:szCs w:val="18"/>
          <w:b w:val="1"/>
          <w:bCs w:val="1"/>
          <w:u w:val="single" w:color="auto"/>
          <w:color w:val="0000FF"/>
        </w:rPr>
        <w:t>by the United Nations Security Council, the European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Union, any European Union member state, His Majesty’s Treasury of the United Kingdom or other relevant sanctions authority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 relevant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sanctions authority, in each case as the same may be amended, supplemented or substituted from time to time.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United States, or any Governmental Authority succeeding to any of its principal functions.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Transaction</w:t>
      </w:r>
      <w:r>
        <w:rPr>
          <w:rFonts w:ascii="Times New Roman" w:cs="Times New Roman" w:eastAsia="Times New Roman" w:hAnsi="Times New Roman"/>
          <w:sz w:val="18"/>
          <w:szCs w:val="18"/>
          <w:color w:val="auto"/>
        </w:rPr>
        <w:t>” means any sale, assignment or other transfer by the Parent or any Subsidiary of accounts receivable, lease receivables, financial assets or other payment obligations owing to the Parent or such Subsidiary or any interest in any of the foregoing (other than sales of defaulted receivables, foreign receivables or similar items in the ordinary course of business), together in each case with any collections and other proceeds thereof, any collection or deposit accounts related thereto, and any collateral, guaranties or other property or claims in favor of the Parent or such Subsidiary supporting or securing payment by the obligor thereon of, or otherwise related to, any such receivables, financial assets or other payment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Financial Officer</w:t>
      </w:r>
      <w:r>
        <w:rPr>
          <w:rFonts w:ascii="Times New Roman" w:cs="Times New Roman" w:eastAsia="Times New Roman" w:hAnsi="Times New Roman"/>
          <w:sz w:val="18"/>
          <w:szCs w:val="18"/>
          <w:color w:val="auto"/>
        </w:rPr>
        <w:t>” means the Chief Financial Officer, the Chief Accounting Officer or the Treasurer of the Parent.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of Process Agent</w:t>
      </w:r>
      <w:r>
        <w:rPr>
          <w:rFonts w:ascii="Times New Roman" w:cs="Times New Roman" w:eastAsia="Times New Roman" w:hAnsi="Times New Roman"/>
          <w:sz w:val="18"/>
          <w:szCs w:val="18"/>
          <w:color w:val="auto"/>
        </w:rPr>
        <w:t xml:space="preserve">” means (i) so long as the Initial Affiliate Borrower is a Borrower hereunder, the Initial Affiliate Borrower and (ii) to the extent the Initial Affiliate Borrower ceases to be a Borrower hereunder in accordance with the terms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CT Corporation Systems, with an office on the date hereof at 111 Eighth Avenue, New York, New York 10011.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Ancillary Obligations</w:t>
      </w:r>
      <w:r>
        <w:rPr>
          <w:rFonts w:ascii="Times New Roman" w:cs="Times New Roman" w:eastAsia="Times New Roman" w:hAnsi="Times New Roman"/>
          <w:sz w:val="18"/>
          <w:szCs w:val="18"/>
          <w:color w:val="auto"/>
        </w:rPr>
        <w:t xml:space="preserve">” means all obligations and liabilities (including interest and fees accruing during the pendency of any bankruptcy, insolvency, examinership,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Hedging Agreement or any Banking Services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definition of “Specified Ancillary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 and the Administrative Agent shall notify the Company promptly of any such adjustment.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company,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such term in Section 9.18.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xml:space="preserve">” means, at any time, the aggregate principal Dollar Amount of all Swingline Loans outstanding at such time. The Swingline Exposure of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at any time shall be the sum, without duplication, of (a) its Applicable Percentage of the aggregate principal Dollar Amount of all Swingline Loans outstanding at such time (excluding, in the case of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that is a Swingline Lender, Swingline Loans made by it that are outstanding at such time to the extent that the other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shall not have funded their participations in such Swingline Loans), adjusted to give effect to any reallocation under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of the Swingline Exposure of Defaulting Lenders in effect at such time, and (b) in the case of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that is a Swingline Lender, the aggregate principal Dollar Amount of all Swingline Loans made by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outstanding at such time, less the Dollar Amount of participations funded by the other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in such Swingline Loans.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Foreign Currency Sublimit</w:t>
      </w:r>
      <w:r>
        <w:rPr>
          <w:rFonts w:ascii="Times New Roman" w:cs="Times New Roman" w:eastAsia="Times New Roman" w:hAnsi="Times New Roman"/>
          <w:sz w:val="18"/>
          <w:szCs w:val="18"/>
          <w:color w:val="auto"/>
        </w:rPr>
        <w:t>” means $45,000,000.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Lenders</w:t>
      </w:r>
      <w:r>
        <w:rPr>
          <w:rFonts w:ascii="Times New Roman" w:cs="Times New Roman" w:eastAsia="Times New Roman" w:hAnsi="Times New Roman"/>
          <w:sz w:val="18"/>
          <w:szCs w:val="18"/>
          <w:color w:val="auto"/>
        </w:rPr>
        <w:t>” means each of JPMCB, Bank of America, N.A., Bank of Montreal, London Branch, Citibank, N.A., U.S. Bank National Association and each other Lender designated by the Company as a “Swingline Lender” hereunder that has agreed to such designation (and is reasonably acceptable to the Administrative Agent), each in its capacity as a lender of Swingline Loans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xml:space="preserve">” means as to any Lender (i) the amount set forth opposite such Lender’s name on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 xml:space="preserve"> hereof or (ii) if such Lender has entered into an Assignment and Assumption, the amount set forth for such Lender as its Swingline Sublimit in the Register maintained by the Administrative Agent pursuant to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 xml:space="preserve"> (provided that, in the case of each of the foregoing clauses (i) and (ii), any increase in the Swingline Sublimit with respect to any Lender shall only require the consent of the Company and such Lender).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Borrower</w:t>
      </w:r>
      <w:r>
        <w:rPr>
          <w:rFonts w:ascii="Times New Roman" w:cs="Times New Roman" w:eastAsia="Times New Roman" w:hAnsi="Times New Roman"/>
          <w:sz w:val="18"/>
          <w:szCs w:val="18"/>
          <w:color w:val="auto"/>
        </w:rPr>
        <w:t>” means any Affiliate Borrower organized under the laws of Switzerland or, if different, is deemed resident in Switzerland for Swiss Withholding Tax purposes pursuant to Article 9 of the Swiss Withholding Tax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Guidelines</w:t>
      </w:r>
      <w:r>
        <w:rPr>
          <w:rFonts w:ascii="Times New Roman" w:cs="Times New Roman" w:eastAsia="Times New Roman" w:hAnsi="Times New Roman"/>
          <w:sz w:val="18"/>
          <w:szCs w:val="18"/>
          <w:color w:val="auto"/>
        </w:rPr>
        <w:t>” means, together,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guideline S-02.123 in relation to interbank loans of 22 September 1986 (Merkblatt Verrechnungssteuer auf Zinsen von Bankguthaben, deren Gläubiger Banken sind (Interbankguthaben) vom 22 September 1986);</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(b)                guideline S-02.130.1 in relation to money market instruments and book claims of April 1999 (</w:t>
      </w:r>
      <w:r>
        <w:rPr>
          <w:rFonts w:ascii="Times New Roman" w:cs="Times New Roman" w:eastAsia="Times New Roman" w:hAnsi="Times New Roman"/>
          <w:sz w:val="18"/>
          <w:szCs w:val="18"/>
          <w:i w:val="1"/>
          <w:iCs w:val="1"/>
          <w:color w:val="auto"/>
        </w:rPr>
        <w:t>Merkblatt vom April 1999 betreffend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Geldmarktpapiere und Buchforderungen inländischer Schuldner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                 circular letter no. 34 of 26 July 2011 (1.034-V-2011) in relation to deposits (</w:t>
      </w:r>
      <w:r>
        <w:rPr>
          <w:rFonts w:ascii="Times New Roman" w:cs="Times New Roman" w:eastAsia="Times New Roman" w:hAnsi="Times New Roman"/>
          <w:sz w:val="18"/>
          <w:szCs w:val="18"/>
          <w:i w:val="1"/>
          <w:iCs w:val="1"/>
          <w:color w:val="auto"/>
        </w:rPr>
        <w:t>Kreisschreiben Nr. 34 betreffend Kundenguthaben vom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Juli 2011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circular letter no. 15 of 3 October 2017 (1-015-DVS-2017) in relation to bonds and derivative financial instruments as subject matter of taxation of Swiss federal income tax, Swiss withholding tax and Swiss stamp taxes (</w:t>
      </w:r>
      <w:r>
        <w:rPr>
          <w:rFonts w:ascii="Times New Roman" w:cs="Times New Roman" w:eastAsia="Times New Roman" w:hAnsi="Times New Roman"/>
          <w:sz w:val="18"/>
          <w:szCs w:val="18"/>
          <w:i w:val="1"/>
          <w:iCs w:val="1"/>
          <w:color w:val="auto"/>
        </w:rPr>
        <w:t>Kreisschreiben Nr. 15 “Obligationen und derivative Finanzinstrumente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als Gegenstand der direkten Bundessteuer, der Verrechnungssteuer und der Stempelabgaben” vom 3. Oktober 2017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circular letter No. 46 of 24 July 2019 (1-046-VS-2019) in relation to syndicated credit facilities (Kreisschreiben Nr. 46 betreffend steuerliche Behandlung von Konsortialdarlehen, Schuldscheindarlehen, Wechseln und Unterbeteiligungen vom 24. Juli 2019);</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(f)                 circular letter No. 47 of 25 July 2019 (1-047-V-2019) in relation to bonds (</w:t>
      </w:r>
      <w:r>
        <w:rPr>
          <w:rFonts w:ascii="Times New Roman" w:cs="Times New Roman" w:eastAsia="Times New Roman" w:hAnsi="Times New Roman"/>
          <w:sz w:val="18"/>
          <w:szCs w:val="18"/>
          <w:i w:val="1"/>
          <w:iCs w:val="1"/>
          <w:color w:val="auto"/>
        </w:rPr>
        <w:t>Kreisschreiben Nr. 47 betreffend Obligationen vom 25. Juli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2019</w:t>
      </w:r>
      <w:r>
        <w:rPr>
          <w:rFonts w:ascii="Times New Roman" w:cs="Times New Roman" w:eastAsia="Times New Roman" w:hAnsi="Times New Roman"/>
          <w:sz w:val="18"/>
          <w:szCs w:val="18"/>
          <w:color w:val="auto"/>
        </w:rPr>
        <w:t>); and</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(g)                notice 010-DVS-2019-d in relation to withholding tax treatment of credit balances within the group of 5 February 2019;</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as issued, amended or substituted from time to time by the Swiss Federal Tax Administration or as substituted or superseded or overruled by any law, statute, ordinance, court decision, regulation or the like as in force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Loan Party</w:t>
      </w:r>
      <w:r>
        <w:rPr>
          <w:rFonts w:ascii="Times New Roman" w:cs="Times New Roman" w:eastAsia="Times New Roman" w:hAnsi="Times New Roman"/>
          <w:sz w:val="18"/>
          <w:szCs w:val="18"/>
          <w:color w:val="auto"/>
        </w:rPr>
        <w:t>” means (a) any Loan Party that is organized under the laws of Switzerland, (b) any Loan Party that is treated as resident in Switzerland for Swiss Withholding Tax purposes and/or (c) any other Loan Party if, as a result of such Loan Party’s obtaining or maintaining Credit Events hereunder, there is a bona fide risk that any payment hereunder would become subject to taxation for Swiss Withholding Tax purposes.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Qualifying Lender</w:t>
      </w:r>
      <w:r>
        <w:rPr>
          <w:rFonts w:ascii="Times New Roman" w:cs="Times New Roman" w:eastAsia="Times New Roman" w:hAnsi="Times New Roman"/>
          <w:sz w:val="18"/>
          <w:szCs w:val="18"/>
          <w:color w:val="auto"/>
        </w:rPr>
        <w:t>” means (i) any bank as defined in the Swiss Federal Code for Banks and Savings Banks dated 8 November 1934 (</w:t>
      </w:r>
      <w:r>
        <w:rPr>
          <w:rFonts w:ascii="Times New Roman" w:cs="Times New Roman" w:eastAsia="Times New Roman" w:hAnsi="Times New Roman"/>
          <w:sz w:val="18"/>
          <w:szCs w:val="18"/>
          <w:i w:val="1"/>
          <w:iCs w:val="1"/>
          <w:color w:val="auto"/>
        </w:rPr>
        <w:t>Bundesgesetz über die Banken und Sparkassen</w:t>
      </w:r>
      <w:r>
        <w:rPr>
          <w:rFonts w:ascii="Times New Roman" w:cs="Times New Roman" w:eastAsia="Times New Roman" w:hAnsi="Times New Roman"/>
          <w:sz w:val="18"/>
          <w:szCs w:val="18"/>
          <w:color w:val="auto"/>
        </w:rPr>
        <w:t>) as amended from time to time or (ii)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Non-Bank Rules</w:t>
      </w:r>
      <w:r>
        <w:rPr>
          <w:rFonts w:ascii="Times New Roman" w:cs="Times New Roman" w:eastAsia="Times New Roman" w:hAnsi="Times New Roman"/>
          <w:sz w:val="18"/>
          <w:szCs w:val="18"/>
          <w:color w:val="auto"/>
        </w:rPr>
        <w:t>” means together the Swiss Twenty Non-Bank Rule and the Swiss Ten-Non-Bank Rule.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Non-Qualifying Lender</w:t>
      </w:r>
      <w:r>
        <w:rPr>
          <w:rFonts w:ascii="Times New Roman" w:cs="Times New Roman" w:eastAsia="Times New Roman" w:hAnsi="Times New Roman"/>
          <w:sz w:val="18"/>
          <w:szCs w:val="18"/>
          <w:color w:val="auto"/>
        </w:rPr>
        <w:t>” means any person which does not qualify as a Swiss Qualifying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Ten Non-Bank Rule</w:t>
      </w:r>
      <w:r>
        <w:rPr>
          <w:rFonts w:ascii="Times New Roman" w:cs="Times New Roman" w:eastAsia="Times New Roman" w:hAnsi="Times New Roman"/>
          <w:sz w:val="18"/>
          <w:szCs w:val="18"/>
          <w:color w:val="auto"/>
        </w:rPr>
        <w:t>” means the rule that the aggregate number of Lenders (other than Swiss Qualifying Lenders) of any Swiss Loan Party under this Agreement must not at any time exceed ten (10); in each case in accordance with the meaning of the Swiss Guidelines or the applicable legislation or explanatory notes addressing the same issues that are in force at such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Twenty Non-Bank Rule</w:t>
      </w:r>
      <w:r>
        <w:rPr>
          <w:rFonts w:ascii="Times New Roman" w:cs="Times New Roman" w:eastAsia="Times New Roman" w:hAnsi="Times New Roman"/>
          <w:sz w:val="18"/>
          <w:szCs w:val="18"/>
          <w:color w:val="auto"/>
        </w:rPr>
        <w:t>” means the rule that (without duplication) the aggregate number of creditors (including the Lenders), other than Swiss Qualifying Lenders, of the Swiss Borrower under all outstanding debts relevant for classification as debenture (</w:t>
      </w:r>
      <w:r>
        <w:rPr>
          <w:rFonts w:ascii="Times New Roman" w:cs="Times New Roman" w:eastAsia="Times New Roman" w:hAnsi="Times New Roman"/>
          <w:sz w:val="18"/>
          <w:szCs w:val="18"/>
          <w:i w:val="1"/>
          <w:iCs w:val="1"/>
          <w:color w:val="auto"/>
        </w:rPr>
        <w:t>Kassenobligation</w:t>
      </w:r>
      <w:r>
        <w:rPr>
          <w:rFonts w:ascii="Times New Roman" w:cs="Times New Roman" w:eastAsia="Times New Roman" w:hAnsi="Times New Roman"/>
          <w:sz w:val="18"/>
          <w:szCs w:val="18"/>
          <w:color w:val="auto"/>
        </w:rPr>
        <w:t>) (including debt arising under this Agreement and intra- group loans (if and to the extent intra-group loans are not exempt in accordance with the ordinance of the Swiss Federal Council of 18 June 2010 amending the Swiss Federal Ordinance on withholding tax and the Swiss Federal Ordinance on stamp duties with effect as of 1 August 2010)), loans, facilities and/or private placements (including under this Agreement) must not, at any time, exceed twenty (20); in each case in accordance with the meaning of the Swiss Guidelines.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w:t>
      </w:r>
      <w:r>
        <w:rPr>
          <w:rFonts w:ascii="Times New Roman" w:cs="Times New Roman" w:eastAsia="Times New Roman" w:hAnsi="Times New Roman"/>
          <w:sz w:val="18"/>
          <w:szCs w:val="18"/>
          <w:color w:val="auto"/>
        </w:rPr>
        <w:t>” means any Taxes levied pursuant to the Swiss Withholding Tax Act.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 Act</w:t>
      </w:r>
      <w:r>
        <w:rPr>
          <w:rFonts w:ascii="Times New Roman" w:cs="Times New Roman" w:eastAsia="Times New Roman" w:hAnsi="Times New Roman"/>
          <w:sz w:val="18"/>
          <w:szCs w:val="18"/>
          <w:color w:val="auto"/>
        </w:rPr>
        <w:t>” means the Swiss Federal Act on the Withholding Tax of 13 October 1965 (</w:t>
      </w:r>
      <w:r>
        <w:rPr>
          <w:rFonts w:ascii="Times New Roman" w:cs="Times New Roman" w:eastAsia="Times New Roman" w:hAnsi="Times New Roman"/>
          <w:sz w:val="18"/>
          <w:szCs w:val="18"/>
          <w:i w:val="1"/>
          <w:iCs w:val="1"/>
          <w:color w:val="auto"/>
        </w:rPr>
        <w:t>Bundesgesetz über die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Verrechnungssteuer vom 13. Oktober 1965, SR 642.21</w:t>
      </w:r>
      <w:r>
        <w:rPr>
          <w:rFonts w:ascii="Times New Roman" w:cs="Times New Roman" w:eastAsia="Times New Roman" w:hAnsi="Times New Roman"/>
          <w:sz w:val="18"/>
          <w:szCs w:val="18"/>
          <w:color w:val="auto"/>
        </w:rPr>
        <w:t>), together with the related ordinances, regulations and guidelines, all as amended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Switzerland</w:t>
      </w:r>
      <w:r>
        <w:rPr>
          <w:rFonts w:ascii="Times New Roman" w:cs="Times New Roman" w:eastAsia="Times New Roman" w:hAnsi="Times New Roman"/>
          <w:sz w:val="18"/>
          <w:szCs w:val="18"/>
          <w:color w:val="auto"/>
        </w:rPr>
        <w:t>” means the Swiss Confederation.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each of Bank of America, N.A., Bank of Montreal, London Branch, Citibank, N.A. and U.S. Bank National Association in its capacity as syndication agent for the </w:t>
      </w:r>
      <w:r>
        <w:rPr>
          <w:rFonts w:ascii="Times New Roman" w:cs="Times New Roman" w:eastAsia="Times New Roman" w:hAnsi="Times New Roman"/>
          <w:sz w:val="18"/>
          <w:szCs w:val="18"/>
          <w:b w:val="1"/>
          <w:bCs w:val="1"/>
          <w:color w:val="FF0000"/>
          <w:strike w:val="1"/>
        </w:rPr>
        <w:t>credit facility evidenced by this Agreement.</w:t>
      </w:r>
      <w:r>
        <w:rPr>
          <w:rFonts w:ascii="Times New Roman" w:cs="Times New Roman" w:eastAsia="Times New Roman" w:hAnsi="Times New Roman"/>
          <w:sz w:val="18"/>
          <w:szCs w:val="18"/>
          <w:b w:val="1"/>
          <w:bCs w:val="1"/>
          <w:u w:val="single" w:color="auto"/>
          <w:color w:val="0000FF"/>
        </w:rPr>
        <w:t>Revolving Credit Facility and (ii) each of Bank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0000FF"/>
        </w:rPr>
        <w:t>America, N.A., Bank of Montreal Europe plc, PNC Bank, National Association and U.S. Bank National Association in its capacity as syndication agent for the Term Loan Facility.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Obligations</w:t>
      </w:r>
      <w:r>
        <w:rPr>
          <w:rFonts w:ascii="Times New Roman" w:cs="Times New Roman" w:eastAsia="Times New Roman" w:hAnsi="Times New Roman"/>
          <w:sz w:val="18"/>
          <w:szCs w:val="18"/>
          <w:color w:val="auto"/>
        </w:rPr>
        <w:t>” means obligations under operating leases (as determined pursuant to Statement of Financial Accounting Standards No. 13) of properties which are reported for United States income tax purposes as owned by the Parent or a Consolidated Subsidiary. The amount of Synthetic Lease Obligations under any such lease shall be determined in accordance with GAAP as if such operating lease were a capital lease.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reasonably determined by the Administrative Agent to be a suitable replacement) is open for the settlement of payments in euro.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fees, value added taxes, or any other goods and services, use or sales taxes, assessments, charges or withholdings imposed by any Governmental Authority, including any interest, additions to tax or penalties applicable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means that such Loan, or the Loans comprising such Borrowing, bears interest at a rate determined by reference to the Adjusted Term SOFR Rate (except pursuant to clause (c) of the definition of “Alternate Base Rate”) or the Adjusted EURIBO Rate.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“Term Lender” means, as of any date of determination, each Lender having a Term Loan Commitment or that holds Term Loans.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“Term Loan Commitment” means (a) as to any Term Lender, the aggregate commitment of such Term Lender to make Term Loans as set forth on Schedule 2.01 or in the Assignment and Assumption or other documentation or record (as such term is defined in Section 9-102(a)(70) of the New York Uniform Commercial Code) as provided in Section 9.04(b)(ii)(C) or other documentation contemplated hereby pursuant to which such Lender shall have assumed its Term Loan Commitment, as applicable and (b) as to all Term Lenders, the aggregate commitment of all Term Lenders to make Term Loans, which aggregate commitment shall be $500,000,000 on the Amendment No. 1 Effective Date. After advancing the Term Loan, each reference to a Term Lender’s Term Loan Commitment shall refer to that Term Lender’s Applicable Percentage of the Term Loans.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“Term Loan Facility” means the term loan facility under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“Term Loan Maturity Date” means the five year anniversary of the Effective Date, as extended (in the case of each Term Lender consenting thereto) pursuant to Section 2.25; provided, however, in each case, if such date is not a Business Day, the Term Loan Maturity Date shall be the next preceding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“Term Loans” means the term loans made by the Term Lenders to the Company pursuant to Section 2.01(b).</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Borrowing denominated in Dollars and for any tenor comparable to the applicable Interest Period, the rate per annum published by the CME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Administrator and identified by the Administrative Agent as the forward-looking term rate based on SOFR. If by 5:00 p.m. (New York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such Term SOFR Determination Day, the “Term SOFR Reference Rate” for the applicable tenor has not been published by the CME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and a Benchmark Replacement Date with respect to the Term SOFR Rate has not occurred, then, so long as such day is otherwise a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Business Day, the Term SOFR Reference Rate for such Term SOFR Determination Day will be the Term SOFR Reference Rate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in respect of the first preceding U.S. Government Securities Business Day for which such Term SOFR Reference Rate was published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Term SOFR Administrator, so long as such first preceding U.S. Government Securities Business Day is not more than five (5) U.S.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Business Days prior to such Term SOFR Determination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at any time, the sum of (a) the outstanding principal amount of the Revolving Loans and Swingline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at such time and (b) the total LC Exposure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9.04(e)(i)</w:t>
      </w:r>
      <w:r>
        <w:rPr>
          <w:rFonts w:ascii="Times New Roman" w:cs="Times New Roman" w:eastAsia="Times New Roman" w:hAnsi="Times New Roman"/>
          <w:sz w:val="18"/>
          <w:szCs w:val="18"/>
          <w:color w:val="auto"/>
        </w:rPr>
        <w:t xml:space="preserv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the use of the proceeds thereof and the issuance of Letters of Credit hereunder.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is determined by reference to the Adjusted Term SOFR Rate, the Adjusted EURIBO Rate, the Adjusted Daily Simple RFR, the Alternate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or the Central Bank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“UKPTIL” has the meaning assigned to such term in Section 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xml:space="preserve">” means, with respect to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of such Lender less its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Vested Liabilities</w:t>
      </w:r>
      <w:r>
        <w:rPr>
          <w:rFonts w:ascii="Times New Roman" w:cs="Times New Roman" w:eastAsia="Times New Roman" w:hAnsi="Times New Roman"/>
          <w:sz w:val="18"/>
          <w:szCs w:val="18"/>
          <w:color w:val="auto"/>
        </w:rPr>
        <w:t>” means, with respect to any Plan at any time, the amount (if any) by which (i) the current liability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412(l)(7) of the Code under such Plan exceeds (ii) the fair market value of all Plan assets allocable to such benefits, all as determined as of the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 valuation date for such Plan, but only to the extent that such excess represents a potential liability of the Parent or any ERISA Affiliate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PBGC or such Plan under Title IV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each mean the United Kingdom of Grean Britain and Northern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each mean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0000FF"/>
        </w:rPr>
        <w:t>“U.S. Administrative Agent” means JPMorgan Chase Bank, N.A. (or any of its designated branch offices or affiliates), in its capacity as administrative agent for the Lenders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Financial Markets Association recommends that the fixed income departments of its members be closed for the entire day for purposes of trading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government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means a Lender that is not a Foreign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(i) for purposes of Sections 3.18 and 6.07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such term in Section 9.18.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Bankruptcy Event</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UK Relevant Entity is unable or admits inability to pay its debts (as defined in section 123(1)(a) of the UK Insolvency Act) as they fall due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or declared to be unable to pay its debts under applicable law, or suspends or threatens to suspend making payments on any of its debts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of actual or anticipated financial difficulties;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corporate action, legal proceedings or other formal procedure or formal step for (i) the suspension of payments, a moratorium of any indebtedness, winding-up, dissolution, administration or reorganization (by way of voluntary arrangement, scheme of arrangement or otherwise) of any UK Relevant Entity; (ii) a composition, compromise, assignment or arrangement with any creditor of any UK Relevant Entity; or (iii) the appointment of a liquidator, receiver, administrative receiver, administrator, compulsory manager or other similar officer in respect of any UK Relevant Entity, or any of the assets of any UK Relevant Entity; save that this paragraph (b) shall not apply to any action, proceeding, procedure or formal step which is frivolous or vexatious and is discharged, stayed or dismissed within 14 days of commencement.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w:t>
      </w:r>
      <w:r>
        <w:rPr>
          <w:rFonts w:ascii="Times New Roman" w:cs="Times New Roman" w:eastAsia="Times New Roman" w:hAnsi="Times New Roman"/>
          <w:sz w:val="18"/>
          <w:szCs w:val="18"/>
          <w:color w:val="auto"/>
        </w:rPr>
        <w:t>” means any Affiliate Borrower resident for tax purposes in England and Wales.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 DTTP Filing</w:t>
      </w:r>
      <w:r>
        <w:rPr>
          <w:rFonts w:ascii="Times New Roman" w:cs="Times New Roman" w:eastAsia="Times New Roman" w:hAnsi="Times New Roman"/>
          <w:sz w:val="18"/>
          <w:szCs w:val="18"/>
          <w:color w:val="auto"/>
        </w:rPr>
        <w:t>” means an HM Revenue &amp; Customs’ Form DTTP2, duly completed and filed by the relevant UK Borrower,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it relates to a UK Treaty Lender that is a Lender on the day this Agreement is entered into (or any amendment hereto), contains the scheme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number and jurisdiction of tax residence stated on its signature page to this Agreement (or any amendment hereto) or as otherwise notified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by that UK Treaty Lender in writing,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where the UK Borrower is an Affiliate Borrower on the day this Agreement (or any amendment hereto) is entered into, is filed with HM Revenue &amp; Customs within 30 days of the date of this Agreement (or any amendment hereto);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where the UK Borrower is not an Affiliate Borrower on the day this Agreement is entered into, is filed with HM Revenue &amp; Customs within 30 days of the date on which that UK Borrower becomes an Affiliate Borrower;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it relates to a UK Treaty Lender that is not a party to this Agreement on the date on which this Agreement (or any amendment hereto)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contains the scheme reference number and jurisdiction of tax residence stated in respect of that Lender in the relevant Assignment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 Increasing Lender Supplement or Augmenting Lender Supplement, as the case may be, or as otherwise notified to the Company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where the UK Borrower is an Affiliate Borrower as at the relevant assignment date or the date on which the increase to the Commitments and/or the Incremental Term Loans described in the relevant Increasing Lender Supplement or Augmenting Lender Supplement take effect (as applicable) is filed with HM Revenue &amp; Customs within 30 days of that date;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where the UK Borrower is not an Affiliate Borrower as at the relevant assignment date or the date on which the increase to the Commitments and/or the Incremental Term Loans described in the relevant Increasing Lender Supplement or Augmenting Lender Supplement take effect (as applicable) is filed with HM Revenue &amp; Customs within 30 days of the date on which that UK Borrower becomes a Borrower.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Companies Act</w:t>
      </w:r>
      <w:r>
        <w:rPr>
          <w:rFonts w:ascii="Times New Roman" w:cs="Times New Roman" w:eastAsia="Times New Roman" w:hAnsi="Times New Roman"/>
          <w:sz w:val="18"/>
          <w:szCs w:val="18"/>
          <w:color w:val="auto"/>
        </w:rPr>
        <w:t>” means the Companies Act 2006 of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CTA 2009</w:t>
      </w:r>
      <w:r>
        <w:rPr>
          <w:rFonts w:ascii="Times New Roman" w:cs="Times New Roman" w:eastAsia="Times New Roman" w:hAnsi="Times New Roman"/>
          <w:sz w:val="18"/>
          <w:szCs w:val="18"/>
          <w:color w:val="auto"/>
        </w:rPr>
        <w:t>” means the United Kingdom Corporation Tax Act 2009.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by the United Kingdom Prudential Regulation Authority) or any person falling within IFPRU 11.6 of the FCA Handbook (as amended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promulgated by the United Kingdom Financial Conduct Authority, which includes certain credit institutions and investment firms, and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such credit institutions or investment firms.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Insolvency Act</w:t>
      </w:r>
      <w:r>
        <w:rPr>
          <w:rFonts w:ascii="Times New Roman" w:cs="Times New Roman" w:eastAsia="Times New Roman" w:hAnsi="Times New Roman"/>
          <w:sz w:val="18"/>
          <w:szCs w:val="18"/>
          <w:color w:val="auto"/>
        </w:rPr>
        <w:t>” means the Insolvency Act 1986 of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ITA 2007</w:t>
      </w:r>
      <w:r>
        <w:rPr>
          <w:rFonts w:ascii="Times New Roman" w:cs="Times New Roman" w:eastAsia="Times New Roman" w:hAnsi="Times New Roman"/>
          <w:sz w:val="18"/>
          <w:szCs w:val="18"/>
          <w:color w:val="auto"/>
        </w:rPr>
        <w:t>” means the United Kingdom Income Tax Act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Loan Party</w:t>
      </w:r>
      <w:r>
        <w:rPr>
          <w:rFonts w:ascii="Times New Roman" w:cs="Times New Roman" w:eastAsia="Times New Roman" w:hAnsi="Times New Roman"/>
          <w:sz w:val="18"/>
          <w:szCs w:val="18"/>
          <w:color w:val="auto"/>
        </w:rPr>
        <w:t>” means any UK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Qualifying Lender</w:t>
      </w:r>
      <w:r>
        <w:rPr>
          <w:rFonts w:ascii="Times New Roman" w:cs="Times New Roman" w:eastAsia="Times New Roman" w:hAnsi="Times New Roman"/>
          <w:sz w:val="18"/>
          <w:szCs w:val="18"/>
          <w:color w:val="auto"/>
        </w:rPr>
        <w:t>” means (a) a Lender which is beneficially entitled to interest payable to that Lender in respect of an advance under a Loan Document and is (i) a Lender (A) which is a bank (as defined for the purpose of section 879 of the UK ITA 2007) making an advance under a Loan Document and is within the charge to United Kingdom corporation tax as respects any payments of interest made in respect of that advance or would be within such charge as respects such payments apart from section 18A of the UK CTA 2009; or (B) in respect of an advance made under a Loan Document by a person that was a bank (as defined for the purpose of section 879 of the UK ITA 2007) at the time that that advance was made and within the charge to United Kingdom corporation tax as respects any payments of interest made in respect of that advance; or (ii) a Lender which is: (A) a company resident in the United Kingdom for United Kingdom tax purposes or (B) a partnership each member of which is (x) a company so resident in the United Kingdom or</w:t>
      </w:r>
    </w:p>
    <w:p>
      <w:pPr>
        <w:spacing w:after="0" w:line="3" w:lineRule="exact"/>
        <w:rPr>
          <w:sz w:val="20"/>
          <w:szCs w:val="20"/>
          <w:color w:val="auto"/>
        </w:rPr>
      </w:pPr>
    </w:p>
    <w:p>
      <w:pPr>
        <w:jc w:val="both"/>
        <w:ind w:firstLine="8"/>
        <w:spacing w:after="0" w:line="250" w:lineRule="auto"/>
        <w:tabs>
          <w:tab w:leader="none" w:pos="2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UK CTA 2009) the whole of any share of interest payable in respect of that advance that falls to it by reason of Part 17 of the UK CTA 2009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2009) of that company; or (iii) a UK Treaty Lender, or (b) a Lender which is a building society (as defined for the purposes of section 880 of the UK ITA 2007) making an advance under a Loan Document.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Relevant Entity</w:t>
      </w:r>
      <w:r>
        <w:rPr>
          <w:rFonts w:ascii="Times New Roman" w:cs="Times New Roman" w:eastAsia="Times New Roman" w:hAnsi="Times New Roman"/>
          <w:sz w:val="18"/>
          <w:szCs w:val="18"/>
          <w:color w:val="auto"/>
        </w:rPr>
        <w:t>” means any Borrower or Material Subsidiary that is incorporated in England and Wales, or any other Borrower or Material Subsidiary capable of becoming subject of an order for winding-up or administration under the Insolvency Act 1986.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Confirmation</w:t>
      </w:r>
      <w:r>
        <w:rPr>
          <w:rFonts w:ascii="Times New Roman" w:cs="Times New Roman" w:eastAsia="Times New Roman" w:hAnsi="Times New Roman"/>
          <w:sz w:val="18"/>
          <w:szCs w:val="18"/>
          <w:color w:val="auto"/>
        </w:rPr>
        <w:t>” means a confirmation by a Lender that the person beneficially entitled to interest payable to that Lender in respect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under a Loan Document is either (a) a company resident in the United Kingdom for United Kingdom tax purposes or (b) a partnership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which is (i) a company so resident in the United Kingdom or (ii) a company not so resident in the United Kingdom which carries on a trade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Kingdom through a permanent establishment and which brings into account in computing its chargeable profits (within the meaning of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 of the UK CTA 2009) the whole of any share of interest payable in respect of that advance that falls to it by reason of Part 17 of the UK CTA 2009 or (c)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account interest payable in respect of that advance in computing the chargeable profits (within the meaning of section 19 of the UK CTA 2009) 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Deduction</w:t>
      </w:r>
      <w:r>
        <w:rPr>
          <w:rFonts w:ascii="Times New Roman" w:cs="Times New Roman" w:eastAsia="Times New Roman" w:hAnsi="Times New Roman"/>
          <w:sz w:val="18"/>
          <w:szCs w:val="18"/>
          <w:color w:val="auto"/>
        </w:rPr>
        <w:t>” means a deduction or withholding for, or on account of, Tax imposed by the United Kingdom from a payment under a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other than a FATCA Deduction.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w:t>
      </w:r>
      <w:r>
        <w:rPr>
          <w:rFonts w:ascii="Times New Roman" w:cs="Times New Roman" w:eastAsia="Times New Roman" w:hAnsi="Times New Roman"/>
          <w:sz w:val="18"/>
          <w:szCs w:val="18"/>
          <w:color w:val="auto"/>
        </w:rPr>
        <w:t>” has the meaning assigned to such term in the definition of “UK Treaty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Lender</w:t>
      </w:r>
      <w:r>
        <w:rPr>
          <w:rFonts w:ascii="Times New Roman" w:cs="Times New Roman" w:eastAsia="Times New Roman" w:hAnsi="Times New Roman"/>
          <w:sz w:val="18"/>
          <w:szCs w:val="18"/>
          <w:color w:val="auto"/>
        </w:rPr>
        <w:t>” means a Lender which is (i) treated as a resident of a UK Treaty State for the purposes of the relevant UK Treaty, (ii) does not carry on a business in the United Kingdom through a permanent establishment with which that Lender’s participation in the Loan is effectively connected, and (iii) subject to the completion of procedural formalities, fulfills any other conditions which must be fulfilled under the relevant UK Treaty to obtain exemption from Tax imposed by the United Kingdom on payments of interest.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State</w:t>
      </w:r>
      <w:r>
        <w:rPr>
          <w:rFonts w:ascii="Times New Roman" w:cs="Times New Roman" w:eastAsia="Times New Roman" w:hAnsi="Times New Roman"/>
          <w:sz w:val="18"/>
          <w:szCs w:val="18"/>
          <w:color w:val="auto"/>
        </w:rPr>
        <w:t>” means a jurisdiction having a double taxation agreement with the United Kingdom (a “</w:t>
      </w:r>
      <w:r>
        <w:rPr>
          <w:rFonts w:ascii="Times New Roman" w:cs="Times New Roman" w:eastAsia="Times New Roman" w:hAnsi="Times New Roman"/>
          <w:sz w:val="18"/>
          <w:szCs w:val="18"/>
          <w:u w:val="single" w:color="auto"/>
          <w:color w:val="auto"/>
        </w:rPr>
        <w:t>UK Treaty</w:t>
      </w:r>
      <w:r>
        <w:rPr>
          <w:rFonts w:ascii="Times New Roman" w:cs="Times New Roman" w:eastAsia="Times New Roman" w:hAnsi="Times New Roman"/>
          <w:sz w:val="18"/>
          <w:szCs w:val="18"/>
          <w:color w:val="auto"/>
        </w:rPr>
        <w:t>”) which makes provision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exemption from Tax imposed by the United Kingdom on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 any tax imposed in compliance with the Council Directive of 28 November 2006 on the common system of value added tax (EC Directive 2006/112); (b) any value added tax imposed by the Value Added Tax Act 1994 and (c) any other tax of a similar nature, whether imposed in a member state of the European Union in substitution for, or levied in addition to, such tax referred to in clause (a) or (b) above, or imposed elsewhere.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 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 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spacing w:after="0" w:line="20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Loan” or an “RFR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Loan” or an “RFR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Borrowing” or an “RFR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Borrowing” or an “RFR Revolving Borrowing”).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the context may require, any pronoun shall include the corresponding masculine, feminine and neuter forms. The words “include”,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“including” shall be deemed to be followed by the phrase “without limitation”. The word “will” shall be construed to have the same meaning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word “shall”. The word “law” shall be construed as referring to all statutes, rules, regulations, codes and other laws (including official rulings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interpretations thereunder having the force of law or with which affected Persons customarily comply), and all judgments, orders and decrees,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Authorities. Unless the context requires otherwise (a) any definition of or reference to any agreement, instrument or other document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construed as referring to such agreement, instrument or other document as from time to time amended, restated, supplemented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(subject to any restrictions on such amendments, restatements, supplements or modifications set forth herein), (b) any definition of or reference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statute, rule or regulation shall be construed as referring thereto as from time to time amended, supplemented or otherwise modified (including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succession of comparable successor laws), (c) any reference herein to any Person shall be construed to include such Person’s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any restrictions on assignment set forth herein) and, in the case of any Governmental Authority, any other Governmental Authority that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succeeded to any or all functions thereof, (d) the words “herein”, “hereof” and “hereunder”, and words of similar import, shall be construed to refer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in its entirety and not to any particular provision hereof, (e) all references herein to Articles, Sections, Exhibits and Schedules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to refer to Articles and Sections of, and Exhibits and Schedules to, this Agreement and (f) the words “asset” and “property” shall be construed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same meaning and effect and to refer to any and all tangible and intangible assets and properties, including cash, securities, accounts and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Except as otherwise expressly provided herein, all terms of an accounting or financial nature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notifies the Administrative Agent that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an amendment to any provision hereof to eliminate the effect of any change occurring after the date hereof in GAAP or in the application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operation of such provision (or if the Administrative Agent notifies the Company that the Required Lenders request an amendment to any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for such purpose), regardless of whether any such notice is given before or after such change in GAAP or in the application thereof, then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shall be interpreted on the basis of GAAP as in effect and applied without giving effect to such change until such notice shall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withdrawn or such provision amended in accordance herewith. Notwithstanding any other provision contained herein, (i) all terms of an accounting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nature used herein shall be construed, and all computations of amounts and ratios referred to herein (including computations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compliance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shall be made (a) without giving effect to any election under Financial Accounting Standards Board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Codification 825 (or any other Accounting Standards Codification or Financial Accounting Standard having a similar result or effect) to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Debt or other liabilities of the Parent, the Company or any Subsidiary at “fair value”, as defined therein and (b) without giving effect to any treatment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Debt under Accounting Standards Codification 470-20 or 2015-03 (or any other Accounting Standards Codification or Financial Accounting Standard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a similar result or effect) to value any such Debt in a reduced or bifurcated manner as described therein, and such Debt shall at all times be valued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stated principal amount thereof and (ii) except to the extent contemplated by clause (b) of the second sentence of the definition of “Synthetic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without giving effect to any change to, or modification of, GAAP (including any future phase-in of changes to GAAP that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as of December 1, 2018) which would require the capitalization of leases characterized as “operating leases” as of December 1, 2018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understood and agreed, for the avoidance of doubt, financial statements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shall be prepared without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to this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or a Foreign Currency may be derived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 interest rate benchmark that may be discontinued or is, or may in the future become, the subject of regulatory reform. Upon the occurrence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Transition Event, Section 2.14(b) provides a mechanism for determining an alternative rate of interest. The Administrative Agent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or accept any responsibility for, and shall not have any liability with respect to, the administration, submission, performance or any other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any interest rate used in this Agreement, or with respect to any alternative or successor rate thereto, or replacement rate thereof,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whether the composition or characteristics of any such alternative, successor or replacement reference rate will be similar to, or produce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value or economic equivalence of, the existing interest rate being replaced or have the same volume or liquidity as did any existing interest rate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its discontinuance or unavailability. The Administrative Agent and its affiliates and/or other related entities may engage in transactions that affect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of any interest rate used in this Agreement or any alternative, successor or alternative rate (including any Benchmark Replacement) and/or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adjustments thereto, in each case, in a manner adverse to the Borrowers. The Administrative Agent may select information sources or services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reasonable good faith discretion to ascertain any interest rate used in this Agreement, any component thereof, or rates referenced in the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 each case pursuant to the terms of this Agreement, and shall have no liability to the Borrowers, any Lender or any other person or entity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of any kind, including direct or indirect, special, punitive, incidental or consequential damages, costs, losses or expenses (whether in tort,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and whether at law or in equity), for any error or calculation of any such rate (or component thereof) provided by any such information 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Luxembourg Terms</w:t>
      </w:r>
      <w:r>
        <w:rPr>
          <w:rFonts w:ascii="Times New Roman" w:cs="Times New Roman" w:eastAsia="Times New Roman" w:hAnsi="Times New Roman"/>
          <w:sz w:val="18"/>
          <w:szCs w:val="18"/>
          <w:color w:val="auto"/>
        </w:rPr>
        <w:t xml:space="preserve">. Notwithstanding any other provision of this Agreement to the contrary, in this Agreement where it relates to any Affiliate Borrower which is organized under the laws of Luxembourg, a reference to: (a) a receiver, conservator, trustee, administrator, custodian, assignee for the benefit of creditors, compulsory manager or other similar officer includes a </w:t>
      </w:r>
      <w:r>
        <w:rPr>
          <w:rFonts w:ascii="Times New Roman" w:cs="Times New Roman" w:eastAsia="Times New Roman" w:hAnsi="Times New Roman"/>
          <w:sz w:val="18"/>
          <w:szCs w:val="18"/>
          <w:i w:val="1"/>
          <w:iCs w:val="1"/>
          <w:color w:val="auto"/>
        </w:rPr>
        <w:t>juge délégué, juge-commissaire, mandataire de justice,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administrateur provisoire, conciliateur d’entreprise, liquidateur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curateur</w:t>
      </w:r>
      <w:r>
        <w:rPr>
          <w:rFonts w:ascii="Times New Roman" w:cs="Times New Roman" w:eastAsia="Times New Roman" w:hAnsi="Times New Roman"/>
          <w:sz w:val="18"/>
          <w:szCs w:val="18"/>
          <w:color w:val="auto"/>
        </w:rPr>
        <w:t>; (b) liquidation, bankruptcy, insolvency, reorganization, moratorium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similar proceeding shall include (i) insolvency/bankruptcy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xml:space="preserve"> within the meaning of Articles 437 ff. of the Luxembourg Commercial Code,, (ii) suspension of 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xml:space="preserve"> within the meaning of Articles 593 ff. of the Luxembourg Commercial Code , (iii) administrative 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within the meaning of the Luxembourg law of October 28, 2022 creating the procedure for administrative dissolution without liquidation, (iv) voluntary or compulsory winding-up pursuant to the law of 10 August 1915 on commercial companies, as amended or (v) judicial reorganisation proceedings in the form of a mutual agreement (</w:t>
      </w:r>
      <w:r>
        <w:rPr>
          <w:rFonts w:ascii="Times New Roman" w:cs="Times New Roman" w:eastAsia="Times New Roman" w:hAnsi="Times New Roman"/>
          <w:sz w:val="18"/>
          <w:szCs w:val="18"/>
          <w:i w:val="1"/>
          <w:iCs w:val="1"/>
          <w:color w:val="auto"/>
        </w:rPr>
        <w:t>réorganisation judiciaire par accord amiable</w:t>
      </w:r>
      <w:r>
        <w:rPr>
          <w:rFonts w:ascii="Times New Roman" w:cs="Times New Roman" w:eastAsia="Times New Roman" w:hAnsi="Times New Roman"/>
          <w:sz w:val="18"/>
          <w:szCs w:val="18"/>
          <w:color w:val="auto"/>
        </w:rPr>
        <w:t>), a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or a judicial reorganisation by transfer by court order (</w:t>
      </w:r>
      <w:r>
        <w:rPr>
          <w:rFonts w:ascii="Times New Roman" w:cs="Times New Roman" w:eastAsia="Times New Roman" w:hAnsi="Times New Roman"/>
          <w:sz w:val="18"/>
          <w:szCs w:val="18"/>
          <w:i w:val="1"/>
          <w:iCs w:val="1"/>
          <w:color w:val="auto"/>
        </w:rPr>
        <w:t>réorganisation judiciaire par transfert 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décision de justice</w:t>
      </w:r>
      <w:r>
        <w:rPr>
          <w:rFonts w:ascii="Times New Roman" w:cs="Times New Roman" w:eastAsia="Times New Roman" w:hAnsi="Times New Roman"/>
          <w:sz w:val="18"/>
          <w:szCs w:val="18"/>
          <w:color w:val="auto"/>
        </w:rPr>
        <w:t>) within the meaning of the law of 7 August 2023 on the preservation of companies and modernisation of the bankruptcy law, (c) a lien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security interest includes any </w:t>
      </w:r>
      <w:r>
        <w:rPr>
          <w:rFonts w:ascii="Times New Roman" w:cs="Times New Roman" w:eastAsia="Times New Roman" w:hAnsi="Times New Roman"/>
          <w:sz w:val="18"/>
          <w:szCs w:val="18"/>
          <w:i w:val="1"/>
          <w:iCs w:val="1"/>
          <w:color w:val="auto"/>
        </w:rPr>
        <w:t>hypothèque, nantissement, gage, privilège, sûreté réelle, droit de rétention</w:t>
      </w:r>
      <w:r>
        <w:rPr>
          <w:rFonts w:ascii="Times New Roman" w:cs="Times New Roman" w:eastAsia="Times New Roman" w:hAnsi="Times New Roman"/>
          <w:sz w:val="18"/>
          <w:szCs w:val="18"/>
          <w:color w:val="auto"/>
        </w:rPr>
        <w:t>, and any type of security in rem (</w:t>
      </w:r>
      <w:r>
        <w:rPr>
          <w:rFonts w:ascii="Times New Roman" w:cs="Times New Roman" w:eastAsia="Times New Roman" w:hAnsi="Times New Roman"/>
          <w:sz w:val="18"/>
          <w:szCs w:val="18"/>
          <w:i w:val="1"/>
          <w:iCs w:val="1"/>
          <w:color w:val="auto"/>
        </w:rPr>
        <w:t>sûreté réelle</w:t>
      </w:r>
      <w:r>
        <w:rPr>
          <w:rFonts w:ascii="Times New Roman" w:cs="Times New Roman" w:eastAsia="Times New Roman" w:hAnsi="Times New Roman"/>
          <w:sz w:val="18"/>
          <w:szCs w:val="18"/>
          <w:color w:val="auto"/>
        </w:rPr>
        <w:t>) or agreement or arrangement having a similar effect and any transfer of title by way of security; (d) a person being unable to pay its debts includes that person being in a state of cessation of payments (</w:t>
      </w:r>
      <w:r>
        <w:rPr>
          <w:rFonts w:ascii="Times New Roman" w:cs="Times New Roman" w:eastAsia="Times New Roman" w:hAnsi="Times New Roman"/>
          <w:sz w:val="18"/>
          <w:szCs w:val="18"/>
          <w:i w:val="1"/>
          <w:iCs w:val="1"/>
          <w:color w:val="auto"/>
        </w:rPr>
        <w:t>cessation de paiements</w:t>
      </w:r>
      <w:r>
        <w:rPr>
          <w:rFonts w:ascii="Times New Roman" w:cs="Times New Roman" w:eastAsia="Times New Roman" w:hAnsi="Times New Roman"/>
          <w:sz w:val="18"/>
          <w:szCs w:val="18"/>
          <w:color w:val="auto"/>
        </w:rPr>
        <w:t>) or having lost or meeting the criteria to lose its commercial creditworthiness (</w:t>
      </w:r>
      <w:r>
        <w:rPr>
          <w:rFonts w:ascii="Times New Roman" w:cs="Times New Roman" w:eastAsia="Times New Roman" w:hAnsi="Times New Roman"/>
          <w:sz w:val="18"/>
          <w:szCs w:val="18"/>
          <w:i w:val="1"/>
          <w:iCs w:val="1"/>
          <w:u w:val="single" w:color="auto"/>
          <w:color w:val="auto"/>
        </w:rPr>
        <w:t>ébranlement de crédit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(e) attachments or similar 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conservatory attachment (</w:t>
      </w:r>
      <w:r>
        <w:rPr>
          <w:rFonts w:ascii="Times New Roman" w:cs="Times New Roman" w:eastAsia="Times New Roman" w:hAnsi="Times New Roman"/>
          <w:sz w:val="18"/>
          <w:szCs w:val="18"/>
          <w:i w:val="1"/>
          <w:iCs w:val="1"/>
          <w:color w:val="auto"/>
        </w:rPr>
        <w:t>saisie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arrêt</w:t>
      </w:r>
      <w:r>
        <w:rPr>
          <w:rFonts w:ascii="Times New Roman" w:cs="Times New Roman" w:eastAsia="Times New Roman" w:hAnsi="Times New Roman"/>
          <w:sz w:val="18"/>
          <w:szCs w:val="18"/>
          <w:color w:val="auto"/>
        </w:rPr>
        <w:t>); and (f) a “set-off” includes, for purposes of Luxembourg law, legal 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Certain Calculations</w:t>
      </w:r>
      <w:r>
        <w:rPr>
          <w:rFonts w:ascii="Times New Roman" w:cs="Times New Roman" w:eastAsia="Times New Roman" w:hAnsi="Times New Roman"/>
          <w:sz w:val="18"/>
          <w:szCs w:val="18"/>
          <w:color w:val="auto"/>
        </w:rPr>
        <w:t>. No Default or Event of Default shall arise as a result of any limitation or threshold set forth in Dollars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under this Agreement being exceeded solely as a result of changes in currency exchange rates from those rates applicable on the last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of the fiscal quarter of the Parent immediately preceding the fiscal quarter of the Parent in which the applicable transaction or occurrence requiring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occurs.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u w:val="single" w:color="auto"/>
          <w:color w:val="auto"/>
        </w:rPr>
        <w:t>Divisions</w:t>
      </w:r>
      <w:r>
        <w:rPr>
          <w:rFonts w:ascii="Times New Roman" w:cs="Times New Roman" w:eastAsia="Times New Roman" w:hAnsi="Times New Roman"/>
          <w:sz w:val="17"/>
          <w:szCs w:val="17"/>
          <w:color w:val="auto"/>
        </w:rPr>
        <w:t>. For all purposes under the Loan Documents, in connection with any division or plan of division under Delaware law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comparable event under a different jurisdiction’s laws): (a) if any asset, right, obligation or liability of any Person becomes the asset, right,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liability of a different Person, then it shall be deemed to have been transferred from the original Person to the subsequent Person, and (b) if any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comes into existence, such new Person shall be deemed to have been organized and acquired on the first date of its existence by the holders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Leverage Ratios</w:t>
      </w:r>
      <w:r>
        <w:rPr>
          <w:rFonts w:ascii="Times New Roman" w:cs="Times New Roman" w:eastAsia="Times New Roman" w:hAnsi="Times New Roman"/>
          <w:sz w:val="18"/>
          <w:szCs w:val="18"/>
          <w:color w:val="auto"/>
        </w:rPr>
        <w:t>. Notwithstanding anything to the contrary contained herein, for purposes of calculating any pro forma leverage ratio herein in connection with the incurrence of any Debt, (a) there shall be no netting of the cash proceeds of such Debt proposed to be received in respect of the incurrence thereof and (b) to the extent the Debt to be incurred is revolving Debt, such incurred revolving Debt (or if applicable, the portion (and only such portion) of the increased commitments thereunder) shall be treated as fully drawn.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Amendment and Restatement of the Existing Credit Agreement</w:t>
      </w:r>
      <w:r>
        <w:rPr>
          <w:rFonts w:ascii="Times New Roman" w:cs="Times New Roman" w:eastAsia="Times New Roman" w:hAnsi="Times New Roman"/>
          <w:sz w:val="18"/>
          <w:szCs w:val="18"/>
          <w:color w:val="auto"/>
        </w:rPr>
        <w:t xml:space="preserve">. The parties to this Agreement agree that, upon (i) the execution and delivery by each of the parties hereto of this Agreement and (ii) satisfaction of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terms and provisions of the Existing Credit Agreement shall be and hereby are amended, superseded and restated in their entirety by the terms and provisions of this Agreement. This Agreement is not intended to and shall not constitute a novation. All “Revolving Loans” (the “</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xml:space="preserve">”) made and “Obligations” incurred under the Existing Credit Agreement which are outstanding on the Effective Date shall continue as Loans and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the Administrative Agent shall make such reallocations, sales, assignments or other relevant actions in respect of each Lender’s credit exposure under the Existing Credit Agreement as are necessary in order that each such Lender’s Revolving Credit Exposure hereunder reflects such Lender’s Applicable Percentage of the outstanding aggregate Revolving Credit Exposures on the Effective Date (without the necessity of executing and delivering any Assignment and Assumption or the payment of any processing or recordation fee), (c) the Existing Loans of each Departing Lender shall be repaid in full (accompanied by any accrued and unpaid interest and fees thereon), each Departing Lender’s “Commitment” under the Existing Credit Agreement shall be terminated and the Departing Lenders shall not be a Lender hereunder (provided, however, that the Departing Lenders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(d) the Company hereby agrees to compensate each Lender (and the Departing Lenders) for any and all losses, costs and expenses incurred by such Lender in connection with the sale and assignment of any Term Benchmark Loans and such reallocation (and any repayment or prepayment of each Departing Lender’s Loan) described above, in each case on the terms and in the manner set forth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hereof.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(severally and not jointly) agrees to make Revolving Loans to the Borrowers in Agreed Loan Currencies from time to time during the Availability Period in an aggregate principal amount that will not, subject to fluctuations in currency exchange rates and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and subject to any application of proceeds of such Borrowing to any Swingline Loans outstanding pursuant to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result in (i)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such Lender’s Revolving Credit Exposure exceeding such Lender’s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(ii)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the Total Revolving Credit Exposure exceeding the </w:t>
      </w:r>
      <w:r>
        <w:rPr>
          <w:rFonts w:ascii="Times New Roman" w:cs="Times New Roman" w:eastAsia="Times New Roman" w:hAnsi="Times New Roman"/>
          <w:sz w:val="18"/>
          <w:szCs w:val="18"/>
          <w:b w:val="1"/>
          <w:bCs w:val="1"/>
          <w:color w:val="FF0000"/>
          <w:strike w:val="1"/>
        </w:rPr>
        <w:t>Aggregate Commitment</w:t>
      </w:r>
      <w:r>
        <w:rPr>
          <w:rFonts w:ascii="Times New Roman" w:cs="Times New Roman" w:eastAsia="Times New Roman" w:hAnsi="Times New Roman"/>
          <w:sz w:val="18"/>
          <w:szCs w:val="18"/>
          <w:b w:val="1"/>
          <w:bCs w:val="1"/>
          <w:u w:val="single" w:color="auto"/>
          <w:color w:val="0000FF"/>
        </w:rPr>
        <w:t>aggregate Revolving Commitments</w:t>
      </w:r>
      <w:r>
        <w:rPr>
          <w:rFonts w:ascii="Times New Roman" w:cs="Times New Roman" w:eastAsia="Times New Roman" w:hAnsi="Times New Roman"/>
          <w:sz w:val="18"/>
          <w:szCs w:val="18"/>
          <w:color w:val="auto"/>
        </w:rPr>
        <w:t xml:space="preserve">, (iii)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sum of the aggregate principal Dollar Amount of all Loans outstanding to Affiliate Borrowers exceeding the Affiliate Borrower Sublimit or (iv)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Dollar Amount of the total outstanding Revolving Loans and LC Exposure, in each case denominated in Foreign Currencies, exceeding the Foreign Currency Sublimit</w:t>
      </w:r>
      <w:r>
        <w:rPr>
          <w:rFonts w:ascii="Times New Roman" w:cs="Times New Roman" w:eastAsia="Times New Roman" w:hAnsi="Times New Roman"/>
          <w:sz w:val="18"/>
          <w:szCs w:val="18"/>
          <w:b w:val="1"/>
          <w:bCs w:val="1"/>
          <w:u w:val="single" w:color="auto"/>
          <w:color w:val="0000FF"/>
        </w:rPr>
        <w:t>, and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each Term Lender with a Term Loan Commitment (severally and not jointly) agrees to make Term Loans to the Company in Dollars on the Amendment No. 1 Effective Date by making immediately available funds available to the Administrative Agent’s designated account, not later than the time specified by the Administrative Agent</w:t>
      </w:r>
      <w:r>
        <w:rPr>
          <w:rFonts w:ascii="Times New Roman" w:cs="Times New Roman" w:eastAsia="Times New Roman" w:hAnsi="Times New Roman"/>
          <w:sz w:val="18"/>
          <w:szCs w:val="18"/>
          <w:color w:val="000000"/>
        </w:rPr>
        <w:t>. Within the foregoing limits and subject to the terms and conditions set forth herein, the Borrowers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may borrow, prepay and reborrow Revolving Loans. </w:t>
      </w:r>
      <w:r>
        <w:rPr>
          <w:rFonts w:ascii="Times New Roman" w:cs="Times New Roman" w:eastAsia="Times New Roman" w:hAnsi="Times New Roman"/>
          <w:sz w:val="18"/>
          <w:szCs w:val="18"/>
          <w:b w:val="1"/>
          <w:bCs w:val="1"/>
          <w:u w:val="single" w:color="auto"/>
          <w:color w:val="0000FF"/>
        </w:rPr>
        <w:t>Amounts repaid or prepaid in respect of Term Loans may not be reborrowed.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 shall be made as part of a Borrowing consisting of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Loans </w:t>
      </w:r>
      <w:r>
        <w:rPr>
          <w:rFonts w:ascii="Times New Roman" w:cs="Times New Roman" w:eastAsia="Times New Roman" w:hAnsi="Times New Roman"/>
          <w:sz w:val="18"/>
          <w:szCs w:val="18"/>
          <w:b w:val="1"/>
          <w:bCs w:val="1"/>
          <w:u w:val="single" w:color="auto"/>
          <w:color w:val="0000FF"/>
        </w:rPr>
        <w:t>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same Class and Type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made by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ratably in accordance with their respective Commitments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000000"/>
        </w:rPr>
        <w:t>. The failure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Commitments of the Lenders are several and no Lender shall be responsible for any other Lender’s failure to make Loans as required. Any Swingline Loan shall be made in accordance with the procedures set forth in </w:t>
      </w:r>
      <w:r>
        <w:rPr>
          <w:rFonts w:ascii="Times New Roman" w:cs="Times New Roman" w:eastAsia="Times New Roman" w:hAnsi="Times New Roman"/>
          <w:sz w:val="18"/>
          <w:szCs w:val="18"/>
          <w:u w:val="single" w:color="auto"/>
          <w:color w:val="000000"/>
        </w:rPr>
        <w:t>Section 2.05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The Term Loans shall amortize as set forth in Section 2.10.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each Revolving Borrowing </w:t>
      </w:r>
      <w:r>
        <w:rPr>
          <w:rFonts w:ascii="Times New Roman" w:cs="Times New Roman" w:eastAsia="Times New Roman" w:hAnsi="Times New Roman"/>
          <w:sz w:val="18"/>
          <w:szCs w:val="18"/>
          <w:b w:val="1"/>
          <w:bCs w:val="1"/>
          <w:u w:val="single" w:color="auto"/>
          <w:color w:val="0000FF"/>
        </w:rPr>
        <w:t>and Term Loan Borrowing</w:t>
      </w:r>
      <w:r>
        <w:rPr>
          <w:rFonts w:ascii="Times New Roman" w:cs="Times New Roman" w:eastAsia="Times New Roman" w:hAnsi="Times New Roman"/>
          <w:sz w:val="18"/>
          <w:szCs w:val="18"/>
          <w:color w:val="auto"/>
        </w:rPr>
        <w:t xml:space="preserve"> shall be comprised (</w:t>
      </w: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u w:val="single" w:color="auto"/>
          <w:color w:val="0000FF"/>
        </w:rPr>
        <w:t>x</w:t>
      </w:r>
      <w:r>
        <w:rPr>
          <w:rFonts w:ascii="Times New Roman" w:cs="Times New Roman" w:eastAsia="Times New Roman" w:hAnsi="Times New Roman"/>
          <w:sz w:val="18"/>
          <w:szCs w:val="18"/>
          <w:color w:val="auto"/>
        </w:rPr>
        <w:t>) in the case of Borrowings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entirely of ABR Loans or Term Benchmark Loans and (</w:t>
      </w:r>
      <w:r>
        <w:rPr>
          <w:rFonts w:ascii="Times New Roman" w:cs="Times New Roman" w:eastAsia="Times New Roman" w:hAnsi="Times New Roman"/>
          <w:sz w:val="18"/>
          <w:szCs w:val="18"/>
          <w:b w:val="1"/>
          <w:bCs w:val="1"/>
          <w:color w:val="FF0000"/>
          <w:strike w:val="1"/>
        </w:rPr>
        <w:t>ii</w:t>
      </w:r>
      <w:r>
        <w:rPr>
          <w:rFonts w:ascii="Times New Roman" w:cs="Times New Roman" w:eastAsia="Times New Roman" w:hAnsi="Times New Roman"/>
          <w:sz w:val="18"/>
          <w:szCs w:val="18"/>
          <w:b w:val="1"/>
          <w:bCs w:val="1"/>
          <w:u w:val="single" w:color="auto"/>
          <w:color w:val="0000FF"/>
        </w:rPr>
        <w:t>y</w:t>
      </w:r>
      <w:r>
        <w:rPr>
          <w:rFonts w:ascii="Times New Roman" w:cs="Times New Roman" w:eastAsia="Times New Roman" w:hAnsi="Times New Roman"/>
          <w:sz w:val="18"/>
          <w:szCs w:val="18"/>
          <w:color w:val="auto"/>
        </w:rPr>
        <w:t>) in the case of Borrowings in any other Agreed Currency, entirely of Term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or RFR Loans, as applicable, in each case of the same Agreed Currency, as the relevant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ABR Loan shall only be made in Dollars and (ii) each Swingline Loan shall be (x) an ABR Loan in the case of a Swingline Loan denominated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or (y) an RFR Loan in the case of a Swingline Loan denominated in euro. Each Lender at its option may make any Loan by causing any domestic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any Borrower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such Loan in accordance with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Benchmark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Borrowing, such Borrowing shall be in an aggregate amount that is an integral multiple of $1,000,000 (or, if such Borrowing is denominated in a Foreign Currency, 1,000,000 units of such currency) and not less than $5,000,000 (or, if such Borrowing is denominated in a Foreign Currency, 5,000,000 units of such currency). At the time that each ABR Borrowing </w:t>
      </w:r>
      <w:r>
        <w:rPr>
          <w:rFonts w:ascii="Times New Roman" w:cs="Times New Roman" w:eastAsia="Times New Roman" w:hAnsi="Times New Roman"/>
          <w:sz w:val="18"/>
          <w:szCs w:val="18"/>
          <w:b w:val="1"/>
          <w:bCs w:val="1"/>
          <w:u w:val="single" w:color="auto"/>
          <w:color w:val="0000FF"/>
        </w:rPr>
        <w:t>and/or RFR Borrowing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is made, such Borrowing shall be in an aggregate amount that is an integral multiple of $100,000 and not less than $1,000,000;</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 ABR Revolving Borrowing may be in an aggregate amount that is equal to the entire unused balance of the </w:t>
      </w:r>
      <w:r>
        <w:rPr>
          <w:rFonts w:ascii="Times New Roman" w:cs="Times New Roman" w:eastAsia="Times New Roman" w:hAnsi="Times New Roman"/>
          <w:sz w:val="18"/>
          <w:szCs w:val="18"/>
          <w:b w:val="1"/>
          <w:bCs w:val="1"/>
          <w:color w:val="FF0000"/>
          <w:strike w:val="1"/>
        </w:rPr>
        <w:t>Aggregate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Commitment</w:t>
      </w:r>
      <w:r>
        <w:rPr>
          <w:rFonts w:ascii="Times New Roman" w:cs="Times New Roman" w:eastAsia="Times New Roman" w:hAnsi="Times New Roman"/>
          <w:sz w:val="18"/>
          <w:szCs w:val="18"/>
          <w:b w:val="1"/>
          <w:bCs w:val="1"/>
          <w:u w:val="single" w:color="auto"/>
          <w:color w:val="0000FF"/>
        </w:rPr>
        <w:t>aggregate Revolving Commitments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that is required to finance the reimbursement of an LC Disbursement as contemplated by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2.06(e)</w:t>
      </w:r>
      <w:r>
        <w:rPr>
          <w:rFonts w:ascii="Times New Roman" w:cs="Times New Roman" w:eastAsia="Times New Roman" w:hAnsi="Times New Roman"/>
          <w:sz w:val="18"/>
          <w:szCs w:val="18"/>
          <w:color w:val="000000"/>
        </w:rPr>
        <w:t>. Each Swingline Loan shall be in an amount that is an integral multiple of $25,000 (or, if such Swingline Loan is denominated in a Foreign Currency, 25,000 units of such currency) and not less than $100,000 (or, if such Swingline Loan is denominated in a Foreign Currency, 100,000 units of such currency). Borrowings of more than one Type and Class may be outstanding at the same time; provided that there shall not at any time be more than a total of fifteen (15) Term Benchmark Borrowings or RFR Borrowings outstanding.  </w:t>
      </w:r>
    </w:p>
    <w:p>
      <w:pPr>
        <w:spacing w:after="0" w:line="21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(d)        Notwithstanding any other provision of this Agreement, no Borrower shall be entitled to request, or to elect to convert or continue, any Borrowing if the Interest Period requested with respect thereto would end after the applicable Maturity Date.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Requests for Borrowings</w:t>
      </w:r>
      <w:r>
        <w:rPr>
          <w:rFonts w:ascii="Times New Roman" w:cs="Times New Roman" w:eastAsia="Times New Roman" w:hAnsi="Times New Roman"/>
          <w:sz w:val="17"/>
          <w:szCs w:val="17"/>
          <w:color w:val="auto"/>
        </w:rPr>
        <w:t>. To request a Borrowing, the applicable Borrower, or the Company on behalf of the applicable Borrower,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notify the Administrative Agent of such request (a) by irrevocable written notice (via a written Borrowing Request signed by the applicable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Company on behalf of the applicable Borrower) (i)(x) in the case of a Term Benchmark Borrowing denominated in Dollars, not later than 3:00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time, three (3) U.S. Government Securities Business Days before the date of the proposed Borrowing or (y) in the case of an RFR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Dollars, not later than 3:00 p.m., Chicago time, five (5) U.S. Government Securities Business Days before the date of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or (ii) in the case of a Term Benchmark Borrowing denominated in euro, not later than 1:00 p.m., Chicago time, four (4) Business Days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the proposed Borrowing, or, in each case in respect of a Borrowing to occur on the Effective Date, such shorter period of time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may reasonably accept or (b) by irrevocable written notice (via a written Borrowing Request signed by the applicable Borrower,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on behalf of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Borrowing Request is submitted through an Approved Borrower Portal,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signature requirement may be waived at the sole discretion of the Administrative Agent) in the case of an ABR Borrowing, not later than 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noon, Chicago time, on the Business Day of the proposed Borrowing. Each such Borrowing Request shall specify the following information in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Currency and aggregate principal amount of the requested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date of such Borrowing, which shall be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whether such Borrowing is to be an ABR Borrowing (in the case of Borrowings denominated in Dollars), a Term Benchmark Borrowing or an RFR Borrowing </w:t>
      </w:r>
      <w:r>
        <w:rPr>
          <w:rFonts w:ascii="Times New Roman" w:cs="Times New Roman" w:eastAsia="Times New Roman" w:hAnsi="Times New Roman"/>
          <w:sz w:val="18"/>
          <w:szCs w:val="18"/>
          <w:b w:val="1"/>
          <w:bCs w:val="1"/>
          <w:u w:val="single" w:color="auto"/>
          <w:color w:val="0000FF"/>
        </w:rPr>
        <w:t>and whether such Borrowing is a Revolving Borrowing or a Term Loan Borrowing</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(v)                in the case of a Term Benchmark Borrowing, the initial Interest Period to be applicable thereto, which shall be a period contemplated by the definition of the term “Interest Period”;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(vi)              the location and number of the applicable Borrower’s account to which funds are to be disbursed, which shall comply with the requirements of Section 2.07.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 election as to the currency of a Borrowing is specified, then the requested Borrowing shall be made in Dollars. If no election as to the Type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is specified, then, in the case of a Borrowing denominated in Dollars, the requested Borrowing shall be a Term Benchmark Borrowing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of one month’s duration. If no Interest Period is specified with respect to any requested Term Benchmark Borrowing, then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be deemed to have selected an Interest Period of one month’s duration. Promptly following receipt of a Borrowing Request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Section, the Administrative Agent shall advise each Lender of the applicable Class of the details thereof and of the amount of such Lender’s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made as part of the requested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in no event shall any Borrower be permitted to request pursuant to this Section 2.03, a CBR Loan or, prior to a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Event and Benchmark Replacement Date with respect to the Term SOFR Rate, an RFR Loan bearing interest based on Daily Simple SOFR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understood and agreed that a Central Bank Rate and Daily Simple SOFR shall only apply to the extent provided in Sections 2.08(e) (solely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Central Bank Rate), 2.14(a) and 2.14(f),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Determination of Dollar Amounts</w:t>
      </w:r>
      <w:r>
        <w:rPr>
          <w:rFonts w:ascii="Times New Roman" w:cs="Times New Roman" w:eastAsia="Times New Roman" w:hAnsi="Times New Roman"/>
          <w:sz w:val="18"/>
          <w:szCs w:val="18"/>
          <w:color w:val="auto"/>
        </w:rPr>
        <w:t>. The Administrative Agent will determine the Dollar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any Letter of Credit denominated in a Foreign Currency, on each of the following: (i) the date on which such Letter of Credit is issued, (ii)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Business Day of each calendar month and (iii) the date of any amendment of such Letter of Credit that has the effect of increasing the face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                any Credit Event, on any additional date as the Administrative Agent may determine at any time when an Event of Default exists.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 and the Administrative Agent shall notify the Company of all such determinations and related computations on such Computation Date.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(a) Subject to the terms and conditions set forth herein, each Swingline Lender may in its sole discretion make Swingline Loans in Agreed Loan Currencies to any Borrower from time to time during the Availability Period, in an aggregate principal Dollar Amount at any time outstanding that will not, subject to fluctuations in currency exchange rates and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result in (i)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the aggregate principal amount of outstanding Swingline Loans made by such Swingline Lender exceeding such Swingline Lender’s Swingline Sublimit, except to the extent otherwise agreed by such Swingline Lender and the Company with notice to be concurrently given to the Administrative Agent, (ii)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any Swingline Lender’s Revolving Credit Exposure exceeding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(iii) subject to </w:t>
      </w:r>
      <w:r>
        <w:rPr>
          <w:rFonts w:ascii="Times New Roman" w:cs="Times New Roman" w:eastAsia="Times New Roman" w:hAnsi="Times New Roman"/>
          <w:sz w:val="18"/>
          <w:szCs w:val="18"/>
          <w:u w:val="single" w:color="auto"/>
          <w:color w:val="auto"/>
        </w:rPr>
        <w:t>Section 2. 04</w:t>
      </w:r>
      <w:r>
        <w:rPr>
          <w:rFonts w:ascii="Times New Roman" w:cs="Times New Roman" w:eastAsia="Times New Roman" w:hAnsi="Times New Roman"/>
          <w:sz w:val="18"/>
          <w:szCs w:val="18"/>
          <w:color w:val="auto"/>
        </w:rPr>
        <w:t xml:space="preserve">, the aggregate principal Dollar Amount of outstanding Swingline Loans exceeding $100,000,000, (iv)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the Total Revolving Credit Exposure exceeding the </w:t>
      </w:r>
      <w:r>
        <w:rPr>
          <w:rFonts w:ascii="Times New Roman" w:cs="Times New Roman" w:eastAsia="Times New Roman" w:hAnsi="Times New Roman"/>
          <w:sz w:val="18"/>
          <w:szCs w:val="18"/>
          <w:b w:val="1"/>
          <w:bCs w:val="1"/>
          <w:color w:val="FF0000"/>
          <w:strike w:val="1"/>
        </w:rPr>
        <w:t>Aggregate Commitment</w:t>
      </w:r>
      <w:r>
        <w:rPr>
          <w:rFonts w:ascii="Times New Roman" w:cs="Times New Roman" w:eastAsia="Times New Roman" w:hAnsi="Times New Roman"/>
          <w:sz w:val="18"/>
          <w:szCs w:val="18"/>
          <w:b w:val="1"/>
          <w:bCs w:val="1"/>
          <w:u w:val="single" w:color="auto"/>
          <w:color w:val="0000FF"/>
        </w:rPr>
        <w:t>aggregate Revolving Commitments</w:t>
      </w:r>
      <w:r>
        <w:rPr>
          <w:rFonts w:ascii="Times New Roman" w:cs="Times New Roman" w:eastAsia="Times New Roman" w:hAnsi="Times New Roman"/>
          <w:sz w:val="18"/>
          <w:szCs w:val="18"/>
          <w:color w:val="auto"/>
        </w:rPr>
        <w:t xml:space="preserve"> or (v)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the aggregate principal amount of outstanding Swingline Loans denominated in a Foreign Currency exceeding the Swingline Foreign Currency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Swingline Lender shall not be required to make a Swingline Loan to refinance an outstanding Swingline Loan. Within the foregoing limits and subject to the terms and conditions set forth herein, any Borrower may borrow, prepay and reborrow Swingline Loans.  </w:t>
      </w:r>
    </w:p>
    <w:p>
      <w:pPr>
        <w:spacing w:after="0" w:line="21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To request a Swingline Loan, the applicable Borrower, or the Company on behalf of the applicable Borrower, shall notify the Administrative Agent of such request by (i) irrevocable written notice (via a written Borrowing Request signed by the applicable Borrower, or the Company on behalf of the applicable Borrower or, if arrangements for such transmission have been approved by the Administrative Agent, transmitted by electronic communication including an Approved Borrower Portal), not later than 1:00 p.m., Chicago time, on the day of a proposed Swingline Loan in Dollars and (ii) irrevocable written notice (via a written Borrowing Request signed by the applicable Borrower, or the Company on behalf of the applicable Borrower), not later than 9:00 a.m., Local Time, on the day of a proposed Swingline Loan in euro. Each such notice shall be irrevocable and shall specify the requested date (which shall be a Business Day), applicable Borrower requesting such Swingline Loan, applicable currency, Type and amount of the requested Swingline Loan and the Swingline Lender to make such Swingline Loan. The Administrative Agent will promptly advise such Swingline Lender of any such notice received from the Company or any other applicable Borrower. Unless otherwise directed by the Company or the applicable Borrower, each Swingline Lender shall (subject to such Swingline Lender’s discretion to make Swingline Loans as set forth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make each Swingline Loan to be made by it available to the applicable Borrower by means of a credit to an account of the Company or such other applicable Borrower with the Administrative Agent designated for such purpose (or, in the case of a Swingline Loan made to finance the reimbursement of an LC Disbursement as provided in Section 2.06(e), by remittance to the relevant Issuing Bank) by 3:00 p.m., Local Time, on the requested date of such Swingline Loan.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Any Swingline Lender may by written notice given to the Administrative Agent (not later than 10:00 a.m., Local Time, (i) in respect of Swingline Loans denominated in Dollars, on any Business Day of the proposed acquisition of participations and (ii) in respect of Swingline Loans denominated in euro, three (3) Business Days before the date of the proposed acquisition of participations) require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to acquire participations in all or a portion of its Swingline Loans outstanding in the applicable Agreed Currency of such Swingline Loan or Loans. Such notice shall specify the aggregate amount and Agreed Currency of Swingline Loans in which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will participate. Promptly upon receipt of such notice, the Administrative Agent will give notice thereof to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specifying in such notice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Applicable Percentage of such Swingline Loan or Loans and the applicable Agreed Currency of such Swingline Loan or Loans.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hereby absolutely and unconditionally agrees, on the date specified for the acquisition of participations in the notice submitted by the time set forth in the first sentence of this clause (c), to pay in the applicable Agreed Currency to the Administrative Agent, for the account of such Swingline Lender,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Applicable Percentage of such Swingline Loan or Loans.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shall comply with its obligation under this paragraph by wire transfer of immediately available funds, in the same manner as provided in Section 2.07 with respect to Loans made by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and the Administrative Agent shall promptly pay to such Swingline Lender the amounts so received by it from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The Administrative Agent shall notify the Company promptly of any participations in any Swingline Loan acquired pursuant to this paragraph, and thereafter payments in respect of such Swingline Loan shall be made to the Administrative Agent and not to such Swingline Lender. Any amounts received by a Swingline Lender from the applicable Borrower (or other party on behalf of such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that shall have made their payments pursuant to this paragraph and to such Swingline Lender, as their interests may appear; provided that any such payment so remitted shall be repaid to such Swingline Lender or to the Administrative Agent, as applicable, if and to the extent such payment is required to be refunded to the applicable Borrower for any reason. The purchase of participations in a Swingline Loan pursuant to this paragraph shall not relieve any Borrower of any default in the payment of any Swingline Loan made to such Borrower.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(d)                Any Swingline Lender may be replaced at any time by written agreement among the Company, the Administrative Agent, the replaced Swingline Lender and the successor Swingline Lender. The Administrative Agent shall notify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of any such replacement of the relevant Swingline Lender. At the time any such replacement shall become effective, the Company shall pay all unpaid interest accrued for the account of the replaced Swingline Lender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Subject to the appointment and acceptance of a successor Swingline Lender, any Swingline Lender may resign as a Swingline Lender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time upon thirty (30) days’ prior written notice to the Administrative Agent, the Company and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in which case, such Swingline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 shall be replaced in accordance with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the Company may request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(or the amendment or extension of any outstanding Letter of Credit) denominated in Agreed LC Currencies for its own account,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thereof for the support of its or its Subsidiaries’ obligations, in a form reasonably acceptable to the Administrative Agent,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issuing such Letter of Credit, at any time and from time to time during the Availability Period. In the event of any conflict between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of this Agreement and the terms and conditions of any Letter of Credit Agreement, the terms and conditions of this Agreement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if any Issuing Bank is requested to issue Letters of Credit with respect to a jurisdiction such Issuing Bank deems, in its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applied generally to substantially similar credit facilities for which it acts as an issuing bank, may at any time subject it to a New Money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or a Country Risk Event, the Issuing Bank shall promptly notify the Company of such determination prior to the issuance of any Letter of Credit,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either withdraw its request to issue such Letter of Credit or, at the request of such Issuing Bank, guaranty and indemnify such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against any and all costs, liabilities and losses resulting from such New Money Credit Event or Country Risk Event, in each case in a form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reasonably satisfactory to such Issuing Bank. Notwithstanding anything herein to the contrary, no Issuing Bank shall have any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to issue, amend or extend, and shall not issue, amend or extend any Letter of Credit the proceeds of which would be made available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 to fund any activity or business of or with any Designated Person, or in any country or territory that, at the time of such funding, is the subject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Sanctions, (ii) in any manner that would result in a violation of any Sanctions by any party to this Agreement or (iii) in any manner that would result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violation of one or more policies of such Issuing Bank applicable to letters of credit generally. The Parent unconditionally and irrevocably agrees that,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Letter of Credit issued for the support of any Subsidiary’s obligations as provided in the first sentence of this paragraph,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fully responsible for the reimbursement of LC Disbursements in accordance with the terms hereof, the payment of interest thereon and the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fees due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to the same extent as if it were the sole account party in respect of such Letter of Credit (the Parent hereby irrevocably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waiving any defenses that might otherwise be available to it as a guarantor or surety of the obligations of such a Subsidiary that is an account party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such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To request the issuance of a Letter of Credit (or the amendment or extension of an outstanding Letter of Credit), the Company shall hand deliver, email or telecopy (or transmit by electronic communication, including an Approved Borrower Portal, if arrangements for doing so have been approved by such Issuing Bank) to the applicable Issuing Bank (selected by the Company in its sole discretion) and the Administrative Agent (reasonably in advance of the requested date of issuance, amendment or extension, but in any event no less than three (3) Business Days in advance thereof unless a shorter period is acceptable to the applicable Issuing Bank in its sole discretion)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w:t>
      </w:r>
    </w:p>
    <w:p>
      <w:pPr>
        <w:spacing w:after="0" w:line="3" w:lineRule="exact"/>
        <w:rPr>
          <w:sz w:val="20"/>
          <w:szCs w:val="20"/>
          <w:color w:val="auto"/>
        </w:rPr>
      </w:pPr>
    </w:p>
    <w:p>
      <w:pPr>
        <w:jc w:val="both"/>
        <w:ind w:firstLine="8"/>
        <w:spacing w:after="0" w:line="250" w:lineRule="auto"/>
        <w:tabs>
          <w:tab w:leader="none" w:pos="2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the amount of such Letter of Credit, the Agreed LC Currency applicable thereto, the name and address of the beneficiary thereof and such other information as shall be necessary to prepare, amend or extend such Letter of Credit. In addition, if required by such Issuing Bank, as a condition to any such Letter of Credit issuance, the Company shall have entered into a continuing agreement (or other letter of credit agreement) for the issuance of letters of credit and/or shall submit a letter of credit application, in a form agreed to by the Company and the applicable Issuing Bank in connection with any request for a Letter of Credit (each, a “</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xml:space="preserve">”). A Letter of Credit shall be issued, amended to increase the amount or extended only if (and upon issuance, amendment to increase the amount or extension of each Letter of Credit the Company shall be deemed to represent and warrant that), after giving effect to such issuance, amendment or extension, but allowing for fluctuations in currency exchange rates and subject to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the LC Exposure shall not exceed $200,000,000, (ii)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Dollar Amount of the aggregate face amount of all Letters of Credit issued and then outstanding by any Issuing Bank shall not exceed such Issuing Bank’s Applicable LC Sublimit, (iii)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sum of the Dollar Amount of the Total Revolving Credit Exposure shall not exceed the </w:t>
      </w:r>
      <w:r>
        <w:rPr>
          <w:rFonts w:ascii="Times New Roman" w:cs="Times New Roman" w:eastAsia="Times New Roman" w:hAnsi="Times New Roman"/>
          <w:sz w:val="18"/>
          <w:szCs w:val="18"/>
          <w:b w:val="1"/>
          <w:bCs w:val="1"/>
          <w:color w:val="FF0000"/>
          <w:strike w:val="1"/>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Commitment</w:t>
      </w:r>
      <w:r>
        <w:rPr>
          <w:rFonts w:ascii="Times New Roman" w:cs="Times New Roman" w:eastAsia="Times New Roman" w:hAnsi="Times New Roman"/>
          <w:sz w:val="18"/>
          <w:szCs w:val="18"/>
          <w:b w:val="1"/>
          <w:bCs w:val="1"/>
          <w:u w:val="single" w:color="auto"/>
          <w:color w:val="0000FF"/>
        </w:rPr>
        <w:t>aggregate Revolving Commitments</w:t>
      </w:r>
      <w:r>
        <w:rPr>
          <w:rFonts w:ascii="Times New Roman" w:cs="Times New Roman" w:eastAsia="Times New Roman" w:hAnsi="Times New Roman"/>
          <w:sz w:val="18"/>
          <w:szCs w:val="18"/>
          <w:color w:val="000000"/>
        </w:rPr>
        <w:t>, (iv) subject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the Dollar Amount of each Lender’s Revolving Credit Exposure shall not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exceed such Lender’s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and (v) subject to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the Dollar Amount of the total outstanding Revolving Loans and LC Exposure, in each case denominated in Foreign Currencies, shall not exceed the Foreign Currency Sublimit.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if set forth in such Letter of Credit, be subject to termination by notice from the Issuing Bank to the beneficiary thereof) at or prior to the close of business on the earlier of (i) the date two years after the date of the issuance of such Letter of Credit (or, in the case of any extension thereof, two years after such extension), unless the Required Lenders and the applicable Issuing Bank, in their discretion, have approved a later expiry date in writing and (ii) the date that is five (5) Business Days prior to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clauses (i) and (ii) above, upon the Company’s request and subject to the approval, in its discretion, by the Administrative Agent and the applicable Issuing Bank that has issued such Letter of Credit, any such Letter of Credit may have a later expiry date (but in any event not later than one (1) year after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Maturity Date) if Cash Collateralized in compliance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below.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or extending the term thereof) and without any further action on the part of any Issuing Bank or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each Issuing Bank hereby grants to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and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hereby acquires from such Issuing Bank, a participation in such Letter of Credit equal to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Applicable Percentage of the aggregate amount available to be drawn under such Letter of Credit. In consideration and in furtherance of the foregoing,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hereby absolutely and unconditionally agrees to pay to the Administrative Agent, for the account of the relevant Issuing Bank, such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Applicable Percentage of each LC Disbursement made by such Issuing Bank and not reimbursed by the Company on the date due 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provided in paragraph (e) of this Section, or of any reimbursement payment required to be refunded to the Company for any reason, including after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Maturity Date. Each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acknowledges and agrees that its obligation to acquire participations pursuant to this paragraph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If any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LC Currency which was paid by such Issuing Bank pursuant to such LC Disbursement in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w:t>
      </w:r>
    </w:p>
    <w:p>
      <w:pPr>
        <w:spacing w:after="0" w:line="2" w:lineRule="exact"/>
        <w:rPr>
          <w:sz w:val="20"/>
          <w:szCs w:val="20"/>
          <w:color w:val="auto"/>
        </w:rPr>
      </w:pPr>
    </w:p>
    <w:p>
      <w:pPr>
        <w:jc w:val="both"/>
        <w:ind w:firstLine="8"/>
        <w:spacing w:after="0" w:line="250" w:lineRule="auto"/>
        <w:tabs>
          <w:tab w:leader="none" w:pos="2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Day that the Company receives such notice, if such notice is received prior to 10:00 a.m., Local Time, on the day of receipt, or (ii) the Business Day immediately following the day that the Company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conditions to borrowing set forth herein, (i) to the extent such LC Disbursement was made in Dollars, such payment shall, automatically and without notice, be financed with (x) if the LC Disbursement is equal to or greater than $1,000,000, an ABR Revolving Borrowing in Dollars or, at the Company’s election, a Swingline Loan, or (y) if the LC Disbursement is equal to or greater than $100,000 but less than $1,000,000, a Swingline Loan, in each case in an amount equal to such LC Disbursement or (ii) to the extent such LC Disbursement was made in a Foreign Currency, the Company may request in accordance with Section 2.03 that such payment be financed with (i) an ABR Revolving Borrowing or Term Benchmark Revolving Borrowing in Dollars in the Dollar Amount of such LC Disbursement or (ii) to the extent that such LC Disbursement was made in a Foreign Currency, a Term Benchmark Revolving Borrowing in such Foreign Currency (in the event such Foreign Currency is an Agreed Loan Currency) in an amount equal to such LC Disbursement, and, in each case, to the extent so financed, the Company’s obligation to make such payment shall be discharged and replaced by the resulting ABR Revolving Borrowing, Swingline Loan or Term Benchmark Revolving Borrowing, as applicable. If the Company fails to make such payment when due, the Administrative Agent shall notify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of the applicable LC Disbursement, the payment then due from the Company in respect thereof and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Applicable Percentage thereof. Promptly following receipt of such notice,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shall pay to the Administrative Agent its Applicable Percentage of the payment then due from the Company, in the same manner 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provided in </w:t>
      </w:r>
      <w:r>
        <w:rPr>
          <w:rFonts w:ascii="Times New Roman" w:cs="Times New Roman" w:eastAsia="Times New Roman" w:hAnsi="Times New Roman"/>
          <w:sz w:val="18"/>
          <w:szCs w:val="18"/>
          <w:u w:val="single" w:color="auto"/>
          <w:color w:val="000000"/>
        </w:rPr>
        <w:t>Section 2.07</w:t>
      </w:r>
      <w:r>
        <w:rPr>
          <w:rFonts w:ascii="Times New Roman" w:cs="Times New Roman" w:eastAsia="Times New Roman" w:hAnsi="Times New Roman"/>
          <w:sz w:val="18"/>
          <w:szCs w:val="18"/>
          <w:color w:val="000000"/>
        </w:rPr>
        <w:t xml:space="preserve"> with respect to Loans made by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 (and </w:t>
      </w:r>
      <w:r>
        <w:rPr>
          <w:rFonts w:ascii="Times New Roman" w:cs="Times New Roman" w:eastAsia="Times New Roman" w:hAnsi="Times New Roman"/>
          <w:sz w:val="18"/>
          <w:szCs w:val="18"/>
          <w:u w:val="single" w:color="auto"/>
          <w:color w:val="000000"/>
        </w:rPr>
        <w:t>Section 2.07</w:t>
      </w:r>
      <w:r>
        <w:rPr>
          <w:rFonts w:ascii="Times New Roman" w:cs="Times New Roman" w:eastAsia="Times New Roman" w:hAnsi="Times New Roman"/>
          <w:sz w:val="18"/>
          <w:szCs w:val="18"/>
          <w:color w:val="000000"/>
        </w:rPr>
        <w:t xml:space="preserve"> shall apply, </w:t>
      </w:r>
      <w:r>
        <w:rPr>
          <w:rFonts w:ascii="Times New Roman" w:cs="Times New Roman" w:eastAsia="Times New Roman" w:hAnsi="Times New Roman"/>
          <w:sz w:val="18"/>
          <w:szCs w:val="18"/>
          <w:u w:val="single" w:color="auto"/>
          <w:color w:val="000000"/>
        </w:rPr>
        <w:t>mutatis mutandis</w:t>
      </w:r>
      <w:r>
        <w:rPr>
          <w:rFonts w:ascii="Times New Roman" w:cs="Times New Roman" w:eastAsia="Times New Roman" w:hAnsi="Times New Roman"/>
          <w:sz w:val="18"/>
          <w:szCs w:val="18"/>
          <w:color w:val="000000"/>
        </w:rPr>
        <w:t xml:space="preserve">, to the payment obligations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provided that, with respect to any such payment in respect of a Letter of Credit denominated in an Agreed LC Currency that is not an Agreed Loan Currency,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 may make such payment in Dollars in the Dollar Amount of such LC Disbursement), and the Administrative Agent shall promptly pay to such Issuing Bank the amounts so received by it from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Promptly following receipt by the Administrative Agent of any payment from the Company pursuant to this paragraph, the Administrative Agent shall distribute such payment to such Issuing Bank or, to the extent that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have made payments pursuant to this paragraph to reimburse such Issuing Bank, then to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and such Issuing Bank as their interests may appear. Any payment made by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pursuant to this paragraph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reimburse any Issuing Bank for any LC Disbursement (other than the funding of ABR Revolving Loans, Term Benchmark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 to any stamp duty, ad valorem charge or similar tax that would not be payable if such reimbursement were made or required to be made in Dollars, the Administrative Agent shall promptly notify the Company prior to payment by the Company, and the Company shall, at its option, either (x) pay the amount of any such tax requested by the Administrative Agent, the relevant Issuing Bank or the relevant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 or (y) reimburse each LC Disbursement made in such Foreign Currency in Dollars, in an amount equal to the Dollar Amount thereof calculated on the date such LC Disbursement is made.</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any payment by any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nor the Issuing Banks,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or any consequence arising from causes beyond the control of an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relevant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within the time period stipulated by the terms and conditions of the applicable Letter of Credit following its receipt thereof (and, if no time period is so stipulated, promptly), examine all documents purporting to represent a demand for payment under a Letter of Credit. After such examination, such Issuing Bank shall promptly notify the Administrative Agent and the Company by telephone (confirmed by telecopy or email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need not be given prior to payment by the Issuing Bank and any failure to give or delay in giving such notice shall not relieve the Company of its obligation to reimburse such Issuing Bank and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with respect to any such LC Disbursement in accordance with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ABR Revolving Loans (or in the case such LC Disbursement is denominated in a Foreign Currency, at the Overnight Rate for such Agreed LC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then effective Applicable Rate with respect to Term Benchmark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fails to reimburse such LC Disbursement when due pursuant to paragraph (e) of this Section, then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shall apply. Interest accrued pursuant to this paragraph shall be for the account of the relevant Issuing Bank, except that interest accrued on and after the date of payment by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pursuant to paragraph (e) of this Section to reimburse any Issuing Bank shall be for the account of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to the extent of such payment.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Replacement and Resignation of Issuing Bank</w:t>
      </w:r>
      <w:r>
        <w:rPr>
          <w:rFonts w:ascii="Times New Roman" w:cs="Times New Roman" w:eastAsia="Times New Roman" w:hAnsi="Times New Roman"/>
          <w:sz w:val="18"/>
          <w:szCs w:val="18"/>
          <w:color w:val="auto"/>
        </w:rPr>
        <w:t xml:space="preserve">. (A) Each Issuing Bank may be replaced at any time by written agreement among the Company, the Administrative Agent, the replaced Issuing Bank and the successor Issuing Bank. The Administrative Agent shall notify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of any such replacement of an Issuing Bank. At the time any such replacement shall become effective, the Company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8" w:lineRule="exact"/>
        <w:rPr>
          <w:sz w:val="20"/>
          <w:szCs w:val="20"/>
          <w:color w:val="auto"/>
        </w:rPr>
      </w:pPr>
    </w:p>
    <w:p>
      <w:pPr>
        <w:jc w:val="both"/>
        <w:ind w:left="660" w:firstLine="644"/>
        <w:spacing w:after="0" w:line="266" w:lineRule="auto"/>
        <w:tabs>
          <w:tab w:leader="none" w:pos="15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Subject to the appointment and acceptance of a successor Issuing Bank, any Issuing Bank may resign as an Issuing Bank at any time upon thirty days’ prior written notice to the Administrative Agent, the Company and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in which case, such resigning Issuing Bank shall be replaced in accordance with Section </w:t>
      </w:r>
      <w:r>
        <w:rPr>
          <w:rFonts w:ascii="Times New Roman" w:cs="Times New Roman" w:eastAsia="Times New Roman" w:hAnsi="Times New Roman"/>
          <w:sz w:val="18"/>
          <w:szCs w:val="18"/>
          <w:u w:val="single" w:color="auto"/>
          <w:color w:val="auto"/>
        </w:rPr>
        <w:t>2.06(i)(A)</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xml:space="preserve">. If (x) any Event of Default shall occur and be continuing, on the Business Day that the Company receives notice from the Administrative Agent or the Required Lenders (or, if the maturity of the Loans has been accelerated,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with LC Exposure representing greater than 50% of the total LC Exposure) demanding the deposit of cash collateral pursuant to this paragraph or (y) the Company requests the issuance of a Letter of Credit with an expiry date that is later than the expiry date prescribed in clause (c) of this Section 2.06 (an “</w:t>
      </w:r>
      <w:r>
        <w:rPr>
          <w:rFonts w:ascii="Times New Roman" w:cs="Times New Roman" w:eastAsia="Times New Roman" w:hAnsi="Times New Roman"/>
          <w:sz w:val="18"/>
          <w:szCs w:val="18"/>
          <w:u w:val="single" w:color="auto"/>
          <w:color w:val="auto"/>
        </w:rPr>
        <w:t>Extended Letter of Credit</w:t>
      </w:r>
      <w:r>
        <w:rPr>
          <w:rFonts w:ascii="Times New Roman" w:cs="Times New Roman" w:eastAsia="Times New Roman" w:hAnsi="Times New Roman"/>
          <w:sz w:val="18"/>
          <w:szCs w:val="18"/>
          <w:color w:val="auto"/>
        </w:rPr>
        <w:t xml:space="preserve">”), the Company shall on either such Business Day of receipt of notice (in the case of the foregoing clause (x)) or on such date of issuance (in the case of the foregoing clause (y)) either (A) cover by arranging for the issuance of one or more standby letters of credit issued by an issuer, and otherwise on terms and conditions, satisfactory to the Administrative Agent and the relevant Issuing Bank or (B) deposit cash in an account with the Administrative Agent, in each case in the name of the Administrative Agent and for the benefit of the Administrative Agent, the Issuing Banks and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and in an amount equal to (1) with respect to a Letter of Credit denominated in Dollars, 100% and (2) with respect to a Foreign Currency Letter of Credit, 105%, in each case of the Dollar Amount of the LC Exposure in respect of such Extended Letter of Credit (in the case of the foregoing clause (y)) or in the aggregate (in the case of the foregoing clause (x))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portions of such amount attributable to undrawn Foreign Currency Letters of Credit or LC Disbursements in a Foreign Currency that the Company is not late in reimbursing shall be covered or deposited in the applicable Foreign Currencies in an amount equal to 105% of the actual amounts of such undrawn Letters of Credit and LC Disbursements and (ii) the obligation to provide such letter(s) of credit cover or deposit such cash collateral shall become effective immediately, and such cover or deposit shall become immediately due and payable, without demand or other notice of any kind, upon the occurrence of any Event of Default with respect to the Company described in clause (f), (g) or (h)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the purposes of this paragraph, the Foreign Currency LC Exposure shall be calculated using the Dollar Amount thereof on the date notice demanding letter of credit cover or cash collateralization is delivered to the Company. The Company also shall deposit cash collateral pursuant to this paragraph as and to the extent required by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Any such deposits shall be held by the Administrative Agent as collateral for the payment and performance of the Obligations. The Administrative Agent shall have exclusive dominion and control, including the exclusive right of withdrawal, over such account. Such deposits shall bear interest, and such deposits shall be invested by the Administrative Agent in direct short term obligations of, or in other short term obligations which are unconditionally guaranteed with respect to all principal thereof and interest thereon by, the United States of America, in each case maturing no later than the expiry date of the Letter of Credit giving rise to LC Exposure. Interest or profits, if any, on such investments shall 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with LC Exposure representing greater than 50% of the total LC Exposure), be applied to satisfy other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the money remaining in such account exceeds the LC Exposure by $100,000 or more, the Administrative Agent will, promptly after request therefor by the Company at any time that no Default shall exist, deliver such excess to the Company. If the Company is required to provide an amount of cash collateral or letter of credit cover hereunder as a result of the occurrence of an Event of Default, such amount or letter of credit (to the extent not applied as aforesaid) shall be returned to the Company or the issuer of such letter of credit (as applicable) within three (3) Business Days after all Events of Default have been cured or waived.</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In the event that the Loans become immediately due and payable on any date pursuant to Article VII, all amounts (i) that the Company is at the time or thereafter becomes required to reimburse or otherwise pay to the Administrative Agent in respect of LC Disbursements made under any Foreign Currency Letter of Credit (other than amounts in respect of which the Company has provided letter of credit cover, or deposited cash collateral, pursuant to paragraph (j) above, if such letter of credit was issued, or cash collateral was deposited, in the applicable Foreign Currency to the extent so deposited or applied), (ii) that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are at the time or thereafter become required to pay to the Administrative Agent and the Administrative Agent is at the time or thereafter becomes required to distribute to any Issuing Bank pursuant to paragraph (e) of this Section in respect of unreimbursed LC Disbursements made under any Foreign Currency Letter of Credit and (iii) of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participation in any Foreign Currency Letter of Credit under which an LC Disbursement has been made shall, automatically and with no further action required, be converted into the Dollar Amount thereof, calculated on such date (or in the case of any LC Disbursement made after such date, on the date such LC Disbursement is made), of such amounts. On and after such conversion, all amounts accruing and owed to the Administrative Agent, any Issuing Bank or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in respect of the obligations described in this paragraph shall accrue and be payable in Dollars at the rates otherwise applicable hereunder.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Issuing Bank Agreements</w:t>
      </w:r>
      <w:r>
        <w:rPr>
          <w:rFonts w:ascii="Times New Roman" w:cs="Times New Roman" w:eastAsia="Times New Roman" w:hAnsi="Times New Roman"/>
          <w:sz w:val="18"/>
          <w:szCs w:val="18"/>
          <w:color w:val="auto"/>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and amendments, all expirations and cancellations and all disbursements and reimbursements, (ii)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(iii) on each Business Day on which such Issuing Bank makes any LC Disbursement, the date of such LC Disbursement and the amount of such LC Disbursement, (iv) on any Business Day on which any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LC Exposure Determination</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it hereunder on the proposed date specified in accordance with the terms hereof in the Borrowing Request </w:t>
      </w:r>
      <w:r>
        <w:rPr>
          <w:rFonts w:ascii="Times New Roman" w:cs="Times New Roman" w:eastAsia="Times New Roman" w:hAnsi="Times New Roman"/>
          <w:sz w:val="18"/>
          <w:szCs w:val="18"/>
          <w:b w:val="1"/>
          <w:bCs w:val="1"/>
          <w:u w:val="single" w:color="auto"/>
          <w:color w:val="0000FF"/>
        </w:rPr>
        <w:t>(which, in the case of the Term Loans, shall be the Amendment No. 1 Effective Date)</w:t>
      </w:r>
      <w:r>
        <w:rPr>
          <w:rFonts w:ascii="Times New Roman" w:cs="Times New Roman" w:eastAsia="Times New Roman" w:hAnsi="Times New Roman"/>
          <w:sz w:val="18"/>
          <w:szCs w:val="18"/>
          <w:color w:val="auto"/>
        </w:rPr>
        <w:t xml:space="preserve"> solely by wire transfer of immediately available funds (i) in the case of Loans denominated in Dollars, by 1:00 p.m., Chicago time, to the account of the Administrative Agent most recently designated by it for such purpose by notice to the Lenders and (ii) in the case of each Loan denominated in a Foreign Currency, by 1:00 p.m., Local Time, in the city of the Administrative Agent’s Foreign Currency Payment Office for such currency and at such Foreign Currency Payment Office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Except in respect of the provisions of this Agreement covering the reimbursement of Letters of Credit, the Administrative Agent will make such Loans available to the relevant Borrower by promptly crediting funds so received in the aforesaid account of the Administrative Agent to (x) an account of the Company maintained with the Administrative Agent in New York City or Chicago and designated by the relevant Borrower in the applicable Borrowing Request, in the case of Loans denominated in Dollars and (y) an account of such Borrower maintained in the relevant jurisdiction and designated by such Borrower in the applicable Borrowing Request, in the case of Loans denominated in a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relevant Issuing Bank.</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Unless the Administrative Agent shall have received notice from a Lender prior to the proposed date of any Borrowing (or in the case of an ABR Borrowing, prior to 1:00 p.m., Chicago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under this Agreement to such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(a) Each Borrowing initially shall be of the Type and Agreed Loan Currency specified in the applicable Borrowing Request (or, if not so specified, as provided in Section 2.03) and, in the case of a Term Benchmark Borrowing, shall have an initial Interest Period as specified in such Borrowing Request (or, if not so specified, as provided in Section 2.03).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To make an election pursuant to this Section, a Borrower, or the Company on its behalf, shall notify the Administrative Agent of such election (by irrevocable written notice (via an Interest Election Request signed by such Borrower, or the Company on its behalf;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Election Request is submitted through an Approved Borrower Portal, the foregoing signature requirement may be waived at the sole discretion of the Administrative Agent)) by the time that a Borrowing Request would be required under Section 2.03 if such Borrower were requesting a Borrowing of the Type resulting from such election to be made on the effective date of such election.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spacing w:after="0" w:line="192" w:lineRule="exact"/>
        <w:rPr>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name of the applicable Borrower and the Agreed Loan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whether the resulting Borrowing is to be an ABR Borrowing (in the case of Borrowings denominated in Dollars), a Term Benchmark Borrowing or an RFR Borrowing;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a Term Benchmark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shall any Borrower be permitted to request pursuant to this Section 2.08(c) a CBR Loan or, prior to a Benchmark Transition Event and Benchmark Replacement Date with respect to the Term SOFR Rate, an RFR Loan bearing interest based on Daily Simple SOFR (it being understood and agreed that a Central Bank Rate and Daily Simple SOFR shall only apply to the extent provided in Sections 2.08(e) (solely with respect to the Central Bank Rate), 2.14(a) and 2.14(f), as applicable).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of the applicable Class of the details thereof and of such Lender’s portion of each resulting Borrowing.</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If the relevant Borrower fails to deliver a timely Interest Election Request with respect to a Term Benchmark Borrowing prior to the end of the Interest Period applicable thereto, then, unless such Borrowing is repaid as provided herein, at the end of such Interest Period (i) in the case of a Borrowing denominated in Dollars, such Borrowing shall be converted to an ABR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shall have delivered to the Administrative Agent its customary standard documentation pre-authorizing automatic continuations, such Borrowing shall automatically be continued as a Term Benchmark Borrowing in its original Agreed Loan Currency with an Interest Period of one month at the end of such Interest Period. If the relevant Borrower fails to deliver a timely and complete Interest Election Request with respect to an RFR Borrowing in a Foreign Currency prior to the Interest Payment Date therefor, then, unless such RFR Borrowing is repaid as provided herein, such Borrower shall be deemed to have selected that such RFR Borrowing shall automatically be continued as an RFR Borrowing in its original Agreed Loan Currency bearing interest at a rate based upon the applicable Daily Simple RFR as of such Interest Payment Date.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or an RFR Borrowing and (ii) unless repaid, (x)(A) each Term Benchmark Borrowing denominated in Dollars shall be converted to an ABR Borrowing at the end of the Interest Period applicable thereto and (B) each RFR Borrowing denominated in Dollars shall be converted to an ABR Borrowing on the last day of the calendar month and (y) each Term Benchmark Borrowing and each RFR Borrowing, in each case denominated in a Foreign Currency shall bear interest at the Central Bank Rate for the applicable Agreed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reasonably and in good faith (which determination shall be conclusive and binding absent demonstrable error) that the Central Bank Rate for the applicable Agreed Currency cannot be determined, any outstanding affected Term Benchmark Loans or RFR Loans denominated in any Foreign Currency shall either be (A) converted to an ABR Borrowing denominated in Dollars (in an amount equal to the Dollar Amount of such Foreign Currency) at the end of the Interest Period or on the Interest Payment Date, as applicable, therefor or (B) prepaid at the end of the applicable Interest Period or on the Interest Payment Date, as applicable,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relevant Borrower by the earlier of (x) the date that is three (3) Business Days after receipt by the Company of such notice and (y) the last day of the current Interest Period for the applicable Term Benchmark Loan, such Borrower shall be deemed to have elected clause (A)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(a)       Unless previously terminated, the </w:t>
      </w:r>
      <w:r>
        <w:rPr>
          <w:rFonts w:ascii="Times New Roman" w:cs="Times New Roman" w:eastAsia="Times New Roman" w:hAnsi="Times New Roman"/>
          <w:sz w:val="18"/>
          <w:szCs w:val="18"/>
          <w:b w:val="1"/>
          <w:bCs w:val="1"/>
          <w:u w:val="single" w:color="auto"/>
          <w:color w:val="0000FF"/>
        </w:rPr>
        <w:t>Term Loan Commitments shall terminate at 3:00 p.m., Chicago time, on the Amendment No.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Effective Date. Unless previously terminated, the 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 shall terminate on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Maturity Date (subject to Section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2.25).</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(b)      The Company may at any time terminate, or from time to time reduce,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 shall be in an amount that is an integral multiple of $1,000,000 and not less than $5,000,000 and (ii) the Company shall not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terminate or reduce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Commitments if, after giving effect to any concurrent prepayment of the Revolving Loans in accordance with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2.11</w:t>
      </w:r>
      <w:r>
        <w:rPr>
          <w:rFonts w:ascii="Times New Roman" w:cs="Times New Roman" w:eastAsia="Times New Roman" w:hAnsi="Times New Roman"/>
          <w:sz w:val="18"/>
          <w:szCs w:val="18"/>
          <w:color w:val="000000"/>
        </w:rPr>
        <w:t xml:space="preserve">, (A) the Dollar Amount of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Revolving Credit Exposure would exceed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or (B) the Dollar Amount of the Total Revolving Credit Exposure would exceed the </w:t>
      </w:r>
      <w:r>
        <w:rPr>
          <w:rFonts w:ascii="Times New Roman" w:cs="Times New Roman" w:eastAsia="Times New Roman" w:hAnsi="Times New Roman"/>
          <w:sz w:val="18"/>
          <w:szCs w:val="18"/>
          <w:b w:val="1"/>
          <w:bCs w:val="1"/>
          <w:color w:val="FF0000"/>
          <w:strike w:val="1"/>
        </w:rPr>
        <w:t>Aggregate Commitment</w:t>
      </w:r>
      <w:r>
        <w:rPr>
          <w:rFonts w:ascii="Times New Roman" w:cs="Times New Roman" w:eastAsia="Times New Roman" w:hAnsi="Times New Roman"/>
          <w:sz w:val="18"/>
          <w:szCs w:val="18"/>
          <w:b w:val="1"/>
          <w:bCs w:val="1"/>
          <w:u w:val="single" w:color="auto"/>
          <w:color w:val="0000FF"/>
        </w:rPr>
        <w:t>aggregate Revolving Commitments</w:t>
      </w:r>
      <w:r>
        <w:rPr>
          <w:rFonts w:ascii="Times New Roman" w:cs="Times New Roman" w:eastAsia="Times New Roman" w:hAnsi="Times New Roman"/>
          <w:sz w:val="18"/>
          <w:szCs w:val="18"/>
          <w:color w:val="000000"/>
        </w:rPr>
        <w: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Notwithstanding the foregoing, upon the acquisition of one Lender by another Lender, or the merger, consolidation or other combination of any two or more Lenders (any such acquisition, merger, consolidation or other combination being referred to hereinafter as a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and each Lender which is a party to such Combination being hereinafter referred to as a “</w:t>
      </w:r>
      <w:r>
        <w:rPr>
          <w:rFonts w:ascii="Times New Roman" w:cs="Times New Roman" w:eastAsia="Times New Roman" w:hAnsi="Times New Roman"/>
          <w:sz w:val="18"/>
          <w:szCs w:val="18"/>
          <w:u w:val="single" w:color="auto"/>
          <w:color w:val="auto"/>
        </w:rPr>
        <w:t>Combined Lender</w:t>
      </w:r>
      <w:r>
        <w:rPr>
          <w:rFonts w:ascii="Times New Roman" w:cs="Times New Roman" w:eastAsia="Times New Roman" w:hAnsi="Times New Roman"/>
          <w:sz w:val="18"/>
          <w:szCs w:val="18"/>
          <w:color w:val="auto"/>
        </w:rPr>
        <w:t>”), the Company may notify the Administrative Agent that it desires to reduce the Commitment of the Lender surviving such Combination (the “</w:t>
      </w:r>
      <w:r>
        <w:rPr>
          <w:rFonts w:ascii="Times New Roman" w:cs="Times New Roman" w:eastAsia="Times New Roman" w:hAnsi="Times New Roman"/>
          <w:sz w:val="18"/>
          <w:szCs w:val="18"/>
          <w:u w:val="single" w:color="auto"/>
          <w:color w:val="auto"/>
        </w:rPr>
        <w:t>Surviving Lender</w:t>
      </w:r>
      <w:r>
        <w:rPr>
          <w:rFonts w:ascii="Times New Roman" w:cs="Times New Roman" w:eastAsia="Times New Roman" w:hAnsi="Times New Roman"/>
          <w:sz w:val="18"/>
          <w:szCs w:val="18"/>
          <w:color w:val="auto"/>
        </w:rPr>
        <w:t>”) to an amount equal to the Commitment of that Combined Lender which had the largest Commitment of each of the Combined Lenders party to such Combination (such largest Commitment being the “</w:t>
      </w:r>
      <w:r>
        <w:rPr>
          <w:rFonts w:ascii="Times New Roman" w:cs="Times New Roman" w:eastAsia="Times New Roman" w:hAnsi="Times New Roman"/>
          <w:sz w:val="18"/>
          <w:szCs w:val="18"/>
          <w:u w:val="single" w:color="auto"/>
          <w:color w:val="auto"/>
        </w:rPr>
        <w:t>Surviving Commitment</w:t>
      </w:r>
      <w:r>
        <w:rPr>
          <w:rFonts w:ascii="Times New Roman" w:cs="Times New Roman" w:eastAsia="Times New Roman" w:hAnsi="Times New Roman"/>
          <w:sz w:val="18"/>
          <w:szCs w:val="18"/>
          <w:color w:val="auto"/>
        </w:rPr>
        <w:t>” and the Commitments of the other Combined Lenders being hereinafter referred to, collectively, as the “</w:t>
      </w:r>
      <w:r>
        <w:rPr>
          <w:rFonts w:ascii="Times New Roman" w:cs="Times New Roman" w:eastAsia="Times New Roman" w:hAnsi="Times New Roman"/>
          <w:sz w:val="18"/>
          <w:szCs w:val="18"/>
          <w:u w:val="single" w:color="auto"/>
          <w:color w:val="auto"/>
        </w:rPr>
        <w:t>Retired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If the Required Lenders (determined as set forth below) and the Administrative Agent agree to such reduction in the Surviving Lender’s Commitment, then (i) the aggregate amount of the Commitments shall be reduced by the Retired Commitments effective upon the effective date of the Combination (or such later date as the Company may specify in its request), provided, that, on or before such date the Borrowers have paid in full the outstanding principal amount of the Loans of each of the Combined Lenders other than the Combined Lender whose Commitment is the Surviving Commitment, (ii) from and after the effective date of such reduction, the Surviving Lender shall have no obligation with respect to the Retired Commitments, and (iii) the Company shall notify the Administrative Agent whether it wants such reduction to be a permanent reduction or a temporary reduction. If such reduction is to be a temporary reduction, then the Company shall be responsible for finding one or more financial institutions (which for the avoidance of doubt may be an existing Lender) (each, a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acceptable to the Administrative Agent (such acceptance not to be unreasonably withheld, conditioned or delayed), willing to assume the obligations of a Lender hereunder with aggregate Commitments up to the amount of the Retired Commitments. The Administrative Agent may require the Replacement Lenders to execute such documents, instruments or agreements as the Administrative Agent reasonably deems necessary or desirable to evidence such Replacement Lenders’ agreement to become parties hereunder. For purposes of this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Required Lenders shall be determined as if the reduction in the aggregate amount of the Commitments requested by the Company had occurred (i.e., the Combined Lenders shall be deemed to have a single Commitment equal to the Surviving Commitment and the aggregate amount of the Commitments shall be deemed to have been reduced by the Retired Commitments).</w:t>
      </w:r>
    </w:p>
    <w:p>
      <w:pPr>
        <w:spacing w:after="0" w:line="185" w:lineRule="exact"/>
        <w:rPr>
          <w:sz w:val="20"/>
          <w:szCs w:val="20"/>
          <w:color w:val="auto"/>
        </w:rPr>
      </w:pPr>
    </w:p>
    <w:p>
      <w:pPr>
        <w:jc w:val="both"/>
        <w:ind w:firstLine="656"/>
        <w:spacing w:after="0" w:line="255" w:lineRule="auto"/>
        <w:tabs>
          <w:tab w:leader="none" w:pos="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Company shall notify the Administrative Agent of any election to terminate or reduce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under paragraph (b) of this Section at least three (3) Business Days prior to the effective date of such termination or reduction, specifying such election and the effective date thereof. Promptly following receipt of any notice, the Administrative Agent shall advise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of the contents thereof. Each notice delivered by the Company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or reduction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delivered by the Company may state that such notice is conditioned upon the effectiveness of other credit facilities or other matters specified therein, in which case such notice may be revoked by the Company (by notice to the Administrative Agent on or prior to the specified effective date) if such condition is not satisfied. Any termination or reduction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shall be permanent. Each reduction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shall be made ratably among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in accordance with their respective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 Amortization</w:t>
      </w:r>
      <w:r>
        <w:rPr>
          <w:rFonts w:ascii="Times New Roman" w:cs="Times New Roman" w:eastAsia="Times New Roman" w:hAnsi="Times New Roman"/>
          <w:sz w:val="18"/>
          <w:szCs w:val="18"/>
          <w:color w:val="auto"/>
        </w:rPr>
        <w:t xml:space="preserve"> of Loans; Evidence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-5080</wp:posOffset>
            </wp:positionV>
            <wp:extent cx="16656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Each Borrower hereby unconditionally promises to pay (A) to the Administrative Agent for the account of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the then unpaid principal amount of each Revolving Loan made to such Borrower on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Maturity Date in the currency of such Loan and (B) to the relevant Swingline Lender the then unpaid principal amount of each Swingline Loan made to such Borrower by such Swingline Lender on the earlier</w:t>
      </w: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Maturity Date and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date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Company shall repay all Swingline Loans then outstanding and the proceeds of any such Borrowing shall be applied by the Administrative Agent to repay any Swingline Loans outstanding.</w:t>
      </w:r>
    </w:p>
    <w:p>
      <w:pPr>
        <w:spacing w:after="0" w:line="194" w:lineRule="exact"/>
        <w:rPr>
          <w:sz w:val="20"/>
          <w:szCs w:val="20"/>
          <w:color w:val="auto"/>
        </w:rPr>
      </w:pPr>
    </w:p>
    <w:p>
      <w:pPr>
        <w:ind w:firstLine="1304"/>
        <w:spacing w:after="0" w:line="286" w:lineRule="auto"/>
        <w:tabs>
          <w:tab w:leader="none" w:pos="1563" w:val="left"/>
        </w:tabs>
        <w:numPr>
          <w:ilvl w:val="0"/>
          <w:numId w:val="3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Company shall repay Term Loans on each date set forth below in the aggregate principal amount set forth opposite such date (as adjusted from time to time pursuant to Section 2.11.1(b)):</w:t>
      </w:r>
    </w:p>
    <w:p>
      <w:pPr>
        <w:spacing w:after="0" w:line="157" w:lineRule="exact"/>
        <w:rPr>
          <w:sz w:val="20"/>
          <w:szCs w:val="20"/>
          <w:color w:val="auto"/>
        </w:rPr>
      </w:pPr>
    </w:p>
    <w:tbl>
      <w:tblPr>
        <w:tblLayout w:type="fixed"/>
        <w:tblInd w:w="69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100" w:type="dxa"/>
            <w:vAlign w:val="bottom"/>
            <w:tcBorders>
              <w:top w:val="single" w:sz="8" w:color="auto"/>
              <w:right w:val="single" w:sz="8" w:color="010101"/>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Date</w:t>
            </w:r>
          </w:p>
        </w:tc>
        <w:tc>
          <w:tcPr>
            <w:tcW w:w="1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300" w:type="dxa"/>
            <w:vAlign w:val="bottom"/>
            <w:tcBorders>
              <w:top w:val="single" w:sz="8" w:color="auto"/>
              <w:right w:val="single" w:sz="8" w:color="auto"/>
            </w:tcBorders>
            <w:gridSpan w:val="3"/>
          </w:tcPr>
          <w:p>
            <w:pPr>
              <w:jc w:val="center"/>
              <w:ind w:right="168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Amount</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010101"/>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auto"/>
            </w:tcBorders>
          </w:tcPr>
          <w:p>
            <w:pPr>
              <w:spacing w:after="0"/>
              <w:rPr>
                <w:sz w:val="15"/>
                <w:szCs w:val="15"/>
                <w:color w:val="auto"/>
              </w:rPr>
            </w:pPr>
          </w:p>
        </w:tc>
        <w:tc>
          <w:tcPr>
            <w:tcW w:w="5820" w:type="dxa"/>
            <w:vAlign w:val="bottom"/>
            <w:tcBorders>
              <w:right w:val="single" w:sz="8" w:color="010101"/>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June 30, 2027</w:t>
            </w:r>
          </w:p>
        </w:tc>
        <w:tc>
          <w:tcPr>
            <w:tcW w:w="3960" w:type="dxa"/>
            <w:vAlign w:val="bottom"/>
            <w:tcBorders>
              <w:right w:val="single" w:sz="8" w:color="auto"/>
            </w:tcBorders>
            <w:gridSpan w:val="5"/>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3,125,000</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010101"/>
            </w:tcBorders>
          </w:tcPr>
          <w:p>
            <w:pPr>
              <w:spacing w:after="0"/>
              <w:rPr>
                <w:sz w:val="2"/>
                <w:szCs w:val="2"/>
                <w:color w:val="auto"/>
              </w:rPr>
            </w:pPr>
          </w:p>
        </w:tc>
        <w:tc>
          <w:tcPr>
            <w:tcW w:w="760" w:type="dxa"/>
            <w:vAlign w:val="bottom"/>
            <w:tcBorders>
              <w:top w:val="single" w:sz="8" w:color="0000FF"/>
              <w:bottom w:val="single" w:sz="8" w:color="010101"/>
            </w:tcBorders>
          </w:tcPr>
          <w:p>
            <w:pPr>
              <w:spacing w:after="0"/>
              <w:rPr>
                <w:sz w:val="2"/>
                <w:szCs w:val="2"/>
                <w:color w:val="auto"/>
              </w:rPr>
            </w:pPr>
          </w:p>
        </w:tc>
        <w:tc>
          <w:tcPr>
            <w:tcW w:w="280" w:type="dxa"/>
            <w:vAlign w:val="bottom"/>
            <w:tcBorders>
              <w:top w:val="single" w:sz="8" w:color="0000FF"/>
              <w:bottom w:val="single" w:sz="8" w:color="010101"/>
            </w:tcBorders>
          </w:tcPr>
          <w:p>
            <w:pPr>
              <w:spacing w:after="0"/>
              <w:rPr>
                <w:sz w:val="2"/>
                <w:szCs w:val="2"/>
                <w:color w:val="auto"/>
              </w:rPr>
            </w:pPr>
          </w:p>
        </w:tc>
        <w:tc>
          <w:tcPr>
            <w:tcW w:w="140" w:type="dxa"/>
            <w:vAlign w:val="bottom"/>
            <w:tcBorders>
              <w:bottom w:val="single" w:sz="8" w:color="010101"/>
            </w:tcBorders>
          </w:tcPr>
          <w:p>
            <w:pPr>
              <w:spacing w:after="0"/>
              <w:rPr>
                <w:sz w:val="2"/>
                <w:szCs w:val="2"/>
                <w:color w:val="auto"/>
              </w:rPr>
            </w:pPr>
          </w:p>
        </w:tc>
        <w:tc>
          <w:tcPr>
            <w:tcW w:w="260" w:type="dxa"/>
            <w:vAlign w:val="bottom"/>
            <w:tcBorders>
              <w:bottom w:val="single" w:sz="8" w:color="010101"/>
            </w:tcBorders>
          </w:tcPr>
          <w:p>
            <w:pPr>
              <w:spacing w:after="0"/>
              <w:rPr>
                <w:sz w:val="2"/>
                <w:szCs w:val="2"/>
                <w:color w:val="auto"/>
              </w:rPr>
            </w:pPr>
          </w:p>
        </w:tc>
        <w:tc>
          <w:tcPr>
            <w:tcW w:w="60" w:type="dxa"/>
            <w:vAlign w:val="bottom"/>
            <w:tcBorders>
              <w:bottom w:val="single" w:sz="8" w:color="010101"/>
            </w:tcBorders>
          </w:tcPr>
          <w:p>
            <w:pPr>
              <w:spacing w:after="0"/>
              <w:rPr>
                <w:sz w:val="2"/>
                <w:szCs w:val="2"/>
                <w:color w:val="auto"/>
              </w:rPr>
            </w:pPr>
          </w:p>
        </w:tc>
        <w:tc>
          <w:tcPr>
            <w:tcW w:w="12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2460" w:type="dxa"/>
            <w:vAlign w:val="bottom"/>
            <w:tcBorders>
              <w:bottom w:val="single" w:sz="8" w:color="010101"/>
            </w:tcBorders>
          </w:tcPr>
          <w:p>
            <w:pPr>
              <w:spacing w:after="0"/>
              <w:rPr>
                <w:sz w:val="2"/>
                <w:szCs w:val="2"/>
                <w:color w:val="auto"/>
              </w:rPr>
            </w:pPr>
          </w:p>
        </w:tc>
        <w:tc>
          <w:tcPr>
            <w:tcW w:w="280" w:type="dxa"/>
            <w:vAlign w:val="bottom"/>
            <w:tcBorders>
              <w:bottom w:val="single" w:sz="8" w:color="010101"/>
              <w:right w:val="single" w:sz="8" w:color="010101"/>
            </w:tcBorders>
          </w:tcPr>
          <w:p>
            <w:pPr>
              <w:spacing w:after="0"/>
              <w:rPr>
                <w:sz w:val="2"/>
                <w:szCs w:val="2"/>
                <w:color w:val="auto"/>
              </w:rPr>
            </w:pPr>
          </w:p>
        </w:tc>
        <w:tc>
          <w:tcPr>
            <w:tcW w:w="1560" w:type="dxa"/>
            <w:vAlign w:val="bottom"/>
            <w:tcBorders>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620" w:type="dxa"/>
            <w:vAlign w:val="bottom"/>
            <w:tcBorders>
              <w:top w:val="single" w:sz="8" w:color="0000FF"/>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1580" w:type="dxa"/>
            <w:vAlign w:val="bottom"/>
            <w:tcBorders>
              <w:bottom w:val="single" w:sz="8" w:color="010101"/>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auto"/>
            </w:tcBorders>
          </w:tcPr>
          <w:p>
            <w:pPr>
              <w:spacing w:after="0"/>
              <w:rPr>
                <w:sz w:val="15"/>
                <w:szCs w:val="15"/>
                <w:color w:val="auto"/>
              </w:rPr>
            </w:pPr>
          </w:p>
        </w:tc>
        <w:tc>
          <w:tcPr>
            <w:tcW w:w="5820" w:type="dxa"/>
            <w:vAlign w:val="bottom"/>
            <w:tcBorders>
              <w:right w:val="single" w:sz="8" w:color="010101"/>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September 30, 2027</w:t>
            </w:r>
          </w:p>
        </w:tc>
        <w:tc>
          <w:tcPr>
            <w:tcW w:w="3960" w:type="dxa"/>
            <w:vAlign w:val="bottom"/>
            <w:tcBorders>
              <w:right w:val="single" w:sz="8" w:color="auto"/>
            </w:tcBorders>
            <w:gridSpan w:val="5"/>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3,125,000</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010101"/>
            </w:tcBorders>
          </w:tcPr>
          <w:p>
            <w:pPr>
              <w:spacing w:after="0"/>
              <w:rPr>
                <w:sz w:val="2"/>
                <w:szCs w:val="2"/>
                <w:color w:val="auto"/>
              </w:rPr>
            </w:pPr>
          </w:p>
        </w:tc>
        <w:tc>
          <w:tcPr>
            <w:tcW w:w="760" w:type="dxa"/>
            <w:vAlign w:val="bottom"/>
            <w:tcBorders>
              <w:top w:val="single" w:sz="8" w:color="0000FF"/>
              <w:bottom w:val="single" w:sz="8" w:color="010101"/>
            </w:tcBorders>
          </w:tcPr>
          <w:p>
            <w:pPr>
              <w:spacing w:after="0"/>
              <w:rPr>
                <w:sz w:val="2"/>
                <w:szCs w:val="2"/>
                <w:color w:val="auto"/>
              </w:rPr>
            </w:pPr>
          </w:p>
        </w:tc>
        <w:tc>
          <w:tcPr>
            <w:tcW w:w="280" w:type="dxa"/>
            <w:vAlign w:val="bottom"/>
            <w:tcBorders>
              <w:top w:val="single" w:sz="8" w:color="0000FF"/>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260" w:type="dxa"/>
            <w:vAlign w:val="bottom"/>
            <w:tcBorders>
              <w:top w:val="single" w:sz="8" w:color="0000FF"/>
              <w:bottom w:val="single" w:sz="8" w:color="010101"/>
            </w:tcBorders>
          </w:tcPr>
          <w:p>
            <w:pPr>
              <w:spacing w:after="0"/>
              <w:rPr>
                <w:sz w:val="2"/>
                <w:szCs w:val="2"/>
                <w:color w:val="auto"/>
              </w:rPr>
            </w:pPr>
          </w:p>
        </w:tc>
        <w:tc>
          <w:tcPr>
            <w:tcW w:w="60" w:type="dxa"/>
            <w:vAlign w:val="bottom"/>
            <w:tcBorders>
              <w:top w:val="single" w:sz="8" w:color="0000FF"/>
              <w:bottom w:val="single" w:sz="8" w:color="010101"/>
            </w:tcBorders>
          </w:tcPr>
          <w:p>
            <w:pPr>
              <w:spacing w:after="0"/>
              <w:rPr>
                <w:sz w:val="2"/>
                <w:szCs w:val="2"/>
                <w:color w:val="auto"/>
              </w:rPr>
            </w:pPr>
          </w:p>
        </w:tc>
        <w:tc>
          <w:tcPr>
            <w:tcW w:w="12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2460" w:type="dxa"/>
            <w:vAlign w:val="bottom"/>
            <w:tcBorders>
              <w:bottom w:val="single" w:sz="8" w:color="010101"/>
            </w:tcBorders>
          </w:tcPr>
          <w:p>
            <w:pPr>
              <w:spacing w:after="0"/>
              <w:rPr>
                <w:sz w:val="2"/>
                <w:szCs w:val="2"/>
                <w:color w:val="auto"/>
              </w:rPr>
            </w:pPr>
          </w:p>
        </w:tc>
        <w:tc>
          <w:tcPr>
            <w:tcW w:w="280" w:type="dxa"/>
            <w:vAlign w:val="bottom"/>
            <w:tcBorders>
              <w:bottom w:val="single" w:sz="8" w:color="010101"/>
              <w:right w:val="single" w:sz="8" w:color="010101"/>
            </w:tcBorders>
          </w:tcPr>
          <w:p>
            <w:pPr>
              <w:spacing w:after="0"/>
              <w:rPr>
                <w:sz w:val="2"/>
                <w:szCs w:val="2"/>
                <w:color w:val="auto"/>
              </w:rPr>
            </w:pPr>
          </w:p>
        </w:tc>
        <w:tc>
          <w:tcPr>
            <w:tcW w:w="1560" w:type="dxa"/>
            <w:vAlign w:val="bottom"/>
            <w:tcBorders>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620" w:type="dxa"/>
            <w:vAlign w:val="bottom"/>
            <w:tcBorders>
              <w:top w:val="single" w:sz="8" w:color="0000FF"/>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1580" w:type="dxa"/>
            <w:vAlign w:val="bottom"/>
            <w:tcBorders>
              <w:bottom w:val="single" w:sz="8" w:color="010101"/>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auto"/>
            </w:tcBorders>
          </w:tcPr>
          <w:p>
            <w:pPr>
              <w:spacing w:after="0"/>
              <w:rPr>
                <w:sz w:val="15"/>
                <w:szCs w:val="15"/>
                <w:color w:val="auto"/>
              </w:rPr>
            </w:pPr>
          </w:p>
        </w:tc>
        <w:tc>
          <w:tcPr>
            <w:tcW w:w="5820" w:type="dxa"/>
            <w:vAlign w:val="bottom"/>
            <w:tcBorders>
              <w:right w:val="single" w:sz="8" w:color="010101"/>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December 31, 2027</w:t>
            </w:r>
          </w:p>
        </w:tc>
        <w:tc>
          <w:tcPr>
            <w:tcW w:w="3960" w:type="dxa"/>
            <w:vAlign w:val="bottom"/>
            <w:tcBorders>
              <w:right w:val="single" w:sz="8" w:color="auto"/>
            </w:tcBorders>
            <w:gridSpan w:val="5"/>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3,125,000</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010101"/>
            </w:tcBorders>
          </w:tcPr>
          <w:p>
            <w:pPr>
              <w:spacing w:after="0"/>
              <w:rPr>
                <w:sz w:val="2"/>
                <w:szCs w:val="2"/>
                <w:color w:val="auto"/>
              </w:rPr>
            </w:pPr>
          </w:p>
        </w:tc>
        <w:tc>
          <w:tcPr>
            <w:tcW w:w="760" w:type="dxa"/>
            <w:vAlign w:val="bottom"/>
            <w:tcBorders>
              <w:top w:val="single" w:sz="8" w:color="0000FF"/>
              <w:bottom w:val="single" w:sz="8" w:color="010101"/>
            </w:tcBorders>
          </w:tcPr>
          <w:p>
            <w:pPr>
              <w:spacing w:after="0"/>
              <w:rPr>
                <w:sz w:val="2"/>
                <w:szCs w:val="2"/>
                <w:color w:val="auto"/>
              </w:rPr>
            </w:pPr>
          </w:p>
        </w:tc>
        <w:tc>
          <w:tcPr>
            <w:tcW w:w="280" w:type="dxa"/>
            <w:vAlign w:val="bottom"/>
            <w:tcBorders>
              <w:top w:val="single" w:sz="8" w:color="0000FF"/>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260" w:type="dxa"/>
            <w:vAlign w:val="bottom"/>
            <w:tcBorders>
              <w:top w:val="single" w:sz="8" w:color="0000FF"/>
              <w:bottom w:val="single" w:sz="8" w:color="010101"/>
            </w:tcBorders>
          </w:tcPr>
          <w:p>
            <w:pPr>
              <w:spacing w:after="0"/>
              <w:rPr>
                <w:sz w:val="2"/>
                <w:szCs w:val="2"/>
                <w:color w:val="auto"/>
              </w:rPr>
            </w:pPr>
          </w:p>
        </w:tc>
        <w:tc>
          <w:tcPr>
            <w:tcW w:w="60" w:type="dxa"/>
            <w:vAlign w:val="bottom"/>
            <w:tcBorders>
              <w:bottom w:val="single" w:sz="8" w:color="010101"/>
            </w:tcBorders>
          </w:tcPr>
          <w:p>
            <w:pPr>
              <w:spacing w:after="0"/>
              <w:rPr>
                <w:sz w:val="2"/>
                <w:szCs w:val="2"/>
                <w:color w:val="auto"/>
              </w:rPr>
            </w:pPr>
          </w:p>
        </w:tc>
        <w:tc>
          <w:tcPr>
            <w:tcW w:w="12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2460" w:type="dxa"/>
            <w:vAlign w:val="bottom"/>
            <w:tcBorders>
              <w:bottom w:val="single" w:sz="8" w:color="010101"/>
            </w:tcBorders>
          </w:tcPr>
          <w:p>
            <w:pPr>
              <w:spacing w:after="0"/>
              <w:rPr>
                <w:sz w:val="2"/>
                <w:szCs w:val="2"/>
                <w:color w:val="auto"/>
              </w:rPr>
            </w:pPr>
          </w:p>
        </w:tc>
        <w:tc>
          <w:tcPr>
            <w:tcW w:w="280" w:type="dxa"/>
            <w:vAlign w:val="bottom"/>
            <w:tcBorders>
              <w:bottom w:val="single" w:sz="8" w:color="010101"/>
              <w:right w:val="single" w:sz="8" w:color="010101"/>
            </w:tcBorders>
          </w:tcPr>
          <w:p>
            <w:pPr>
              <w:spacing w:after="0"/>
              <w:rPr>
                <w:sz w:val="2"/>
                <w:szCs w:val="2"/>
                <w:color w:val="auto"/>
              </w:rPr>
            </w:pPr>
          </w:p>
        </w:tc>
        <w:tc>
          <w:tcPr>
            <w:tcW w:w="1560" w:type="dxa"/>
            <w:vAlign w:val="bottom"/>
            <w:tcBorders>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620" w:type="dxa"/>
            <w:vAlign w:val="bottom"/>
            <w:tcBorders>
              <w:top w:val="single" w:sz="8" w:color="0000FF"/>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1580" w:type="dxa"/>
            <w:vAlign w:val="bottom"/>
            <w:tcBorders>
              <w:bottom w:val="single" w:sz="8" w:color="010101"/>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auto"/>
            </w:tcBorders>
          </w:tcPr>
          <w:p>
            <w:pPr>
              <w:spacing w:after="0"/>
              <w:rPr>
                <w:sz w:val="15"/>
                <w:szCs w:val="15"/>
                <w:color w:val="auto"/>
              </w:rPr>
            </w:pPr>
          </w:p>
        </w:tc>
        <w:tc>
          <w:tcPr>
            <w:tcW w:w="5820" w:type="dxa"/>
            <w:vAlign w:val="bottom"/>
            <w:tcBorders>
              <w:right w:val="single" w:sz="8" w:color="010101"/>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March 31, 2028</w:t>
            </w:r>
          </w:p>
        </w:tc>
        <w:tc>
          <w:tcPr>
            <w:tcW w:w="3960" w:type="dxa"/>
            <w:vAlign w:val="bottom"/>
            <w:tcBorders>
              <w:right w:val="single" w:sz="8" w:color="auto"/>
            </w:tcBorders>
            <w:gridSpan w:val="5"/>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3,125,000</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010101"/>
            </w:tcBorders>
          </w:tcPr>
          <w:p>
            <w:pPr>
              <w:spacing w:after="0"/>
              <w:rPr>
                <w:sz w:val="2"/>
                <w:szCs w:val="2"/>
                <w:color w:val="auto"/>
              </w:rPr>
            </w:pPr>
          </w:p>
        </w:tc>
        <w:tc>
          <w:tcPr>
            <w:tcW w:w="760" w:type="dxa"/>
            <w:vAlign w:val="bottom"/>
            <w:tcBorders>
              <w:top w:val="single" w:sz="8" w:color="0000FF"/>
              <w:bottom w:val="single" w:sz="8" w:color="010101"/>
            </w:tcBorders>
          </w:tcPr>
          <w:p>
            <w:pPr>
              <w:spacing w:after="0"/>
              <w:rPr>
                <w:sz w:val="2"/>
                <w:szCs w:val="2"/>
                <w:color w:val="auto"/>
              </w:rPr>
            </w:pPr>
          </w:p>
        </w:tc>
        <w:tc>
          <w:tcPr>
            <w:tcW w:w="280" w:type="dxa"/>
            <w:vAlign w:val="bottom"/>
            <w:tcBorders>
              <w:top w:val="single" w:sz="8" w:color="0000FF"/>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260" w:type="dxa"/>
            <w:vAlign w:val="bottom"/>
            <w:tcBorders>
              <w:bottom w:val="single" w:sz="8" w:color="010101"/>
            </w:tcBorders>
          </w:tcPr>
          <w:p>
            <w:pPr>
              <w:spacing w:after="0"/>
              <w:rPr>
                <w:sz w:val="2"/>
                <w:szCs w:val="2"/>
                <w:color w:val="auto"/>
              </w:rPr>
            </w:pPr>
          </w:p>
        </w:tc>
        <w:tc>
          <w:tcPr>
            <w:tcW w:w="60" w:type="dxa"/>
            <w:vAlign w:val="bottom"/>
            <w:tcBorders>
              <w:bottom w:val="single" w:sz="8" w:color="010101"/>
            </w:tcBorders>
          </w:tcPr>
          <w:p>
            <w:pPr>
              <w:spacing w:after="0"/>
              <w:rPr>
                <w:sz w:val="2"/>
                <w:szCs w:val="2"/>
                <w:color w:val="auto"/>
              </w:rPr>
            </w:pPr>
          </w:p>
        </w:tc>
        <w:tc>
          <w:tcPr>
            <w:tcW w:w="12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2460" w:type="dxa"/>
            <w:vAlign w:val="bottom"/>
            <w:tcBorders>
              <w:bottom w:val="single" w:sz="8" w:color="010101"/>
            </w:tcBorders>
          </w:tcPr>
          <w:p>
            <w:pPr>
              <w:spacing w:after="0"/>
              <w:rPr>
                <w:sz w:val="2"/>
                <w:szCs w:val="2"/>
                <w:color w:val="auto"/>
              </w:rPr>
            </w:pPr>
          </w:p>
        </w:tc>
        <w:tc>
          <w:tcPr>
            <w:tcW w:w="280" w:type="dxa"/>
            <w:vAlign w:val="bottom"/>
            <w:tcBorders>
              <w:bottom w:val="single" w:sz="8" w:color="010101"/>
              <w:right w:val="single" w:sz="8" w:color="010101"/>
            </w:tcBorders>
          </w:tcPr>
          <w:p>
            <w:pPr>
              <w:spacing w:after="0"/>
              <w:rPr>
                <w:sz w:val="2"/>
                <w:szCs w:val="2"/>
                <w:color w:val="auto"/>
              </w:rPr>
            </w:pPr>
          </w:p>
        </w:tc>
        <w:tc>
          <w:tcPr>
            <w:tcW w:w="1560" w:type="dxa"/>
            <w:vAlign w:val="bottom"/>
            <w:tcBorders>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620" w:type="dxa"/>
            <w:vAlign w:val="bottom"/>
            <w:tcBorders>
              <w:top w:val="single" w:sz="8" w:color="0000FF"/>
              <w:bottom w:val="single" w:sz="8" w:color="010101"/>
            </w:tcBorders>
          </w:tcPr>
          <w:p>
            <w:pPr>
              <w:spacing w:after="0"/>
              <w:rPr>
                <w:sz w:val="2"/>
                <w:szCs w:val="2"/>
                <w:color w:val="auto"/>
              </w:rPr>
            </w:pPr>
          </w:p>
        </w:tc>
        <w:tc>
          <w:tcPr>
            <w:tcW w:w="100" w:type="dxa"/>
            <w:vAlign w:val="bottom"/>
            <w:tcBorders>
              <w:top w:val="single" w:sz="8" w:color="0000FF"/>
              <w:bottom w:val="single" w:sz="8" w:color="010101"/>
            </w:tcBorders>
          </w:tcPr>
          <w:p>
            <w:pPr>
              <w:spacing w:after="0"/>
              <w:rPr>
                <w:sz w:val="2"/>
                <w:szCs w:val="2"/>
                <w:color w:val="auto"/>
              </w:rPr>
            </w:pPr>
          </w:p>
        </w:tc>
        <w:tc>
          <w:tcPr>
            <w:tcW w:w="1580" w:type="dxa"/>
            <w:vAlign w:val="bottom"/>
            <w:tcBorders>
              <w:bottom w:val="single" w:sz="8" w:color="010101"/>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auto"/>
            </w:tcBorders>
          </w:tcPr>
          <w:p>
            <w:pPr>
              <w:spacing w:after="0"/>
              <w:rPr>
                <w:sz w:val="15"/>
                <w:szCs w:val="15"/>
                <w:color w:val="auto"/>
              </w:rPr>
            </w:pPr>
          </w:p>
        </w:tc>
        <w:tc>
          <w:tcPr>
            <w:tcW w:w="5820" w:type="dxa"/>
            <w:vAlign w:val="bottom"/>
            <w:tcBorders>
              <w:right w:val="single" w:sz="8" w:color="010101"/>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June 30, 2028 and the last Business Day of each calendar quarter ending</w:t>
            </w:r>
          </w:p>
        </w:tc>
        <w:tc>
          <w:tcPr>
            <w:tcW w:w="3960" w:type="dxa"/>
            <w:vAlign w:val="bottom"/>
            <w:tcBorders>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6,250,000</w:t>
            </w:r>
          </w:p>
        </w:tc>
        <w:tc>
          <w:tcPr>
            <w:tcW w:w="0" w:type="dxa"/>
            <w:vAlign w:val="bottom"/>
          </w:tcPr>
          <w:p>
            <w:pPr>
              <w:spacing w:after="0"/>
              <w:rPr>
                <w:sz w:val="1"/>
                <w:szCs w:val="1"/>
                <w:color w:val="auto"/>
              </w:rPr>
            </w:pPr>
          </w:p>
        </w:tc>
      </w:tr>
      <w:tr>
        <w:trPr>
          <w:trHeight w:val="21"/>
        </w:trPr>
        <w:tc>
          <w:tcPr>
            <w:tcW w:w="120" w:type="dxa"/>
            <w:vAlign w:val="bottom"/>
            <w:tcBorders>
              <w:left w:val="single" w:sz="8" w:color="auto"/>
            </w:tcBorders>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2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4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right w:val="single" w:sz="8" w:color="010101"/>
            </w:tcBorders>
            <w:vMerge w:val="restart"/>
          </w:tcPr>
          <w:p>
            <w:pPr>
              <w:spacing w:after="0" w:line="20" w:lineRule="exact"/>
              <w:rPr>
                <w:sz w:val="1"/>
                <w:szCs w:val="1"/>
                <w:color w:val="auto"/>
              </w:rPr>
            </w:pPr>
          </w:p>
        </w:tc>
        <w:tc>
          <w:tcPr>
            <w:tcW w:w="396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Borders>
              <w:left w:val="single" w:sz="8" w:color="auto"/>
            </w:tcBorders>
          </w:tcPr>
          <w:p>
            <w:pPr>
              <w:spacing w:after="0"/>
              <w:rPr>
                <w:sz w:val="13"/>
                <w:szCs w:val="13"/>
                <w:color w:val="auto"/>
              </w:rPr>
            </w:pPr>
          </w:p>
        </w:tc>
        <w:tc>
          <w:tcPr>
            <w:tcW w:w="55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thereafter</w:t>
            </w:r>
          </w:p>
        </w:tc>
        <w:tc>
          <w:tcPr>
            <w:tcW w:w="280" w:type="dxa"/>
            <w:vAlign w:val="bottom"/>
            <w:tcBorders>
              <w:right w:val="single" w:sz="8" w:color="010101"/>
            </w:tcBorders>
            <w:vMerge w:val="continue"/>
          </w:tcPr>
          <w:p>
            <w:pPr>
              <w:spacing w:after="0"/>
              <w:rPr>
                <w:sz w:val="13"/>
                <w:szCs w:val="13"/>
                <w:color w:val="auto"/>
              </w:rPr>
            </w:pPr>
          </w:p>
        </w:tc>
        <w:tc>
          <w:tcPr>
            <w:tcW w:w="396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76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010101"/>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To the extent not previously repaid, all unpaid Term Loans shall be paid in full in Dollars by the Company on the Term Loan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Maturity Date.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a form attached hereto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D-2</w:t>
      </w:r>
      <w:r>
        <w:rPr>
          <w:rFonts w:ascii="Times New Roman" w:cs="Times New Roman" w:eastAsia="Times New Roman" w:hAnsi="Times New Roman"/>
          <w:sz w:val="18"/>
          <w:szCs w:val="18"/>
          <w:color w:val="auto"/>
        </w:rPr>
        <w:t xml:space="preserve">, as applicable.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2.11.1.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Any Borrower shall have the right at any time and from time to time to prepay any Borrowing in whole or in part, subject to prior notice in accordance with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prepayment of a Term Benchmark Borrowing (other than in connection with a prepayment of all outstanding Term Benchmark Borrowings and/or a prepayment of a Term Benchmark Borrowing made to refinance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in an amount that is an integral multiple of $1,000,000 (or, if such Borrowing is denominated in a Foreign Currency, 1,000,000 units of such currency) and not less than $5,000,000 (or, if such Borrowing is denominated in a Foreign Currency, 5,000,000 units of such currency) and (ii) each prepayment of an ABR Borrowing (other than in connection with a prepayment of all outstanding ABR Borrowings and/or a prepayment of an ABR Borrowing made to refinance the reimbursement of an LC Disbursement as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2.06(e))</w:t>
      </w:r>
      <w:r>
        <w:rPr>
          <w:rFonts w:ascii="Times New Roman" w:cs="Times New Roman" w:eastAsia="Times New Roman" w:hAnsi="Times New Roman"/>
          <w:sz w:val="18"/>
          <w:szCs w:val="18"/>
          <w:color w:val="auto"/>
        </w:rPr>
        <w:t xml:space="preserve"> shall be in an amount that is an integral multiple of $100,000 and not less than $1,000,000.</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6"/>
        <w:spacing w:after="0" w:line="252"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applicable Borrower, or the Company on behalf of the applicable Borrower, shall notify the Administrative Agent by written notice (submitted by telecopy or electronic communication, including an Approved Borrower Portal, if arrangements for doing so have been approved by the Administrative Agent and, if relevant, the applicable Swingline Lender) of any prepayment hereunder (i) in the case of prepayment of a Term Benchmark Borrowing denominated in Dollars, not later than 3:00 p.m., Chicago time, three (3) Business Days before the date of prepayment, (ii) in the case of prepayment of a Term Benchmark Borrowing denominated euro, not later than 1:00 p.m., Chicago time, four (4) Business Days before the date of prepayment, (iii) in the case of prepayment of an RFR Borrowing, not later than 11:00 a.m., New York City time, five (5) RFR Business Days before the date of prepayment, (iv) in the case of prepayment of an ABR Borrowing, not later than 1:00 p.m., Chicago time, on the date of prepayment or (v) in the case of prepayment of a Swingline Loan, not later than 1:00 p.m., Local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or reduction of the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or reduction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a notice of prepayment by any Borrower, or the Company on behalf of any Borrower, may state that such notice is conditioned upon the effectiveness of other credit facilities or other matters specified therein, in which case such notice may be revoked by the applicable Borrower, or the Company on behalf of the applicable Borrower (by notice to the Administrative Agent on or prior to the specified effective date) if such condition is not satisfied. Promptly following receipt of any such notice relating to a Borrowing,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Each prepayment of a Revolving Borrowing shall be applied ratably to the Revolving Loans included in the prepaid Revolving Borrowing</w:t>
      </w:r>
      <w:r>
        <w:rPr>
          <w:rFonts w:ascii="Times New Roman" w:cs="Times New Roman" w:eastAsia="Times New Roman" w:hAnsi="Times New Roman"/>
          <w:sz w:val="18"/>
          <w:szCs w:val="18"/>
          <w:b w:val="1"/>
          <w:bCs w:val="1"/>
          <w:u w:val="single" w:color="auto"/>
          <w:color w:val="0000FF"/>
        </w:rPr>
        <w:t>, and each voluntary prepayment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 Term Loan Borrowing shall be applied ratably to the Term Loans included in the prepaid Term Loan Borrowing in such order of application as directed by the Company</w:t>
      </w:r>
      <w:r>
        <w:rPr>
          <w:rFonts w:ascii="Times New Roman" w:cs="Times New Roman" w:eastAsia="Times New Roman" w:hAnsi="Times New Roman"/>
          <w:sz w:val="18"/>
          <w:szCs w:val="18"/>
          <w:color w:val="000000"/>
        </w:rPr>
        <w:t>. Prepayments shall be accompanied by (i) accrued interest to the extent required by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(ii) break funding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payments required by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2.11.2.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If at any time, (i) other than as a result of fluctuations in currency exchange rates, (w) the aggregate principal Dollar Amount of the Total Revolving Credit Exposure (calculated, with respect to those Credit Events denominated in Foreign Currencies, as of the most recent Computation Date with respect to each such Credit Event) exceeds the aggregate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(x) the aggregate principal Dollar Amount of all Loans (calculated, with respect to those Credit Events denominated in Foreign Currencies, as of the most recent Computation Date with respect to each such Credit Event) outstanding denominated in Foreign Currencies exceeds the Foreign Currency Sublimit, (y) the aggregate principal Dollar Amount of all Loans (calculated, with respect to those Credit Events denominated in Foreign Currencies, as of the most recent Computation Date with respect to each such Credit Event) outstanding to the Affiliate Borrowers exceeds the Affiliate Borrower Sublimit or (z) the aggregate principal Dollar Amount of all Swingline Loans (calculated, with respect to those Swingline Loans denominated in Foreign Currencies, as of the most recent Computation Date with respect to each such Swingline Loan) outstanding denominated in Foreign Currencies exceeds the Swingline Foreign Currency Sublimit or (ii) solely as a result of fluctuations in currency exchange rates, (w) the aggregate principal Dollar Amount of the Total Revolving Credit Exposure (as so calculated) exceeds 105% of the aggregate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(x) the aggregate principal Dollar Amount of all of the Revolving Credit Exposures (as so calculated) denominated in Foreign Currencies exceeds 105% of the Foreign Currency Sublimit, (y) the aggregate principal Dollar Amount of all of the Revolving Credit Exposures (as so calculated) to the Affiliate Borrowers exceeds 105% of the Affiliate Borrower Sublimit or (z) the aggregate principal Dollar Amount of all Swingline Loans (as so calculated) denominated in Foreign Currencies exceeds 105% of the Swingline Foreign Currency Sublimit, the Borrowers shall, promptly after receipt of written notice from the Administrative Agent, repay Borrowings and, if no Borrowings are then outstanding, Cash Collateralize LC Exposure in an account with the Administrative Agent pursuant to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in an aggregate principal amount sufficient to eliminate any such excess.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The Company agrees to pay to the Administrative Agent for the account of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 facility fee, which shall accrue at the Applicable Rate on the average daily amount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of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(whether used or unused) during the period from and including the Effective Date to but excluding the date on which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continues to have any Revolving Credit Exposure after its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 terminates, then such facility fee shall continue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accrue on the daily amount of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Revolving Credit Exposure from and including the date on which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terminates to but excluding the date on which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 ceases to have any Revolving Credit Exposure. Accrued facility fees shall be payable</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arrears on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Business Day</w:t>
      </w:r>
      <w:r>
        <w:rPr>
          <w:rFonts w:ascii="Times New Roman" w:cs="Times New Roman" w:eastAsia="Times New Roman" w:hAnsi="Times New Roman"/>
          <w:sz w:val="18"/>
          <w:szCs w:val="18"/>
          <w:b w:val="1"/>
          <w:bCs w:val="1"/>
          <w:u w:val="single" w:color="auto"/>
          <w:color w:val="0000FF"/>
        </w:rPr>
        <w:t>day</w:t>
      </w:r>
      <w:r>
        <w:rPr>
          <w:rFonts w:ascii="Times New Roman" w:cs="Times New Roman" w:eastAsia="Times New Roman" w:hAnsi="Times New Roman"/>
          <w:sz w:val="18"/>
          <w:szCs w:val="18"/>
          <w:color w:val="auto"/>
        </w:rPr>
        <w:t xml:space="preserve"> following the last day of March, June, September and December of each year and on the date on which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terminate, commencing on the first such date to occur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facility fees accruing after the date on which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terminate shall be payable on demand accompanied by an invoice in reasonable detail. All facility fees shall be computed on the basis of a year of 360 days and shall be payable for the actual number of days elapsed (including the first day but excluding the last day).</w:t>
      </w:r>
    </w:p>
    <w:p>
      <w:pPr>
        <w:spacing w:after="0" w:line="195" w:lineRule="exact"/>
        <w:rPr>
          <w:sz w:val="20"/>
          <w:szCs w:val="20"/>
          <w:color w:val="auto"/>
        </w:rPr>
      </w:pPr>
    </w:p>
    <w:p>
      <w:pPr>
        <w:jc w:val="both"/>
        <w:ind w:firstLine="656"/>
        <w:spacing w:after="0" w:line="248" w:lineRule="auto"/>
        <w:tabs>
          <w:tab w:leader="none" w:pos="9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Company agrees to pay (i) to the Administrative Agent for the account of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a participation fee with respect to its participations in Letters of Credit, which shall accrue at the Applicable LC Fee Rate (as defined below) on the average daily Dollar Amount of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LC Exposure (excluding any portion thereof attributable to unreimbursed LC Disbursements) during the period from and including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Effective Date to but excluding the later of the date on which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terminates and the date on which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 ceases to have any LC Exposure, and (ii) to each Issuing Bank for its own account a fronting fee, which shall accrue at a rate per annum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separately agreed upon between the Company and such Issuing Bank on the average daily Dollar Amount of the LC Exposure (excluding any portion thereof attributable to unreimbursed LC Disbursements) attributable to Letters of Credit issued by the relevant Issuing Bank during the period from and including the Effective Date to but excluding the date on which there ceases to be any LC Exposure, as well as such Issuing Bank’s standard fees and commissions with respect to the issuance, amendment, cancellation, negotiation, transfer, presentment or extension of any Letter of Credit or processing of drawings thereunder. Participation fees and fronting fees accrued through and including the last day of March, June, September and December of each year shall be payable on the fifteenth (15</w:t>
      </w:r>
      <w:r>
        <w:rPr>
          <w:rFonts w:ascii="Times New Roman" w:cs="Times New Roman" w:eastAsia="Times New Roman" w:hAnsi="Times New Roman"/>
          <w:sz w:val="26"/>
          <w:szCs w:val="26"/>
          <w:color w:val="000000"/>
          <w:vertAlign w:val="superscript"/>
        </w:rPr>
        <w:t>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Business Day</w:t>
      </w:r>
      <w:r>
        <w:rPr>
          <w:rFonts w:ascii="Times New Roman" w:cs="Times New Roman" w:eastAsia="Times New Roman" w:hAnsi="Times New Roman"/>
          <w:sz w:val="18"/>
          <w:szCs w:val="18"/>
          <w:b w:val="1"/>
          <w:bCs w:val="1"/>
          <w:u w:val="single" w:color="auto"/>
          <w:color w:val="0000FF"/>
        </w:rPr>
        <w:t>day</w:t>
      </w:r>
      <w:r>
        <w:rPr>
          <w:rFonts w:ascii="Times New Roman" w:cs="Times New Roman" w:eastAsia="Times New Roman" w:hAnsi="Times New Roman"/>
          <w:sz w:val="18"/>
          <w:szCs w:val="18"/>
          <w:color w:val="000000"/>
        </w:rPr>
        <w:t xml:space="preserve"> following such last day, commencing on the first such date to occur after the Effective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all such fees shall be payable on the date on which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Commitments terminate and any such fees accruing after the date on which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Commitments terminate shall be payable promptly after demand. Any other fees payable to any Issuing Bank pursuant to this paragraph shall be payable within thirty (30) days after demand accompanied by an invoice in reasonable detail.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 As used above, “ </w:t>
      </w:r>
      <w:r>
        <w:rPr>
          <w:rFonts w:ascii="Times New Roman" w:cs="Times New Roman" w:eastAsia="Times New Roman" w:hAnsi="Times New Roman"/>
          <w:sz w:val="18"/>
          <w:szCs w:val="18"/>
          <w:u w:val="single" w:color="auto"/>
          <w:color w:val="000000"/>
        </w:rPr>
        <w:t>Applicable LC Fee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Rate</w:t>
      </w:r>
      <w:r>
        <w:rPr>
          <w:rFonts w:ascii="Times New Roman" w:cs="Times New Roman" w:eastAsia="Times New Roman" w:hAnsi="Times New Roman"/>
          <w:sz w:val="18"/>
          <w:szCs w:val="18"/>
          <w:color w:val="000000"/>
        </w:rPr>
        <w:t>” means at any time (x) in the case of standby Letters of Credit (other than those described in the following clause (y)), the same Applicable Rate used to determine the interest rate applicable to Term Benchmark Revolving Loans at such time and (y) in the case of commercial Letters of Credit and standby Letters of Credit issued to ensure the performance of services and/or delivery of goods, in each case at a per annum rate equal to 50% of the Applicable Rate used to determine the interest rate applicable to Term Benchmark Revolving Loans at such time.</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Company agrees to pay to the Administrative Agent, for its own account, fees payable in the amounts and at the times separately agreed upon between the Company and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All fees payable hereunder shall be paid on the dates due, in immediately available funds in Dollars (except as expressly provided in this Section), to the Administrative Agent (or to the relevant Issuing Bank, in the case of fees payable to it) for distribution, in the case of facility fees and participation fees, to the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auto"/>
        </w:rPr>
        <w:t xml:space="preserve"> Lenders. Fees paid shall not be refundable under any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The Loans comprising each ABR Borrowing (other than any Swingline Loan) shall bear interest at the Alternate Base Rate plus the Applicable Rate. Each Swingline Loan shall bear interest at a rate per annum agreed upon between the Company and the relevant Swingline Lender (or, if such a rate per annum is not agreed upon between the Company and the relevant Swingline Lender in respect of a Swingline Loan, such Swingline Loan shall bear interest at (i) in the case of a Swingline Loan denominated in Dollars,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ABR Revolving Borrowings or (ii) in the case of a Swingline Loan denominated in euro, the applicable Adjusted Daily Simple RFR plus the Applicable Rate). The Loans comprising each Term Benchmark Borrowing shall bear interest at (i) in the case of a Term Benchmark Borrowing denominated in Dollars, the Adjusted Term SOFR Rate for the Interest Period in effect for such Borrowing plus the Applicable Rate and (ii) in the case of a Term Benchmark Borrowing denominated in euro, the Adjusted EURIBO Rate for the Interest Period in effect for such Borrowing plus the Applicable Rate. Each RFR Loan shall bear interest at a rate per annum equal to the applicable Adjusted Daily Simple RFR plus the Applicable Rate.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Notwithstanding the foregoing, if any principal of or interest on any Loan or any fee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interest or fee, 2% plus the rate applicable to ABR Loans as provided in paragraph (a) of this Section.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(c)         Accrued interest on each Loan shall be payable in arrears on each Interest Payment Date for such Loan and, </w:t>
      </w:r>
      <w:r>
        <w:rPr>
          <w:rFonts w:ascii="Times New Roman" w:cs="Times New Roman" w:eastAsia="Times New Roman" w:hAnsi="Times New Roman"/>
          <w:sz w:val="18"/>
          <w:szCs w:val="18"/>
          <w:b w:val="1"/>
          <w:bCs w:val="1"/>
          <w:u w:val="single" w:color="auto"/>
          <w:color w:val="0000FF"/>
        </w:rPr>
        <w:t>in the case of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upon termination of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 interest accrued pursuant to paragraph (b) of this Section shall be payable 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 Rate, EURIBO Rate, Adjusted Daily Simple RFR, Daily Simple RFR shall be determined by the Administrative Agent, and such determination shall be conclusive absent demonstrable error.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56"/>
        <w:spacing w:after="0" w:line="266" w:lineRule="auto"/>
        <w:tabs>
          <w:tab w:leader="none" w:pos="8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By entering into this Agreement, the parties have assumed in bona fide that the interest payable hereunder is not and will not become subject to any deduction or withholding of Taxes for Swiss Withholding Tax. Nevertheless, if a deduction or withholding of Taxes for Swiss Withholding Tax is required by Swiss law to be made by the Swiss Borrower in respect of any interest payable by it under a Loan Document then: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applicable interest rate in relation to that interest payment shall be</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the interest rate which would have applied to that interest payment (as provided for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 the absence of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divided by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one (1) minus the rate at which the relevant deduction or withholding of Taxes for Swiss Withholding Tax is required to be made (where the rate at which the relevant deduction or withholding of Taxes for Swiss Withholding Tax is required to be made is for this purpose expressed as a fraction of (1) rather than as percentage);</w:t>
      </w:r>
    </w:p>
    <w:p>
      <w:pPr>
        <w:spacing w:after="0" w:line="176" w:lineRule="exact"/>
        <w:rPr>
          <w:sz w:val="20"/>
          <w:szCs w:val="20"/>
          <w:color w:val="auto"/>
        </w:rPr>
      </w:pPr>
    </w:p>
    <w:p>
      <w:pPr>
        <w:ind w:left="660" w:firstLine="644"/>
        <w:spacing w:after="0" w:line="282" w:lineRule="auto"/>
        <w:tabs>
          <w:tab w:leader="none" w:pos="15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Swiss Borrower shall: (i) pay the relevant interest at the adjusted rate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and (ii) make the deduction or withholding of Taxes for Swiss Withholding Tax on the interest so recalculated;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references to a rate of interest with respect to any Loan shall be construed accordingly.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interest payable by a Swiss Borrower under this Agreement becomes subject to Swiss Withholding Tax, each relevant Lender and each Swiss Borrower shall promptly cooperate by completing any procedural formalities (including submitting forms and documents required by the appropriate Tax authority) to the extent possible and necessary for that Swiss Borrower to obtain authorization to make interest payments without them being subject to Swiss Withholding Tax or to being subject to Swiss Withholding Tax at a rate reduced under applicable double taxation treaties.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Swiss Withholding Tax is refunded to a Lender by the Swiss Federal Tax Administration, the relevant Lender shall forward, after deduction of any due payment to be made at the time of such refund by the relevant Swiss Borrower under this Agreement and costs, such amount to the relevant Swiss Borrower.</w:t>
      </w:r>
    </w:p>
    <w:p>
      <w:pPr>
        <w:spacing w:after="0" w:line="176" w:lineRule="exact"/>
        <w:rPr>
          <w:sz w:val="20"/>
          <w:szCs w:val="20"/>
          <w:color w:val="auto"/>
        </w:rPr>
      </w:pPr>
    </w:p>
    <w:p>
      <w:pPr>
        <w:jc w:val="both"/>
        <w:ind w:firstLine="656"/>
        <w:spacing w:after="0" w:line="256" w:lineRule="auto"/>
        <w:tabs>
          <w:tab w:leader="none" w:pos="8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Swiss Borrower is not required to make an increased payment to a Lender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by reason of a deduction or withholding of Taxes for Swiss Withholding Tax due to a breach of the Swiss Non-Bank Rules (i) if such lender has made an incorrect declaration of its status as to whether or not it is a Swiss Qualifying Lender, (ii) has breached the assignment, transfer or exposure transfer restrictions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9.04(b)(ii)(G)</w:t>
      </w:r>
      <w:r>
        <w:rPr>
          <w:rFonts w:ascii="Times New Roman" w:cs="Times New Roman" w:eastAsia="Times New Roman" w:hAnsi="Times New Roman"/>
          <w:sz w:val="18"/>
          <w:szCs w:val="18"/>
          <w:color w:val="auto"/>
        </w:rPr>
        <w:t xml:space="preserve"> (Successors and Assigns), or (iii) has ceased to be a Swiss Qualifying Lender other than as a result of any change after the date it became a Lender under this agreement in (or in the interpretation, administration or application of) any law or double taxation treaty, or any published practice or published concession of any relevant taxing authority.</w:t>
      </w:r>
    </w:p>
    <w:p>
      <w:pPr>
        <w:spacing w:after="0" w:line="187" w:lineRule="exact"/>
        <w:rPr>
          <w:rFonts w:ascii="Times New Roman" w:cs="Times New Roman" w:eastAsia="Times New Roman" w:hAnsi="Times New Roman"/>
          <w:sz w:val="18"/>
          <w:szCs w:val="18"/>
          <w:color w:val="auto"/>
        </w:rPr>
      </w:pPr>
    </w:p>
    <w:p>
      <w:pPr>
        <w:ind w:right="540" w:firstLine="656"/>
        <w:spacing w:after="0" w:line="282" w:lineRule="auto"/>
        <w:tabs>
          <w:tab w:leader="none" w:pos="9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Interest in respect of Loans denominated in Dollars shall be paid in Dollars, and interest in respect of Loans denominated in a Foreign Currency shall be paid in such Foreign Currency.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Subject to clauses (b), (c), (d), (e) and (f) of this Section 2.14, if:</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the Administrative Agent determines (which determination shall be conclusive absent demonstrable error) (A) prior to the commencement of any Interest Period for a Term Benchmark Borrowing, that adequate and reasonable means do not exist for ascertaining the Adjusted Term SOFR Rate or the Adjusted EURIBO Rate (including because the Relevant Screen Rate is not available or published on a current basis) for the applicable Agreed Loan Currency and such Interest Period or (B) at any time, that adequate and reasonable means do not exist for ascertaining the applicable Adjusted Daily Simple RFR for the applicable Agreed Loan Currency; or</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Administrative Agent is advised by the Required Lenders that (A) prior to the commencement of any Interest Period for a Term Benchmark Borrowing, the Adjusted Term SOFR Rate or the Adjusted EURIBO Rate for the applicable Agreed Loan Currency and such Interest Period will not adequately and fairly reflect the cost to such Lenders of making or maintaining their Loans included in such Borrowing for the applicable Agreed Loan Currency and for such Interest Period or (B) at any time, the applicable Adjusted Daily Simple RFR for the applicable Agreed Loan Currency will not adequately and fairly reflect the cost to such Lenders of making or maintaining their Loans included in such Borrowing for the applicable Agreed Loan Currency;</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(in reasonable detail) thereof to the applicable Borrower and the Lenders of the applicable Class prior to the commencement of such Interest Period, by telephone, facsimile or email in accordance with Section 9.01 as promptly as practicable thereafter and, until (x) the Administrative Agent notifies the applicable Borrower and the Lenders of the applicable Class that the circumstances giving rise to such notice no longer exist (which notice shall be given by the Administrative Agent promptly after such circumstances cease to exist) with respect to the relevant Benchmark and (y) the applicable Borrower delivers a new Interest Election Request in accordance with the terms of Section 2.08 or a new Borrowing Request in accordance with the terms of Section 2.03, (A) for Loans denominated in Dollars,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 then all other Types of Borrowings shall be permitted. Furthermore, if any Term Benchmark Loan or RFR Loan in any Agreed Loan Currency is outstanding on the date of the applicable Borrower’s receipt of the notice from the Administrative Agent referred to in this Section 2.14(a) with respect to a Relevant Rate applicable to such Term Benchmark Loan or RFR Loan, then until (x) the Administrative Agent notifies the Company and the Lenders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auto"/>
        </w:rPr>
        <w:t xml:space="preserve"> that the circumstances giving rise to such notice no longer exist (which notice shall be given by the Administrative Agent promptly after such circumstances cease to exist) with respect to the relevant Benchmark and (y) the applicable Borrower delivers a new Interest Election Request in accordance with the terms of Section 2.08 or a new Borrowing Request in accordance with the terms of Section 2.03, (A) for Loans denominated in Dollars,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w:t>
      </w:r>
    </w:p>
    <w:p>
      <w:pPr>
        <w:spacing w:after="0" w:line="8" w:lineRule="exact"/>
        <w:rPr>
          <w:sz w:val="20"/>
          <w:szCs w:val="20"/>
          <w:color w:val="auto"/>
        </w:rPr>
      </w:pPr>
    </w:p>
    <w:p>
      <w:pPr>
        <w:jc w:val="both"/>
        <w:ind w:firstLine="8"/>
        <w:spacing w:after="0" w:line="251" w:lineRule="auto"/>
        <w:tabs>
          <w:tab w:leader="none" w:pos="2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Loans denominated in a Foreign Currency, (1) any Term Benchmark Loan shall, on the last day of the Interest Period applicable to such Loan bear interest at the Central Bank Rate for the applicable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reasonably and in good faith (which determination shall be conclusive and binding absent manifest error) that the Central Bank Rate for the applicable Foreign Currency cannot be determined, any outstanding affected Term Benchmark Loans denominated in such Foreign Currency shall, at the Company’s election prior to such day: (A) be prepaid by the applicable 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reasonably and in good faith (which determination shall be conclusive and binding absent manifest error) that the Central Bank Rate for the applicable Foreign Currency cannot be determined, any outstanding affected RFR Loans denominated in any Foreign Currency, at the Company’s election, shall either (A) be converted into ABR Loans denominated in Dollars (in an amount equal to the Dollar Amount of such Foreign Currency) immediately or (B) be prepaid in full immediately.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Loan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and the Company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Except as expressly provided in this Agreement,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reasonable good faith discretion and without consent from any other party to this Agreement or any other Loan Document, except, in each case, as expressly required pursuant to this Section 2.14.</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Notwithstanding anything to the contrary herein or in any other Loan Document, at any time (including in connection with the implementation of a Benchmark Replacement), (i) if the then-current Benchmark is a term rate (including the Term SOFR Rate or the EURIBO Rate) and either (A) any tenor for such Benchmark is not displayed on a screen or other information service commonly used in the banking industry for such purpose that publishes such rate from time to time as selected by the Administrative Agent in its reasonable discretion and consistent with such selection generally under other substantially similar syndicated credit facilities for which it acts as the administrative agent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         Upon the Company’s receipt of notice of the commencement of a Benchmark Unavailability Period and until a Benchmark Replacement is determined in accordance with this Section 2.14, the applicable Borrower may revoke any request for a (i) Term Benchmark Borrowing, conversion to or continuation of Term Benchmark Loans to be made, converted or continued or (ii) a RFR Borrowing or conversion to RFR Loans, during any Benchmark Unavailability Period and, failing that, either (x) such Borrower will be deemed to have converted any request for a Term Benchmark Borrowing or RFR Borrowing, as applicable, denominated in Dollars into a request for a Borrowing of or conversion to (A) solely with respect to any such request for a Term Benchmark Borrowing,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w:t>
      </w:r>
      <w:r>
        <w:rPr>
          <w:rFonts w:ascii="Times New Roman" w:cs="Times New Roman" w:eastAsia="Times New Roman" w:hAnsi="Times New Roman"/>
          <w:sz w:val="18"/>
          <w:szCs w:val="18"/>
          <w:b w:val="1"/>
          <w:bCs w:val="1"/>
          <w:color w:val="FF0000"/>
          <w:strike w:val="1"/>
        </w:rPr>
        <w:t>ABR</w:t>
      </w:r>
      <w:r>
        <w:rPr>
          <w:rFonts w:ascii="Times New Roman" w:cs="Times New Roman" w:eastAsia="Times New Roman" w:hAnsi="Times New Roman"/>
          <w:sz w:val="18"/>
          <w:szCs w:val="18"/>
          <w:b w:val="1"/>
          <w:bCs w:val="1"/>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Alternate Base Rate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based upon the then-current Benchmark or such tenor for such Benchmark, as applicable, will not be used in any determination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ABR</w:t>
      </w:r>
      <w:r>
        <w:rPr>
          <w:rFonts w:ascii="Times New Roman" w:cs="Times New Roman" w:eastAsia="Times New Roman" w:hAnsi="Times New Roman"/>
          <w:sz w:val="18"/>
          <w:szCs w:val="18"/>
          <w:b w:val="1"/>
          <w:bCs w:val="1"/>
          <w:u w:val="single" w:color="auto"/>
          <w:color w:val="0000FF"/>
        </w:rPr>
        <w:t>the Alternate Base Rate</w:t>
      </w:r>
      <w:r>
        <w:rPr>
          <w:rFonts w:ascii="Times New Roman" w:cs="Times New Roman" w:eastAsia="Times New Roman" w:hAnsi="Times New Roman"/>
          <w:sz w:val="18"/>
          <w:szCs w:val="18"/>
          <w:color w:val="000000"/>
        </w:rPr>
        <w:t>. Furthermore, if any Term Benchmark Loan or RFR Loan in any Agreed Loan Currency is outstanding on the date of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Company’s receipt of notice of the commencement of a Benchmark Unavailability Period with respect to a Relevant Rate applicable to such Term Benchmark Loan or RFR Loan, then until such time as a Benchmark Replacement for such Agreed Loan Currency is implemented pursuant to this Section 2.14, (A) for Loans denominated in Dollars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(B) for Loans denominated in a Foreign Currency, (1) any Term Benchmark Loan shall, on the last day of the Interest Period applicable to such Loan bear interest at the Central Bank Rate for the applicable Foreign Currency plus the CBR Spread;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Administrative Agent determines reasonably and in good faith (which determination shall be conclusive and binding absent demonstrable error) that the Central Bank Rate for the applicable Foreign Currency cannot be determined, any outstanding affected Term Benchmark Loans denominated in any Foreign Currency shall, at the applicable Borrower’s election prior to such day: (A) be prepaid by such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Administrative Agent determines reasonably and in good faith (which determination shall be conclusive and binding absent demonstrable error) that the Central Bank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EURIBO Rate) or any Issuing Bank;</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impose on any Lender or any Issuing Bank or the London or other applicable offshore interbank market for the applicable Agreed Currency any other condition affecting this Agreement or Loans made by such Lender or any Letter of Credit or participation therein; or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subject the Administrative Agent, any Lender or any Issuing Bank to any Taxes (other than (A) Indemnified Taxes, (B) Taxes described in clauses (b) through (d) of the definition of “Excluded Taxes” and (C) Connection Income Taxes) on its loans, loan principal, letters of credit, commitments, or other obligations of the type that such Lender has hereunder, or its deposits, reserves, other liabilities or capital attributable thereto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the Administrative Agent, such Lender or such Issuing Bank of making, continuing, converting or maintaining any Loan or of maintaining its obligation to make any such Loan or to increase the cost to the Administrative Agent, such Lender or Issuing Bank of participating in, issuing or maintaining any Letter of Credit or to reduce the amount of any sum received or receivable by the Administrative Agent, such Lender or Issuing Bank hereunder, whether of principal, interest or otherwise, then the applicable Borrower will pay to the Administrative Agent, such Lender or Issuing Bank, as the case may be, such additional amount or amounts as will compensate the Administrative Agent, such Lender or Issuing Bank, as the case may be, for such additional costs incurred or reduction suffered as reasonably determined by such Lender or such Issuing Bank (which determination shall be made in good faith (and not on an arbitrary or capricious basis) and consistent with similarly situated customers of the applicable Lender or the applicable Issuing Bank under agreements having provisions similar to this Section 2.15 after consideration of such factors as such Lender or such Issuing Bank then reasonably determines to be relevant).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If any Lender or Issuing Bank reasonably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applicable Borrower will pay to such Lender or Issuing Bank, as the case may be, such additional amount or amounts as will compensate such Lender or Issuing Bank or such Lender’s or Issuing Bank’s holding company for any such reduction suffered as reasonably determined by such Lender or such Issuing Bank (which determination shall be made in good faith (and not on an arbitrary or capricious basis) and consistent with similarly situated customers of the applicable Lender or the applicable Issuing Bank under agreements having provisions similar to this Section 2.15 after consideration of such factors as such Lender or such Issuing Bank then reasonably determines to be relevant).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A certificate of a Lender or an Issuing Bank setting forth in reasonable detail the computation of the amount or amounts necessary to compensate such Lender or Issuing Bank or its holding company, as the case may be, as specified in paragraph (a) or (b) of this Section shall be delivered to the Company contemporaneously with any demand for payment hereunder and shall be conclusive absent clearly demonstrable error. The Company shall pay, or cause the other Borrowers to pay, such Lender or Issuing Bank, as the case may be, the amount shown as due on any such certificate within 30 days after receipt thereof.</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or an Issuing Bank pursuant to this Section for any increased costs or reductions if such Lender or such Issuing Bank fails to notify the Company within 90 days after it obtains actual knowledge (or, in the exercise of ordinary due diligence, should have obtained actual knowledge) and such Lender and such Issuing Bank shall only be entitled to receive such compensation for any losses incurred by it or amounts to which it would otherwise be entitled from and after the date 90 days prior to the date such Lender or such Issuing Bank provided notice thereof to the Company of the Change in Law giving rise to such increased costs or reductions and of such Lender’s or Issuing Bank’s claim for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90-day period referred to above shall be extended to include the period of retroactive effect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With respect to Term Benchmark Loans, in the event of (a) the payment of any principal of any Term Benchmark Loan other than on the last day of an Interest Period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(d) the assignment of any Term Benchmark Loan other than on the last day of the Interest Period applicable thereto as a result of a request by the Company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9.02(e)</w:t>
      </w:r>
      <w:r>
        <w:rPr>
          <w:rFonts w:ascii="Times New Roman" w:cs="Times New Roman" w:eastAsia="Times New Roman" w:hAnsi="Times New Roman"/>
          <w:sz w:val="18"/>
          <w:szCs w:val="18"/>
          <w:color w:val="auto"/>
        </w:rPr>
        <w:t xml:space="preserve"> or (e) the failure by any Borrower to make any payment of any Loan (or interest due thereof) denominated in a Foreign Currency on its scheduled due date or any payment thereof in a different currency, then, in any such event, the relevant Borrower shall compensate each Lender for the loss (excluding loss of margin), cost and expense attributable to such event. A certificate of any Lender setting forth the computation in reasonable detail of any amount or amounts that such Lender is entitled to receive pursuant to this Section shall be delivered to the applicable Borrower contemporaneously with the demand for payment and shall be conclusive absent clearly demonstrable error. The applicable Borrower shall pay such Lender the amount shown as due on any such certificate free of clearly demonstrable error within 30 days after receipt thereof.</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56"/>
        <w:spacing w:after="0" w:line="253" w:lineRule="auto"/>
        <w:tabs>
          <w:tab w:leader="none" w:pos="9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2.11(b)</w:t>
      </w:r>
      <w:r>
        <w:rPr>
          <w:rFonts w:ascii="Times New Roman" w:cs="Times New Roman" w:eastAsia="Times New Roman" w:hAnsi="Times New Roman"/>
          <w:sz w:val="18"/>
          <w:szCs w:val="18"/>
          <w:color w:val="auto"/>
        </w:rPr>
        <w:t xml:space="preserve"> and is revoked in accordance therewith), (iii) the assignment of any RFR Loan other than on the Interest Payment Date applicable thereto as a result of a request by the Company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9.02(e)</w:t>
      </w:r>
      <w:r>
        <w:rPr>
          <w:rFonts w:ascii="Times New Roman" w:cs="Times New Roman" w:eastAsia="Times New Roman" w:hAnsi="Times New Roman"/>
          <w:sz w:val="18"/>
          <w:szCs w:val="18"/>
          <w:color w:val="auto"/>
        </w:rPr>
        <w:t xml:space="preserve"> or (iv) the failure by the applicable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the computation in reasonable detail of any amount or amounts that such Lender is entitled to receive pursuant to this Section shall be delivered to the applicable Borrower contemporaneously with the demand for payment and shall be conclusive absent clearly demonstrable error. The applicable Borrower shall pay such Lender the amount shown as due on any such certificate free of clearly demonstrable error within 30 days after receipt thereof.</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set forth in this Section 2.16, each of the Lenders waives any claim to payment of any “break funding” amounts owing under this Section 2.16 in respect of any Loans repaid by any Borrower on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free and clear of and without deduction for any Taxes, except as required by applicable law. If any applicable law (as determined in the reasonable good faith discretion of an applicable withholding agent) requires the deduction or withholding of any Tax from any such payment by a withholding agent, then,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2.17(m)</w:t>
      </w:r>
      <w:r>
        <w:rPr>
          <w:rFonts w:ascii="Times New Roman" w:cs="Times New Roman" w:eastAsia="Times New Roman" w:hAnsi="Times New Roman"/>
          <w:sz w:val="18"/>
          <w:szCs w:val="18"/>
          <w:color w:val="auto"/>
        </w:rPr>
        <w:t xml:space="preserve"> and without duplication, (i) the sum payable by the relevant Loan Party shall be increased as necessary so that after making all required deductions or withholdings for Indemnified Taxes (including deductions or withholdings applicable to additional sums payable under this Section) the Administrative Agent, Lender, or any other recipient of such payments (as the case may be) receives an amount equal to the sum it would have received had no such deductions or withholdings in respect of Indemnified Taxes been made, (ii) such Loan Party shall make such deductions or withholdings and (iii) such Loan Party shall pay the full amount deducted or withheld to the relevant Governmental Authority in accordance with applicable law.</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firstLine="656"/>
        <w:spacing w:after="0" w:line="282" w:lineRule="auto"/>
        <w:tabs>
          <w:tab w:leader="none" w:pos="9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addition, each Borrower shall pay to the relevant Governmental Authority in accordance with applicable law, or at the option of the Administrative Agent timely reimburse it for the payment of, any Other Taxes related to such Borrower.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Loan Parties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such Borrower under any Loan Document (including Indemnified Taxes or Other Taxes imposed or asserted on or attributable to amounts payable under this Section) and any interest and reasonable expenses arising therefrom or with respect thereto, whether or not such Indemnified Taxes or Other Taxes were correctly or legally imposed or asserted by the relevant Governmental Authority. A certificate as to the amount of such payment or liability together with a supporting document shall be delivered to the Company by a Lender or by the Administrative Agent on its own behalf or on behalf of a Lender contemporaneously with any demand for payment, and shall be conclusive absent clearly demonstrable error. This paragraph (c) shall not apply to the extent such Taxes would have been compensated for by an increased payment under </w:t>
      </w:r>
      <w:r>
        <w:rPr>
          <w:rFonts w:ascii="Times New Roman" w:cs="Times New Roman" w:eastAsia="Times New Roman" w:hAnsi="Times New Roman"/>
          <w:sz w:val="18"/>
          <w:szCs w:val="18"/>
          <w:u w:val="single" w:color="auto"/>
          <w:color w:val="auto"/>
        </w:rPr>
        <w:t>Section 2.17(m)(i)</w:t>
      </w:r>
      <w:r>
        <w:rPr>
          <w:rFonts w:ascii="Times New Roman" w:cs="Times New Roman" w:eastAsia="Times New Roman" w:hAnsi="Times New Roman"/>
          <w:sz w:val="18"/>
          <w:szCs w:val="18"/>
          <w:color w:val="auto"/>
        </w:rPr>
        <w:t xml:space="preserve"> but were not so compensated solely because one of the exclusions set forth in </w:t>
      </w:r>
      <w:r>
        <w:rPr>
          <w:rFonts w:ascii="Times New Roman" w:cs="Times New Roman" w:eastAsia="Times New Roman" w:hAnsi="Times New Roman"/>
          <w:sz w:val="18"/>
          <w:szCs w:val="18"/>
          <w:u w:val="single" w:color="auto"/>
          <w:color w:val="auto"/>
        </w:rPr>
        <w:t>Section 2.17(m)(iii)</w:t>
      </w:r>
      <w:r>
        <w:rPr>
          <w:rFonts w:ascii="Times New Roman" w:cs="Times New Roman" w:eastAsia="Times New Roman" w:hAnsi="Times New Roman"/>
          <w:sz w:val="18"/>
          <w:szCs w:val="18"/>
          <w:color w:val="auto"/>
        </w:rPr>
        <w:t xml:space="preserve"> applied.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As soon as practicable after any payment of Taxes by any Loan Party to a Governmental Authority, such Loan Party shall deliver to the Administrative Agent the original or a copy of a receipt issued, if available, by such Governmental Authority evidencing such payment, a copy of the return reporting such payment or other evidence of such payment reasonably satisfactory to the Administrative Agent.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(i) Any Foreign Lender that is entitled to an exemption from or reduction of withholding tax under the law of the jurisdiction in which a Borrower is located, or any treaty to which such jurisdiction is a party, with respect to payments under this Agreement shall deliver to such Borrower (with a copy to the Administrative Agent), at the time or times prescribed by applicable law, such properly completed and executed documentation reasonably requested by such Borrower as will permit such payments to be made without withholding or at a reduced rate. In addition, any Lender, if reasonably requested by any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2.17(e)(ii)(A) and (ii)(B) below) shall not be required if in the Lender’s reasonable judgment such completion, execution or submission would subject such Lender to any material unreimbursed cost or expense or would materially prejudice the legal or commercial position of such Lender. For the avoidance of doubt, this Section 2.17(e)(i) shall not apply to UK Treaty Lenders (to which the provisions of Section 2.17(m)(vi) shall apply).</w:t>
      </w:r>
    </w:p>
    <w:p>
      <w:pPr>
        <w:spacing w:after="0" w:line="192" w:lineRule="exact"/>
        <w:rPr>
          <w:sz w:val="20"/>
          <w:szCs w:val="20"/>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Without limiting the generality of the foregoing, in the event that any Borrower is a U.S. Person: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U.S. Lender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left="-460" w:firstLine="1292"/>
        <w:spacing w:after="0" w:line="261" w:lineRule="auto"/>
        <w:tabs>
          <w:tab w:leader="none" w:pos="11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w:t>
      </w:r>
    </w:p>
    <w:p>
      <w:pPr>
        <w:spacing w:after="0" w:line="27" w:lineRule="exact"/>
        <w:rPr>
          <w:sz w:val="20"/>
          <w:szCs w:val="20"/>
          <w:color w:val="auto"/>
        </w:rPr>
      </w:pPr>
    </w:p>
    <w:p>
      <w:pPr>
        <w:jc w:val="both"/>
        <w:ind w:left="840" w:hanging="8"/>
        <w:spacing w:after="0" w:line="253" w:lineRule="auto"/>
        <w:tabs>
          <w:tab w:leader="none" w:pos="11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(2)       in the case of a Foreign Lender claiming that its extension of credit will generate U.S. effectively connected income, an executed copy of IRS Form W-8ECI;</w:t>
      </w:r>
    </w:p>
    <w:p>
      <w:pPr>
        <w:spacing w:after="0" w:line="162"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183"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H-4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(5)       for purposes of furnishing the U.S. Tax Compliance Certificate as described in the foregoing clauses (3) and (4), if a Foreign Lender (or a foreign Participant) is a Disregarded Entity, the Foreign Lender will submit such certificate based on the status of the Person that is treated for U.S. federal income tax purposes as being the sole owner of such Lender or Participant; and</w:t>
      </w:r>
    </w:p>
    <w:p>
      <w:pPr>
        <w:spacing w:after="0" w:line="180" w:lineRule="exact"/>
        <w:rPr>
          <w:sz w:val="20"/>
          <w:szCs w:val="20"/>
          <w:color w:val="auto"/>
        </w:rPr>
      </w:pPr>
    </w:p>
    <w:p>
      <w:pPr>
        <w:jc w:val="both"/>
        <w:ind w:left="-460" w:firstLine="1292"/>
        <w:spacing w:after="0" w:line="256" w:lineRule="auto"/>
        <w:tabs>
          <w:tab w:leader="none" w:pos="11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2" w:name="page103"/>
    <w:bookmarkEnd w:id="10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If the Administrative Agent or a Lender determines that it has received a refund of any Taxes or Other Taxes as to which it has been indemnified by the Borrowers or with respect to which a Borrower has paid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over such refund to such Borrower (but only to the extent of the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reasonable and documented out-of-pocket expenses (including Taxes) of such Lender or the Administrative Agent and without interest (other than any interest paid by the relevant Governmental Authority with respect to such refund). Such Borrower, upon the request of such Lender or the Administrative Agent, shall repay to such Lender or the Administrative Agent, as applicable, the amount paid over pursuant to this paragraph (f) (plus any penalties, interest or other charges imposed by the relevant Governmental Authority) in the event that such Lender or the Administrative Agent is required to repay such refund to such Governmental Authority. Notwithstanding anything to the contrary in this paragraph (f), in no event will a Lender or the Administrative Agent be required to pay any amount to a Borrower pursuant to this paragraph (f) the payment of which would place such Lender or the Administrative Agent, as applicable,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Administrative Agent or any Lender to make available its tax returns (or any other information relating to its taxes which it deems confidential) to any Borrower or any other Person.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Each Lender shall severally indemnify (i) the Administrative Agent, within 30 days after demand therefor, for (A) any Indemnified Taxes or Other Taxes attributable to such Lender (but only to the extent that any Loan Party has not already indemnified the Administrative Agent for such Indemnified Taxes or Other Taxes and without limiting the obligation of the Loan Parties to do so) and (B) any Taxes attributable to such Lender’s failure to comply with the provisions of Section 9.04(c) relating to the maintenance of a Participant Register and (ii) the Administrative Agent, within 30 days after demand therefor, for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 (C)(i)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2.17(h), “FATCA” shall include any amendments made to FATCA after the date of this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For purposes of determining withholding Taxes imposed under FATCA, from and after the Effective Date, the Loan Parties and the Administrative Agent shall treat (and the Lenders hereby authorize the Administrative Agent to treat) this Agreement and the Loans as not qualifying as “grandfathered obligations” within the meaning of Treasury Regulation Section 1.1471-2(b)(2)(i) or 1.1471-2T(b)(2)(i).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(j)        Each Lender, on or prior to the date it becomes a party hereto, shall inform the Parent whether it is an Irish Qualifying Lender by completing and providing to the Parent a certificate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(such certificate, an “</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xml:space="preserve">”). Each Lender shall, upon reasonable written request from the Company or the Administrative Agent provide an updated Irish Qualifying Lender Confirmation. No Irish Borrower is required to make an increased payment in respect of any withholding tax for or on account of Irish Taxes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if on the date on which the payment falls due: (i) the payment could have been made to the relevant Lender without a deduction for Irish Taxes if that Lender was an Irish Qualifying Lender, but on that date the Lender is not or has ceased to be an Irish Qualifying Lender other than as a result of any Change in Law after the date it became a Lender under this Agreement; or (ii) the relevant Lender is an Irish Treaty Lender and the Irish Borrower is able to demonstrate that the payment could have been made to the Lender without withholding had that Lender co-operated in completing any procedural formalities necessary for the Irish Borrower to make the payment without withholding.</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(k)        The indemnity contained in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shall not apply to any loss, liability or cost in respect of Irish Taxes to the extent that it:</w:t>
      </w:r>
    </w:p>
    <w:p>
      <w:pPr>
        <w:spacing w:after="0" w:line="225" w:lineRule="exact"/>
        <w:rPr>
          <w:sz w:val="20"/>
          <w:szCs w:val="20"/>
          <w:color w:val="auto"/>
        </w:rPr>
      </w:pPr>
    </w:p>
    <w:p>
      <w:pPr>
        <w:ind w:left="1960" w:hanging="656"/>
        <w:spacing w:after="0"/>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compensated for by an increased payment under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have been compensated for by an increased payment under Section 2.17(a) but was not so compensated solely because the exclusion in </w:t>
      </w:r>
      <w:r>
        <w:rPr>
          <w:rFonts w:ascii="Times New Roman" w:cs="Times New Roman" w:eastAsia="Times New Roman" w:hAnsi="Times New Roman"/>
          <w:sz w:val="18"/>
          <w:szCs w:val="18"/>
          <w:u w:val="single" w:color="auto"/>
          <w:color w:val="auto"/>
        </w:rPr>
        <w:t>Section 2.17(j)</w:t>
      </w:r>
      <w:r>
        <w:rPr>
          <w:rFonts w:ascii="Times New Roman" w:cs="Times New Roman" w:eastAsia="Times New Roman" w:hAnsi="Times New Roman"/>
          <w:sz w:val="18"/>
          <w:szCs w:val="18"/>
          <w:color w:val="auto"/>
        </w:rPr>
        <w:t xml:space="preserve"> applied.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(l)         Any Lender to which interest may be paid by the Irish Borrower free of withholding tax because such Lender falls within section 246(3)(h) of the Irish TCA shall, following a reasonable request in writing from the Irish Borrower (a) confirm its name, address and country of tax residence to the Irish Borrower for the purposes of complying with a reporting obligation under section 891A of the Irish TCA, and (b) provide the Irish Borrower with any information that is required for the Irish Borrower to comply with its obligations under Section 891E, 891F and 891G of the Irish TCA and any regulations made pursuant to those sections. Nothing in this </w:t>
      </w:r>
      <w:r>
        <w:rPr>
          <w:rFonts w:ascii="Times New Roman" w:cs="Times New Roman" w:eastAsia="Times New Roman" w:hAnsi="Times New Roman"/>
          <w:sz w:val="18"/>
          <w:szCs w:val="18"/>
          <w:u w:val="single" w:color="auto"/>
          <w:color w:val="auto"/>
        </w:rPr>
        <w:t>Section 2.17(l)</w:t>
      </w:r>
      <w:r>
        <w:rPr>
          <w:rFonts w:ascii="Times New Roman" w:cs="Times New Roman" w:eastAsia="Times New Roman" w:hAnsi="Times New Roman"/>
          <w:sz w:val="18"/>
          <w:szCs w:val="18"/>
          <w:color w:val="auto"/>
        </w:rPr>
        <w:t xml:space="preserve"> shall oblige a Lender to disclose any confidential information or computations in respect of Taxes or do anything, which would or might in its reasonable opinion constitute a breach of any law or regulation, any fiduciary duty or any duty of confidentiality.</w:t>
      </w:r>
    </w:p>
    <w:p>
      <w:pPr>
        <w:spacing w:after="0" w:line="18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Withholding Matters.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If a UK Tax Deduction is required by law to be made by any Loan Party, the amount of the payment due from that Loan Party shall be increased to an amount which (after making any UK Tax Deduction) leaves an amount equal to the payment which would have been due if no UK Tax Deduction had been required.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The Company shall promptly upon becoming aware that a Loan Party must make a UK Tax Deduction (or that there is any change in the rate or the basis of a UK Tax Deduction) notify the Administrative Agent accordingly. Similarly, a Lender or Issuing Bank shall promptly notify the Administrative Agent on becoming so aware in respect of a payment payable to that Lender or Issuing Bank. If the Administrative Agent receives such notification from a Lender or Issuing Bank it shall promptly notify the Company. For the avoidance of doubt, any failure by a Lender or Issuing Bank to comply with this </w:t>
      </w:r>
      <w:r>
        <w:rPr>
          <w:rFonts w:ascii="Times New Roman" w:cs="Times New Roman" w:eastAsia="Times New Roman" w:hAnsi="Times New Roman"/>
          <w:sz w:val="18"/>
          <w:szCs w:val="18"/>
          <w:u w:val="single" w:color="auto"/>
          <w:color w:val="auto"/>
        </w:rPr>
        <w:t>Section 2.17(m)(ii)</w:t>
      </w:r>
      <w:r>
        <w:rPr>
          <w:rFonts w:ascii="Times New Roman" w:cs="Times New Roman" w:eastAsia="Times New Roman" w:hAnsi="Times New Roman"/>
          <w:sz w:val="18"/>
          <w:szCs w:val="18"/>
          <w:color w:val="auto"/>
        </w:rPr>
        <w:t xml:space="preserve"> shall not limit or otherwise affect any of such Lender’s or Issuing Bank’s rights under any Loan Document or any obligation of a Loan Party under any Loan Document.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 xml:space="preserve">(iii)      In the case of a Lender advancing a Loan to a UK Borrower, a payment by a UK Borrower shall not be increased pursuant to </w:t>
      </w:r>
      <w:r>
        <w:rPr>
          <w:rFonts w:ascii="Times New Roman" w:cs="Times New Roman" w:eastAsia="Times New Roman" w:hAnsi="Times New Roman"/>
          <w:sz w:val="17"/>
          <w:szCs w:val="17"/>
          <w:u w:val="single" w:color="auto"/>
          <w:color w:val="auto"/>
        </w:rPr>
        <w:t>Section 2.17(a)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2.17(m)(i)</w:t>
      </w:r>
      <w:r>
        <w:rPr>
          <w:rFonts w:ascii="Times New Roman" w:cs="Times New Roman" w:eastAsia="Times New Roman" w:hAnsi="Times New Roman"/>
          <w:sz w:val="17"/>
          <w:szCs w:val="17"/>
          <w:color w:val="auto"/>
        </w:rPr>
        <w:t xml:space="preserve"> by reason of a UK Tax Deduction on interest if on the date on which the payment falls due (A) 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w:t>
      </w:r>
    </w:p>
    <w:p>
      <w:pPr>
        <w:spacing w:after="0" w:line="3" w:lineRule="exact"/>
        <w:rPr>
          <w:sz w:val="20"/>
          <w:szCs w:val="20"/>
          <w:color w:val="auto"/>
        </w:rPr>
      </w:pPr>
    </w:p>
    <w:p>
      <w:pPr>
        <w:jc w:val="both"/>
        <w:ind w:firstLine="8"/>
        <w:spacing w:after="0" w:line="251" w:lineRule="auto"/>
        <w:tabs>
          <w:tab w:leader="none" w:pos="2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Lender is a UK Treaty Lender and the UK Borrower making the payment is able to demonstrate that the payment could have been made to the Lender without the UK Tax Deduction had that Lender complied with its obligations under </w:t>
      </w:r>
      <w:r>
        <w:rPr>
          <w:rFonts w:ascii="Times New Roman" w:cs="Times New Roman" w:eastAsia="Times New Roman" w:hAnsi="Times New Roman"/>
          <w:sz w:val="18"/>
          <w:szCs w:val="18"/>
          <w:u w:val="single" w:color="auto"/>
          <w:color w:val="auto"/>
        </w:rPr>
        <w:t>Section 2.17(m)(vi)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2.17(m)(vii)</w:t>
      </w:r>
      <w:r>
        <w:rPr>
          <w:rFonts w:ascii="Times New Roman" w:cs="Times New Roman" w:eastAsia="Times New Roman" w:hAnsi="Times New Roman"/>
          <w:sz w:val="18"/>
          <w:szCs w:val="18"/>
          <w:color w:val="auto"/>
        </w:rPr>
        <w:t>, as applicable, or (C) the relevant Lender is a UK Qualifying Lender solely by virtue of clause (a)(ii) of the definition of “UK Qualifying Lender” and (x) an officer of H.M. Revenue &amp; Customs has given (and not revoked) a direction (a “</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under section 931 of the UK ITA 2007 which relates to the payment and that Lender has received from the Borrower making the payment a certified copy of that Direction and (y) the payment could have been made to the Lender without any UK Tax Deduction if that Direction had not been made, or (D) the relevant Lender is a UK Qualifying Lender solely by virtue of clause (a)(ii) of the definition of “UK Qualifying Lender” and (x) the relevant Lender has not given a UK Tax Confirmation to the relevant UK Borrower or the Company and (y) the payment could have been made to the relevant Lender without any UK Tax Deduction if the Lender had given a UK Tax Confirmation to the relevant UK Borrower or the Company, on the basis that the UK Tax Confirmation would have enabled the UK Borrower to have formed a reasonable belief that the payment was an “excepted payment” for the purpose of section 930 of the UK ITA 2007.</w:t>
      </w:r>
    </w:p>
    <w:p>
      <w:pPr>
        <w:spacing w:after="0" w:line="19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Within thirty days of making either a UK Tax Deduction or any payment required in connection with that UK Tax Deduction the Loan Party making that UK Tax Deduction shall deliver to the Administrative Agent for the Recipient entitled to the payment a statement under section 975 of the UK ITA 2007 or other evidence reasonably satisfactory to such Recipient that the UK Tax Deduction has been made or (as applicable) any appropriate payment paid to HM Revenue &amp; Customs.</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(v)       If a Loan Party is required to make a UK Tax Deduction, that Loan Party shall make that UK Tax Deduction and any payment required in connection with that UK Tax Deduction within the time allowed and the minimum amount required by law.</w:t>
      </w:r>
    </w:p>
    <w:p>
      <w:pPr>
        <w:spacing w:after="0" w:line="162" w:lineRule="exact"/>
        <w:rPr>
          <w:sz w:val="20"/>
          <w:szCs w:val="20"/>
          <w:color w:val="auto"/>
        </w:rPr>
      </w:pPr>
    </w:p>
    <w:p>
      <w:pPr>
        <w:ind w:left="1960" w:hanging="656"/>
        <w:spacing w:after="0"/>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advancing a Loan to a UK Borrower:</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Subject to (B) below, each UK Treaty Lender and each Loan Party which makes a payment to which that UK Treaty Lender is entitled shall cooperate in completing any procedural formalities necessary for such Loan Party to obtain authorization to make such payment without a UK Tax Deduction.</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(1) A UK Treaty Lender which becomes a party to this Agreement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on the day on which this Agreement (or any amendment hereto) is entered into that (x) holds a passport under the HM Revenue &amp; Customs DT Treaty Passport scheme and (y) wishes such scheme to apply to this Agreement, shall confirm its scheme reference number and its jurisdiction of tax residence on its signature page to this Agreement (or any amendment hereto) or otherwise in writing to the Company; and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left="1300" w:firstLine="652"/>
        <w:spacing w:after="0" w:line="281" w:lineRule="auto"/>
        <w:tabs>
          <w:tab w:leader="none" w:pos="220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Lender which becomes a Lender hereunder after the day on which this Agreement (or any amendment hereto) is entered into that (x) holds a passport under the HM Revenue &amp; Customs DT Treaty Passport scheme and (y) wishes such scheme to apply to this Agreement, shall provide its scheme reference number and its jurisdiction of tax residence in the Assignment and Assumption, Increasing Lender Supplement or Augmenting Lender Supplement, as the case may be, or otherwise in writing to the Company;</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having done so, that Lender shall not be under any obligation pursuant to paragraph (A) above.</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Upon satisfying either paragraph (A), (B)(1) or (B)(2) above, such Lender shall have satisfied its obligations under </w:t>
      </w:r>
      <w:r>
        <w:rPr>
          <w:rFonts w:ascii="Times New Roman" w:cs="Times New Roman" w:eastAsia="Times New Roman" w:hAnsi="Times New Roman"/>
          <w:sz w:val="18"/>
          <w:szCs w:val="18"/>
          <w:u w:val="single" w:color="auto"/>
          <w:color w:val="auto"/>
        </w:rPr>
        <w:t>Section 2.17(e)(i)</w:t>
      </w:r>
      <w:r>
        <w:rPr>
          <w:rFonts w:ascii="Times New Roman" w:cs="Times New Roman" w:eastAsia="Times New Roman" w:hAnsi="Times New Roman"/>
          <w:sz w:val="18"/>
          <w:szCs w:val="18"/>
          <w:color w:val="auto"/>
        </w:rPr>
        <w:t xml:space="preserve"> (in respect of a UK Tax Deduction).</w:t>
      </w:r>
    </w:p>
    <w:p>
      <w:pPr>
        <w:spacing w:after="0" w:line="162" w:lineRule="exact"/>
        <w:rPr>
          <w:sz w:val="20"/>
          <w:szCs w:val="20"/>
          <w:color w:val="auto"/>
        </w:rPr>
      </w:pPr>
    </w:p>
    <w:p>
      <w:pPr>
        <w:jc w:val="both"/>
        <w:ind w:firstLine="1304"/>
        <w:spacing w:after="0" w:line="261" w:lineRule="auto"/>
        <w:tabs>
          <w:tab w:leader="none" w:pos="16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If a UK Treaty Lender has confirmed its scheme reference number and its jurisdiction of tax residence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 .17(m)(vi)(B)</w:t>
      </w:r>
      <w:r>
        <w:rPr>
          <w:rFonts w:ascii="Times New Roman" w:cs="Times New Roman" w:eastAsia="Times New Roman" w:hAnsi="Times New Roman"/>
          <w:sz w:val="18"/>
          <w:szCs w:val="18"/>
          <w:color w:val="auto"/>
        </w:rPr>
        <w:t xml:space="preserve"> above, the UK Borrower(s) making payments to that UK Treaty Lender shall make a UK Borrower DTTP filing with respect to such Lender, and shall promptly provide such Lender with a copy of such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UK Borrower making a payment to that UK Treaty Lender has made a UK Borrower DTTP Filing in respect of that UK Treaty Lender but:</w:t>
      </w:r>
    </w:p>
    <w:p>
      <w:pPr>
        <w:spacing w:after="0" w:line="179"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such UK Borrower DTTP Filing has been rejected by HM Revenue &amp; Customs; or</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(B)         HM Revenue &amp; Customs has not given such UK Borrower authority to make payments to such Lender without a UK Tax Deduction within 60 days of the date of such UK Borrower DTTP Filing;</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and in each case, such UK Borrower has notified that UK Treaty Lender in writing of either (A) or (B) above, then such UK Treaty Lender and such UK Borrower shall co-operate in completing any additional procedural formalities necessary for such UK Borrower to obtain authorization to make that payment without a UK Tax Deduction.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(viii)         If a Lender has not confirmed its scheme reference number and jurisdiction of tax residence in accordance with </w:t>
      </w:r>
      <w:r>
        <w:rPr>
          <w:rFonts w:ascii="Times New Roman" w:cs="Times New Roman" w:eastAsia="Times New Roman" w:hAnsi="Times New Roman"/>
          <w:sz w:val="18"/>
          <w:szCs w:val="18"/>
          <w:u w:val="single" w:color="auto"/>
          <w:color w:val="auto"/>
        </w:rPr>
        <w:t>Section 2.17(m)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(vi)(B)</w:t>
      </w:r>
      <w:r>
        <w:rPr>
          <w:rFonts w:ascii="Times New Roman" w:cs="Times New Roman" w:eastAsia="Times New Roman" w:hAnsi="Times New Roman"/>
          <w:sz w:val="18"/>
          <w:szCs w:val="18"/>
          <w:color w:val="auto"/>
        </w:rPr>
        <w:t xml:space="preserve"> above, no Loan Party shall make a UK Borrower DTTP Filing or file any other form relating to the HM Revenue &amp; Customs DT Treaty Passport scheme in respect of that Lender’s Commitment(s) or its participation in any Loan unless the Lender otherwise agrees.</w:t>
      </w:r>
    </w:p>
    <w:p>
      <w:pPr>
        <w:spacing w:after="0" w:line="176" w:lineRule="exact"/>
        <w:rPr>
          <w:sz w:val="20"/>
          <w:szCs w:val="20"/>
          <w:color w:val="auto"/>
        </w:rPr>
      </w:pPr>
    </w:p>
    <w:p>
      <w:pPr>
        <w:jc w:val="both"/>
        <w:ind w:firstLine="1304"/>
        <w:spacing w:after="0" w:line="257" w:lineRule="auto"/>
        <w:tabs>
          <w:tab w:leader="none" w:pos="16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Lender which becomes a Party after the date of this Agreement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shall indicate in the relevant Assignment and Assumption, Increasing Lender Supplement or Augmenting Lender Supplement (as applicable) which it executes on becoming a Party, and for the benefit of the Administrative Agent and without liability to any Loan Party, which of the following categories it falls in: (i) not a UK Qualifying Lender;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UK Qualifying Lender (other than a UK Treaty Lender); or (iii) a UK Treaty Lender, and if the New Lender fails to indicate its status in accordance with this </w:t>
      </w:r>
      <w:r>
        <w:rPr>
          <w:rFonts w:ascii="Times New Roman" w:cs="Times New Roman" w:eastAsia="Times New Roman" w:hAnsi="Times New Roman"/>
          <w:sz w:val="18"/>
          <w:szCs w:val="18"/>
          <w:u w:val="single" w:color="auto"/>
          <w:color w:val="auto"/>
        </w:rPr>
        <w:t>Section 2.17(m)(ix)</w:t>
      </w:r>
      <w:r>
        <w:rPr>
          <w:rFonts w:ascii="Times New Roman" w:cs="Times New Roman" w:eastAsia="Times New Roman" w:hAnsi="Times New Roman"/>
          <w:sz w:val="18"/>
          <w:szCs w:val="18"/>
          <w:color w:val="auto"/>
        </w:rPr>
        <w:t xml:space="preserve"> then such New Lender shall be treated for the purposes of this Agreement (including by each Loan Party) as if it is not a UK Qualifying Lender until such time as it notifies the Administrative Agent which category applies (and the Administrative Agent, upon receipt of such notification, shall inform the relevant UK Borrower). For the avoidance of doubt, an Assignment and Assumption, Increasing Lender Supplement or Augmenting Lender Supplement shall not be invalidated by any failure of a Lender to comply with this </w:t>
      </w:r>
      <w:r>
        <w:rPr>
          <w:rFonts w:ascii="Times New Roman" w:cs="Times New Roman" w:eastAsia="Times New Roman" w:hAnsi="Times New Roman"/>
          <w:sz w:val="18"/>
          <w:szCs w:val="18"/>
          <w:u w:val="single" w:color="auto"/>
          <w:color w:val="auto"/>
        </w:rPr>
        <w:t>Section 2.17(m)(ix)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right="20" w:firstLine="1304"/>
        <w:spacing w:after="0" w:line="282" w:lineRule="auto"/>
        <w:tabs>
          <w:tab w:leader="none" w:pos="15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UK Borrower shall pay and, within three (3) Business Days of demand, indemnify each Recipient against any cost, loss or liability that Recipient incurs in relation to all United Kingdom stamp duty, registration and other similar Taxes payable in respect of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VAT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All amounts set out or expressed in a Loan Document to be payable by any Party to any Recipient which (in whole or in part) constitute the consideration for any supply or supplies for VAT purposes shall be deemed to be exclusive of any VAT which is chargeable on such supply or supplies, and accordingly, subject to </w:t>
      </w:r>
      <w:r>
        <w:rPr>
          <w:rFonts w:ascii="Times New Roman" w:cs="Times New Roman" w:eastAsia="Times New Roman" w:hAnsi="Times New Roman"/>
          <w:sz w:val="18"/>
          <w:szCs w:val="18"/>
          <w:u w:val="single" w:color="auto"/>
          <w:color w:val="auto"/>
        </w:rPr>
        <w:t>Section 2.17(n)(ii)</w:t>
      </w:r>
      <w:r>
        <w:rPr>
          <w:rFonts w:ascii="Times New Roman" w:cs="Times New Roman" w:eastAsia="Times New Roman" w:hAnsi="Times New Roman"/>
          <w:sz w:val="18"/>
          <w:szCs w:val="18"/>
          <w:color w:val="auto"/>
        </w:rPr>
        <w:t xml:space="preserve"> below, if VAT is or becomes chargeable on any supply made by any Recipient to any Party under a Loan Document and such Recipient is required to account to the relevant tax authority for the VAT, that Party shall pay to such Recipient, as applicable, (in addition to and at the same time as paying any other consideration for such supply) an amount equal to the amount of such VAT (and such Recipient, as applicable, shall promptly provide an appropriate VAT invoice to such Party).</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If VAT is or becomes chargeable on any supply made by any Recipient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Recipient (the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under a Loan Document, and any Party other than the VAT Recipient (the “</w:t>
      </w:r>
      <w:r>
        <w:rPr>
          <w:rFonts w:ascii="Times New Roman" w:cs="Times New Roman" w:eastAsia="Times New Roman" w:hAnsi="Times New Roman"/>
          <w:sz w:val="18"/>
          <w:szCs w:val="18"/>
          <w:u w:val="single" w:color="auto"/>
          <w:color w:val="auto"/>
        </w:rPr>
        <w:t>Subject Party</w:t>
      </w:r>
      <w:r>
        <w:rPr>
          <w:rFonts w:ascii="Times New Roman" w:cs="Times New Roman" w:eastAsia="Times New Roman" w:hAnsi="Times New Roman"/>
          <w:sz w:val="18"/>
          <w:szCs w:val="18"/>
          <w:color w:val="auto"/>
        </w:rPr>
        <w:t>”) is required by the terms of any Loan Document to pay an amount equal to the consideration for such supply to the Supplier (rather than being required to reimburse the VAT Recipient in respect of that consideration):</w:t>
      </w:r>
    </w:p>
    <w:p>
      <w:pPr>
        <w:spacing w:after="0" w:line="180"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where the Supplier is the person required to account to the relevant tax authority for the VAT, the Subject Party shall also pay to the Supplier (in addition to and at the same time as paying such amount) an amount equal to the amount of such VAT. The VAT Recipient will, where this </w:t>
      </w:r>
      <w:r>
        <w:rPr>
          <w:rFonts w:ascii="Times New Roman" w:cs="Times New Roman" w:eastAsia="Times New Roman" w:hAnsi="Times New Roman"/>
          <w:sz w:val="18"/>
          <w:szCs w:val="18"/>
          <w:u w:val="single" w:color="auto"/>
          <w:color w:val="auto"/>
        </w:rPr>
        <w:t>Section 2.17(n)(ii)(A)</w:t>
      </w:r>
      <w:r>
        <w:rPr>
          <w:rFonts w:ascii="Times New Roman" w:cs="Times New Roman" w:eastAsia="Times New Roman" w:hAnsi="Times New Roman"/>
          <w:sz w:val="18"/>
          <w:szCs w:val="18"/>
          <w:color w:val="auto"/>
        </w:rPr>
        <w:t xml:space="preserve"> applies, promptly pay to the Subject Party an amount equal to any credit or repayment obtained by the VAT Recipient from the relevant tax authority which the VAT Recipient reasonably determines relates to the VAT chargeable on that supply; and</w:t>
      </w:r>
    </w:p>
    <w:p>
      <w:pPr>
        <w:spacing w:after="0" w:line="183"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where the VAT Recipient is the person required to account to the relevant tax authority for the VAT, the Subject Party shall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w:t>
      </w:r>
    </w:p>
    <w:p>
      <w:pPr>
        <w:spacing w:after="0" w:line="180" w:lineRule="exact"/>
        <w:rPr>
          <w:sz w:val="20"/>
          <w:szCs w:val="20"/>
          <w:color w:val="auto"/>
        </w:rPr>
      </w:pPr>
    </w:p>
    <w:p>
      <w:pPr>
        <w:jc w:val="both"/>
        <w:ind w:firstLine="1304"/>
        <w:spacing w:after="0" w:line="266" w:lineRule="auto"/>
        <w:tabs>
          <w:tab w:leader="none" w:pos="16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the Recipient reasonably determines that it is entitled to credit or repayment in respect of such VAT from the relevant tax authority.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Any reference in this </w:t>
      </w:r>
      <w:r>
        <w:rPr>
          <w:rFonts w:ascii="Times New Roman" w:cs="Times New Roman" w:eastAsia="Times New Roman" w:hAnsi="Times New Roman"/>
          <w:sz w:val="18"/>
          <w:szCs w:val="18"/>
          <w:u w:val="single" w:color="auto"/>
          <w:color w:val="auto"/>
        </w:rPr>
        <w:t>Section 2.17(n)</w:t>
      </w:r>
      <w:r>
        <w:rPr>
          <w:rFonts w:ascii="Times New Roman" w:cs="Times New Roman" w:eastAsia="Times New Roman" w:hAnsi="Times New Roman"/>
          <w:sz w:val="18"/>
          <w:szCs w:val="18"/>
          <w:color w:val="auto"/>
        </w:rPr>
        <w:t xml:space="preserve">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          In relation to any supply made by a Recipient to any Party under a Loan Document, if reasonably requested by such Recipient, that Party must promptly provide details of its VAT registration and such other information as is reasonably requested in connection with such Recipient’s VAT reporting requirements in relation to such supply.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“Lender” includes any Issuing Bank and the term “applicable law” includes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Each Borrower shall make each payment or prepayment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(i) in the case of payments denominated in Dollars, 1:00 p.m., Chicago time and (ii) in the case of payments denominated in a Foreign Currency, 1:00 p.m., Local Time, in the city of the Administrative Agent’s Foreign Currency Payment Office for such currency, in each case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applicable office or offices as described in an Administrative Questionnaire provided by the Administrative Agent to the Company from time to time, except payments to be made directly to an Issuing Bank or a Swingline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except as expressly provided herein, any Lender shall, by exercising any right of set-off or counterclaim or otherwise, obtain payment in respect of any principal of or interest on any of its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Loans or participations in LC Disbursements or Swingline Loans resulting in such Lender receiving payment of a greater proportion of the aggregate amount of its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Loans and participations in LC Disbursements and Swingline Loans and accrued interest thereon than the proportion received by any other </w:t>
      </w:r>
      <w:r>
        <w:rPr>
          <w:rFonts w:ascii="Times New Roman" w:cs="Times New Roman" w:eastAsia="Times New Roman" w:hAnsi="Times New Roman"/>
          <w:sz w:val="18"/>
          <w:szCs w:val="18"/>
          <w:b w:val="1"/>
          <w:bCs w:val="1"/>
          <w:u w:val="single" w:color="auto"/>
          <w:color w:val="0000FF"/>
        </w:rPr>
        <w:t>similarly situated</w:t>
      </w:r>
      <w:r>
        <w:rPr>
          <w:rFonts w:ascii="Times New Roman" w:cs="Times New Roman" w:eastAsia="Times New Roman" w:hAnsi="Times New Roman"/>
          <w:sz w:val="18"/>
          <w:szCs w:val="18"/>
          <w:color w:val="auto"/>
        </w:rPr>
        <w:t xml:space="preserve"> Lender, then the Lender receiving such greater proportion shall purchase (for cash at face value) participations in the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Loans and participations in LC Disbursements and Swingline Loans of other Lenders to the extent necessary so that the benefit of all such payments shall be shared by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all such</w:t>
      </w:r>
      <w:r>
        <w:rPr>
          <w:rFonts w:ascii="Times New Roman" w:cs="Times New Roman" w:eastAsia="Times New Roman" w:hAnsi="Times New Roman"/>
          <w:sz w:val="18"/>
          <w:szCs w:val="18"/>
          <w:color w:val="auto"/>
        </w:rPr>
        <w:t xml:space="preserve"> Lenders ratably in accordance with the aggregate amount of principal of and accrued interest on their respective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color w:val="auto"/>
        </w:rPr>
        <w:t xml:space="preser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relevant Borrower prior to the date on which any payment or prepayment is due to the Administrative Agent for the account of the Lenders or an Issuing Bank hereunder that such Borrower will not make such payment, the Administrative Agent may assume that such Borrower has made such payment on such date in accordance herewith and may, in reliance upon such assumption, distribute to the applicable Lenders or such Issuing Bank, as the case may be, the amount due. In such event, if such Borrower has not in fact made such payment, then each of the applicable Lenders or such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Lenders or the Issuing Banks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 it being understood that the Administrative Agent shall, to the extent permitted by law, apply any cash collateral to such obligations when due.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 xml:space="preserve">. (a)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Borrower is required to pay any Indemnified Taxes or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(other than amounts in respect of Other Taxes or VAT),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materially disadvantageous to such Lender. The Company hereby agrees to pay all reasonable costs and expenses incurred by any Lender in connection with any such designation or assignment.</w:t>
      </w:r>
    </w:p>
    <w:p>
      <w:pPr>
        <w:spacing w:after="0" w:line="192" w:lineRule="exact"/>
        <w:rPr>
          <w:sz w:val="20"/>
          <w:szCs w:val="20"/>
          <w:color w:val="auto"/>
        </w:rPr>
      </w:pPr>
    </w:p>
    <w:p>
      <w:pPr>
        <w:jc w:val="both"/>
        <w:ind w:firstLine="656"/>
        <w:spacing w:after="0" w:line="251"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If (i) any Lender (or any of its Participants)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any Borrower is required to pay any Indemnified Taxes or additional amount to any Lender (or any of its Participants) or any Governmental Authority for the account of any Lender (or any of its Participants) pursuant to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(iii) any Lender (A) or its Lender Parent has become the subject of a Bail-In Action (or any case or other proceeding in which a Bail-In Action may occur), (B) or its Lender Parent (x) is rated lower than BBB- by S&amp;P (or an applicable Affiliate thereof) and lower than Baa3 by Moody’s (or an applicable Affiliate thereof) or (y) has no credit (or similar) rating in effect by at least one such organization, (C) is or becomes a Defaulting Lender, a Disqualified Institution or a Swiss Non-Qualifying Lender (but only if such cessation will otherwise cause a breach of the Swiss Ten Non-Bank Rule or the Swiss Twenty Non-Bank Rule) or (D) rejects the designation of an Agreed Currency or of a Foreign Subsidiary as an Eligible Subsidiary if, in each case, such Agreed Currency or designation of a Foreign Subsidiary as an Eligible Subsidiary has otherwise been approved by the Required Lenders, (iv) any Lender shall determine that any law, regulation or treaty or directive, or any change therein or in the interpretation or application thereof, shall make it unlawful for such Lender to make or maintain any Term Benchmark Loans as contemplated by this Agreement, (v) any Lender shall enter into, or purport to enter into, any assignment or participation with a Disqualified Institution in violation of this Agreement or (vi) any Lender that is a Swingline Lender or an Issuing Bank shall (A) resign in its capacity as such, (B) fail to promptly approve the assignment of a Commitment that the Administrative Agent has approved as contemplated by clause (i) of the proviso below or (C) fail to promptly approve a New Lender that the Administrative Agent has approved in the case of an increase in the Commitments as contemplated by Section 2.20,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 is reasonably acceptable to the Administrative Agent (and if a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is being assigned, the Issuing Banks and the Swingline Lenders) and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Each party hereto agrees that (1)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(2)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Notwithstanding any other provision of this Agreement to the contrary, if a Lender has become the subject of a Bail-In Action (or any case or other proceeding in which a Bail-In Action may occur) (each, a “</w:t>
      </w:r>
      <w:r>
        <w:rPr>
          <w:rFonts w:ascii="Times New Roman" w:cs="Times New Roman" w:eastAsia="Times New Roman" w:hAnsi="Times New Roman"/>
          <w:sz w:val="18"/>
          <w:szCs w:val="18"/>
          <w:u w:val="single" w:color="auto"/>
          <w:color w:val="auto"/>
        </w:rPr>
        <w:t>Bail-In Lender</w:t>
      </w:r>
      <w:r>
        <w:rPr>
          <w:rFonts w:ascii="Times New Roman" w:cs="Times New Roman" w:eastAsia="Times New Roman" w:hAnsi="Times New Roman"/>
          <w:sz w:val="18"/>
          <w:szCs w:val="18"/>
          <w:color w:val="auto"/>
        </w:rPr>
        <w:t xml:space="preserve">”), then the Company may terminate such Bail- In Lender’s Commitment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Default or Event of Default shall have occurred and be continuing at the time of such Commitment termination, (B) in the case of a Bail-In Lender, the Company shall concurrently terminate the Commitment of each other Lender that is a Bail-In Lender at such time, (C) the Administrative Agent and the Required Lenders shall have consented to each such Commitment termination (such consents not to be unreasonably withheld, conditioned or delayed, but may include consideration of the adequacy of the liquidity of the Company and its Subsidiaries) and (D) such Bail-In Lender shall have been paid all amounts then due to it under this Agreement and each other Loan Document (which, for the avoidance of doubt, the respective Borrowers may pay in connection with any such termination without making ratable payments to any other Lender (other than another Lender that has a Commitment that concurrently is being terminated under this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Expansion Option</w:t>
      </w:r>
      <w:r>
        <w:rPr>
          <w:rFonts w:ascii="Times New Roman" w:cs="Times New Roman" w:eastAsia="Times New Roman" w:hAnsi="Times New Roman"/>
          <w:sz w:val="18"/>
          <w:szCs w:val="18"/>
          <w:color w:val="auto"/>
        </w:rPr>
        <w:t xml:space="preserve">. The Company may from time to time elect to increase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or enter into one or more tranches of term loans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in each case in a minimum amount of $25,000,000 and minimum increments of $1,000,000 in excess thereof, so long as, after giving effect thereto, the aggregate amount of such increases and all such Incremental Term Loans does not exceed $450,000,000. The Company may arrange for any such increase or tranche to be provided by one or more Lenders (each Lender so agreeing to an increase in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or to participate in such Incremental Term Loans,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or by one or more new banks, financial institutions or other entities (each such new bank, financial institution or other entity, an “</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Ineligible Institution may be an Augmenting Lender), which agree to increase their existing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or to participate in such Incremental Term Loans, or provide new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Augmenting Lender shall be subject to the approval of the Company, the Administrative Agent, and in the case of an increase in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each Issuing Bank and each Swingline Lender (each such consent, not to be unreasonably withheld, conditioned or delayed) and (ii) (x) in the case of an Increasing Lender, the Company and such Increasing Lender execute an agreement substantially in the form of </w:t>
      </w:r>
      <w:r>
        <w:rPr>
          <w:rFonts w:ascii="Times New Roman" w:cs="Times New Roman" w:eastAsia="Times New Roman" w:hAnsi="Times New Roman"/>
          <w:sz w:val="18"/>
          <w:szCs w:val="18"/>
          <w:u w:val="single" w:color="auto"/>
          <w:color w:val="auto"/>
        </w:rPr>
        <w:t>Exhibit C- 1</w:t>
      </w:r>
      <w:r>
        <w:rPr>
          <w:rFonts w:ascii="Times New Roman" w:cs="Times New Roman" w:eastAsia="Times New Roman" w:hAnsi="Times New Roman"/>
          <w:sz w:val="18"/>
          <w:szCs w:val="18"/>
          <w:color w:val="auto"/>
        </w:rPr>
        <w:t xml:space="preserve"> hereto, and (y) in the case of an Augmenting Lender, the Company and such Augmenting Lender execute an agreement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hereto. No consent of any Lender (other than the Lenders participating in the increase or any Incremental Term Loan) shall be required for any increase in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or Incremental Term Loan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Increases and new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and Incremental Term Loans created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become effective on the date agreed by the Company, the Administrative Agent and the relevant Increasing Lenders or Augmenting Lenders, and the Administrative Agent shall notify each Lender thereof. Notwithstanding the foregoing, no increase in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(or in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of any Lender) or tranche of Incremental Term Loans shall become effective under this paragraph unless, (i) on the proposed date of the effectiveness of such increase or Incremental Term Loans, (A) the conditions set forth in paragraphs (a) and (b)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or waived by the Required Lenders and the Administrative Agent shall have received a certificate to that effect dated such date and executed by a Financial Officer of the Company and (B) the Company shall be in compliance (on a pro forma basis) with the covenants contained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(ii) the Administrative Agent shall have received (x) documents and opinions consistent with those delivered on the Effective Date as to the organizational power and authority of the Borrowers to borrow hereunder after giving effect to such increase or Incremental Term Loans, as the case may be and (y) a reaffirmation from the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Incremental Term Loans incurred for the purpose of financing an acquisition for which the Company has determined, in good faith, that limited conditionality is reasonably necessary (any such acquisition, a “</w:t>
      </w:r>
      <w:r>
        <w:rPr>
          <w:rFonts w:ascii="Times New Roman" w:cs="Times New Roman" w:eastAsia="Times New Roman" w:hAnsi="Times New Roman"/>
          <w:sz w:val="18"/>
          <w:szCs w:val="18"/>
          <w:u w:val="single" w:color="auto"/>
          <w:color w:val="auto"/>
        </w:rPr>
        <w:t>Limited Conditionality Acquisition</w:t>
      </w:r>
      <w:r>
        <w:rPr>
          <w:rFonts w:ascii="Times New Roman" w:cs="Times New Roman" w:eastAsia="Times New Roman" w:hAnsi="Times New Roman"/>
          <w:sz w:val="18"/>
          <w:szCs w:val="18"/>
          <w:color w:val="auto"/>
        </w:rPr>
        <w:t>” and such Incremental Term Loans, “</w:t>
      </w:r>
      <w:r>
        <w:rPr>
          <w:rFonts w:ascii="Times New Roman" w:cs="Times New Roman" w:eastAsia="Times New Roman" w:hAnsi="Times New Roman"/>
          <w:sz w:val="18"/>
          <w:szCs w:val="18"/>
          <w:u w:val="single" w:color="auto"/>
          <w:color w:val="auto"/>
        </w:rPr>
        <w:t>Acquisition-Related Incremental Term Loans</w:t>
      </w:r>
      <w:r>
        <w:rPr>
          <w:rFonts w:ascii="Times New Roman" w:cs="Times New Roman" w:eastAsia="Times New Roman" w:hAnsi="Times New Roman"/>
          <w:sz w:val="18"/>
          <w:szCs w:val="18"/>
          <w:color w:val="auto"/>
        </w:rPr>
        <w:t>”), (x) clause (i)(A) of this sentence shall be deemed to have been satisfied so long as (1) as of the date of execution of the definitive acquisition documentation in respect of a Limited Conditionality Acquisition (a “</w:t>
      </w:r>
      <w:r>
        <w:rPr>
          <w:rFonts w:ascii="Times New Roman" w:cs="Times New Roman" w:eastAsia="Times New Roman" w:hAnsi="Times New Roman"/>
          <w:sz w:val="18"/>
          <w:szCs w:val="18"/>
          <w:u w:val="single" w:color="auto"/>
          <w:color w:val="auto"/>
        </w:rPr>
        <w:t>Limited Conditionality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by the parties thereto, no Default or Event of Default shall have occurred and be continuing or would result from entry into such documentation, (2) as of the date of the borrowing of such Acquisition-Related Incremental Term Loans, no Event of Default under clause (a), (f), (g) or (h)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in existence immediately before or immediately after giving effect (including on a pro forma basis) to such borrowing and to any concurrent transactions and any substantially concurrent use of proceeds thereof, (3)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in all material respects (except that any representation and warranty that is qualified by materiality or Material Adverse Effect shall be true and correct in all respects) as of the date of execution of the applicable Limited Conditionality Acquisition Agreement by the parties thereto,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and (4) as of the date of the borrowing of such Acquisition-Related Incremental Term Loans, customary “Sungard” representations and warranties (with such representations and warranties to be reasonably determined by the Lenders providing such Acquisition-Related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Acquisition-Related Incremental Term Loans,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and (y) clause (i)(B) of this sentence shall be deemed to have been satisfied so long as the Parent shall be in compliance (on a pro forma basis) with the covenants contained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as of the date of execution of the related Limited Conditionality Acquisition Agreement by the parties thereto. On the effective date of any increase in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Borrowers shall be deemed to have repaid and reborrowed all outstanding Revolving Loans as of the date of any increase in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Commitments (with such reborrowing to consist of the Types of Revolving Loans, with related Interest Periods if applicable, specified in a notice delivered by the applicable Borrower, or the Company on behalf of the applicable Borrower, in accordance with the 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the deemed payment occurs other than on the last day of the related Interest Periods. The Incremental Term Loans (a) shall rank pari passu in right of payment with the Revolving Loans </w:t>
      </w:r>
      <w:r>
        <w:rPr>
          <w:rFonts w:ascii="Times New Roman" w:cs="Times New Roman" w:eastAsia="Times New Roman" w:hAnsi="Times New Roman"/>
          <w:sz w:val="18"/>
          <w:szCs w:val="18"/>
          <w:b w:val="1"/>
          <w:bCs w:val="1"/>
          <w:u w:val="single" w:color="auto"/>
          <w:color w:val="0000FF"/>
        </w:rPr>
        <w:t>and the initial Term Loans</w:t>
      </w:r>
      <w:r>
        <w:rPr>
          <w:rFonts w:ascii="Times New Roman" w:cs="Times New Roman" w:eastAsia="Times New Roman" w:hAnsi="Times New Roman"/>
          <w:sz w:val="18"/>
          <w:szCs w:val="18"/>
          <w:color w:val="auto"/>
        </w:rPr>
        <w:t xml:space="preserve">, (b) shall not mature earlier than the latest Maturity Date in effect on the date of incurrence of such Incremental Term Loans (but may have amortization prior to such date) and (c) shall be treated substantially the same as (and in any event no more favorably than) the Revolving Loans </w:t>
      </w:r>
      <w:r>
        <w:rPr>
          <w:rFonts w:ascii="Times New Roman" w:cs="Times New Roman" w:eastAsia="Times New Roman" w:hAnsi="Times New Roman"/>
          <w:sz w:val="18"/>
          <w:szCs w:val="18"/>
          <w:b w:val="1"/>
          <w:bCs w:val="1"/>
          <w:u w:val="single" w:color="auto"/>
          <w:color w:val="0000FF"/>
        </w:rPr>
        <w:t>and the initial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terms and conditions applicable to any tranche of Incremental Term Loans maturing after the latest Maturity Date in effect on the date of incurrence of such Incremental Term Loans may provide for material additional or different financial or other covenants or prepayment requirements applicable only during periods after the latest Maturity Date in effect on the date of incurrence of such Incremental Term Loans and (ii) the Incremental Term Loans may be priced differently than the Revolving </w:t>
      </w:r>
      <w:r>
        <w:rPr>
          <w:rFonts w:ascii="Times New Roman" w:cs="Times New Roman" w:eastAsia="Times New Roman" w:hAnsi="Times New Roman"/>
          <w:sz w:val="18"/>
          <w:szCs w:val="18"/>
          <w:b w:val="1"/>
          <w:bCs w:val="1"/>
          <w:u w:val="single" w:color="auto"/>
          <w:color w:val="0000FF"/>
        </w:rPr>
        <w:t>Loans and the initial Term</w:t>
      </w:r>
      <w:r>
        <w:rPr>
          <w:rFonts w:ascii="Times New Roman" w:cs="Times New Roman" w:eastAsia="Times New Roman" w:hAnsi="Times New Roman"/>
          <w:sz w:val="18"/>
          <w:szCs w:val="18"/>
          <w:color w:val="auto"/>
        </w:rPr>
        <w:t xml:space="preserve"> Loans. Incremental Term Loans may be made hereunder pursuant to an amendment or restatement (an “</w:t>
      </w:r>
      <w:r>
        <w:rPr>
          <w:rFonts w:ascii="Times New Roman" w:cs="Times New Roman" w:eastAsia="Times New Roman" w:hAnsi="Times New Roman"/>
          <w:sz w:val="18"/>
          <w:szCs w:val="18"/>
          <w:u w:val="single" w:color="auto"/>
          <w:color w:val="auto"/>
        </w:rPr>
        <w:t>Incremental Term Loan Amendment</w:t>
      </w:r>
      <w:r>
        <w:rPr>
          <w:rFonts w:ascii="Times New Roman" w:cs="Times New Roman" w:eastAsia="Times New Roman" w:hAnsi="Times New Roman"/>
          <w:sz w:val="18"/>
          <w:szCs w:val="18"/>
          <w:color w:val="auto"/>
        </w:rPr>
        <w:t xml:space="preserve">”)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constitute, or otherwise be deemed to be, a commitment on the part of any Lender to increase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Commitment hereunder, or provide Incremental Term Loans, at any time.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690" w:gutter="0" w:footer="0" w:header="0"/>
        </w:sectPr>
      </w:pPr>
    </w:p>
    <w:bookmarkStart w:id="111" w:name="page112"/>
    <w:bookmarkEnd w:id="1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Market Disruption</w:t>
      </w:r>
      <w:r>
        <w:rPr>
          <w:rFonts w:ascii="Times New Roman" w:cs="Times New Roman" w:eastAsia="Times New Roman" w:hAnsi="Times New Roman"/>
          <w:sz w:val="18"/>
          <w:szCs w:val="18"/>
          <w:color w:val="auto"/>
        </w:rPr>
        <w:t xml:space="preserve">. Notwithstanding the satisfaction of all conditions referred to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Credit Event to be effected in any Foreign Currency, if (i) there shall occur on or prior to the date of such Credit Event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Term Benchmark Borrowings or Letters of Credit comprising such Credit Event to be denominated in the Agreed Currency specified by the applicable Borrower or (ii) a Dollar Amount of such currency is not readily calculable, then the Administrative Agent shall forthwith give notice thereof to such Borrower, the Lenders and, if such Credit Event is a Letter of Credit, the relevant Issuing Bank, and such Credit Events shall not be denominated in such Agreed Currency but shall, except as otherwise set forth in Section 2.07, be made on the date of such Credit Event in Dollars, (a) if such Credit Event is a Borrowing, in an aggregate principal amount equal to the Dollar Amount of the aggregate principal amount specified in the related request for a Credit Event or Interest Election Request, as the case may be, as ABR Loans, unless such Borrower notifies the Administrative Agent prior to the occurrence of such Credit Event that (i) it elects not to borrow on such date or (ii) it elects to borrow on such date in a different Agreed Currency, as the case may be, in which the denomination of such Loans would in the reasonable opinion of the Administrative Agent and the Required Lenders be practicable and in an aggregate principal amount equal to the Dollar Amount of the aggregate principal amount specified in the related request for a Credit Event or Interest Election Request, as the case may be or (b) if such Credit Event is a Letter of Credit, in a face amount equal to the Dollar Amount of the face amount specified in the related request or application for such Letter of Credit, unless such Borrower notifies the Administrative Agent prior to the occurrence of such Credit Event that (i) it elects not to request the issuance of such Letter of Credit on such date or (ii) it elects to have such Letter of Credit issued on such date in a different Agreed Currency, as the case may be, in which the denomination of such Letter of Credit would in the reasonable opinion of the Issuing Bank which has issued such Letter of Credit, the Administrative Agent and the Required Lenders be practicable and in face amount equal to the Dollar Amount of the face amount specified in the related request or application for such Letter of Credit, as the case may be.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2" w:name="page113"/>
    <w:bookmarkEnd w:id="1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Designation of Affiliate Borrowers</w:t>
      </w:r>
      <w:r>
        <w:rPr>
          <w:rFonts w:ascii="Times New Roman" w:cs="Times New Roman" w:eastAsia="Times New Roman" w:hAnsi="Times New Roman"/>
          <w:sz w:val="18"/>
          <w:szCs w:val="18"/>
          <w:color w:val="auto"/>
        </w:rPr>
        <w:t xml:space="preserve">. On the Effective Date, and subject to the satisfaction of the applicable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hereto, the Initial Affiliate Borrower shall be an Affiliate Borrower hereunder until the Company shall have executed and delivered to the Administrative Agent an Affiliate Borrowing Termination with respect to the Initial Affiliate Borrower and complied with the terms and conditions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whereupon the Initial Affiliate Borrower shall cease to be an Affiliate Borrower hereunder. After the Effective Date, the Company may at any time and from time to time designate any Eligible Subsidiary as an Affiliate Borrower by delivery to the Administrative Agent of an Affiliate Borrowing Agreement executed by such Subsidiary and the Company and the satisfaction of the other conditions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upon such delivery and satisfaction such Subsidiary shall for all purposes of this Agreement be an Affiliate Borrower and a party to this Agreement until the Company shall have executed and delivered to the Administrative Agent an Affiliate Borrowing Termination with respect to such Subsidiary, whereupon such Subsidiary shall cease to be an Affiliate Borrower and a party to this Agreement. Notwithstanding the preceding sentence, no Affiliate Borrowing Termination will become effective as to any Affiliate Borrower at a time when any principal of or interest on any Loan to such Borrower shall be outstanding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 Borrowing Termination shall be effective to terminate the right of such Affiliate Borrower to make further Borrowings under this Agreement. As soon as practicable upon receipt of an Affiliate Borrowing Agreement, the Administrative Agent shall furnish a copy thereof to each Lender.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fees shall cease to accrue on the Commitment of such Defaulting Lender pursuant to Section 2.12(a);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any payment of principal, interest, fees or other amounts received by the Administrative Agent for the account of such Defaulting Lender (whether voluntary or mandatory, at maturity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applied at such time or times as may be reasonably determined by the Administrative Agent (but as promptly as commercially practicable)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Issuing Banks’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reasonably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the Issuing Banks or Swingline Lenders as a result of any judgment of a court of competent jurisdiction obtained by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the Issuing Banks or Swingline Lenders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Disbursements owed to, all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irrevocably consents hereto;</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Commitment and Revolving Credit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this clause (c) shall not apply to the vote of a Defaulting Lender in the case of an amendment, waiver or other modification requiring the consent of such Lender or each Lender directly affected thereby;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if any Swingline Exposure or LC Exposure exists at the time </w:t>
      </w:r>
      <w:r>
        <w:rPr>
          <w:rFonts w:ascii="Times New Roman" w:cs="Times New Roman" w:eastAsia="Times New Roman" w:hAnsi="Times New Roman"/>
          <w:sz w:val="18"/>
          <w:szCs w:val="18"/>
          <w:b w:val="1"/>
          <w:bCs w:val="1"/>
          <w:color w:val="FF0000"/>
          <w:strike w:val="1"/>
        </w:rPr>
        <w:t>such</w:t>
      </w:r>
      <w:r>
        <w:rPr>
          <w:rFonts w:ascii="Times New Roman" w:cs="Times New Roman" w:eastAsia="Times New Roman" w:hAnsi="Times New Roman"/>
          <w:sz w:val="18"/>
          <w:szCs w:val="18"/>
          <w:b w:val="1"/>
          <w:bCs w:val="1"/>
          <w:u w:val="single" w:color="auto"/>
          <w:color w:val="0000FF"/>
        </w:rPr>
        <w:t>a Revolving</w:t>
      </w:r>
      <w:r>
        <w:rPr>
          <w:rFonts w:ascii="Times New Roman" w:cs="Times New Roman" w:eastAsia="Times New Roman" w:hAnsi="Times New Roman"/>
          <w:sz w:val="18"/>
          <w:szCs w:val="18"/>
          <w:color w:val="auto"/>
        </w:rPr>
        <w:t xml:space="preserve"> Lender becomes a Defaulting Lender then:</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            all or any part of the Swingline Exposure and LC Exposure of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(other than the portion of such Swingline Exposure referred to in clause (b) of the definition of such term) shall be reallocated among the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in accordance with their respective Applicable Percentages but only to the extent the sum of all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Revolving Credit Exposures plus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Swingline Exposure and LC Exposure does not exceed the total of all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if the reallocation described in clause (i) above cannot, or can only partially, be effected, the Company shall within one (1) Business Day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Cash Collateralize for the benefit of the Issuing Banks only the Borrowers’ obligations corresponding to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LC Exposure (after giving effect to any partial reallocation pursuant to clause (i)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179"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(iii)          if the Company Cash Collateralizes any portion of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LC Exposure pursuant to clause (ii) above, the Borrowers shall not be required to pay any fees to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LC Exposure during the period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LC Exposure is Cash Collateralized;</w:t>
      </w:r>
    </w:p>
    <w:p>
      <w:pPr>
        <w:spacing w:after="0" w:line="171" w:lineRule="exact"/>
        <w:rPr>
          <w:sz w:val="20"/>
          <w:szCs w:val="20"/>
          <w:color w:val="auto"/>
        </w:rPr>
      </w:pPr>
    </w:p>
    <w:p>
      <w:pPr>
        <w:jc w:val="both"/>
        <w:ind w:left="660"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(iv)          if the LC Exposure of the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is reallocated pursuant to clause (i) above, then the fees payable to the Lenders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adjusted in accordance with such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Applicable Percentages; and</w:t>
      </w:r>
    </w:p>
    <w:p>
      <w:pPr>
        <w:spacing w:after="0" w:line="171"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(v)           if all or any portion of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LC Exposure is neither reallocated nor Cash Collateralized pursuant to clause (i) or (ii) above, then, without prejudice to any rights or remedies of any Issuing Bank or any other Lender hereunder, all facility fees that otherwise would have been payable to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(solely with respect to the portion of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Commitment that was utilized by such LC Exposure) and letter of credit fees payable under Section 2.12(b) with respect to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LC Exposure shall be payable to the Issuing Banks until and to the extent that such LC Exposure is reallocated and/or Cash Collateralized; and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            so long as such Lender is a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the Swingline Lenders shall not be required to fund any Swingline Loan and the Issuing Banks shall not be required to issue, amend or increase any Letter of Credit, unless it is satisfied that the related exposure and the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then outstanding LC Exposure will be 100% covered by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 of the non-Defaulting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and/or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cash collateral will be provided by the Company in accordance with Section 2.24(d), and participating interests in any such newly made Swingline Loan or any newly issued or increased Letter of Credit shall be allocated among non-Defaulting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Lenders in a manner consistent with Section 2.24(d)(i) (and such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 shall not participate therein).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(i) a Bankruptcy Event or a Bail-In Action with respect to a Lender Parent shall occur following the date hereof and for so long as such event shall continue or (ii) any Swingline Lender or any Issuing Bank has a good faith belief that any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has defaulted in fulfilling its obligations under one or more other agreements in which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commits to extend credit, no Swingline Lender shall be required to fund any Swingline Loan and no Issuing Bank shall be required to issue, amend or increase any Letter of Credit, unless the Swingline Lenders or the Issuing Banks, as the case may be, shall have entered into arrangements with the Company or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satisfactory to each Swingline Lender or the Issuing Banks, as the case may be, to defease any risk to it in respect of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hereunder.</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the event that the Administrative Agent, the Company, each Swingline Lender and each Issuing Bank each agrees that a Defaulting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has adequately remedied all matters that caused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to be a Defaulting Lender, then the Swingline Exposure and LC Exposure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shall be readjusted to reflect the inclusion of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Commitment and on such date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shall purchase at par such of the Loans of the other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Lenders (other than Swingline Loans) as the Administrative Agent shall determine may be necessary in order for such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Lender to hold such Loans in accordance with its Applicable Percentage.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u w:val="single" w:color="auto"/>
          <w:color w:val="auto"/>
        </w:rPr>
        <w:t>Extension of Maturity Date.</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Requests for Extension</w:t>
      </w:r>
      <w:r>
        <w:rPr>
          <w:rFonts w:ascii="Times New Roman" w:cs="Times New Roman" w:eastAsia="Times New Roman" w:hAnsi="Times New Roman"/>
          <w:sz w:val="18"/>
          <w:szCs w:val="18"/>
          <w:color w:val="auto"/>
        </w:rPr>
        <w:t xml:space="preserve">. The Company may, by notice to the Administrative Agent (who shall promptly notify the </w:t>
      </w:r>
      <w:r>
        <w:rPr>
          <w:rFonts w:ascii="Times New Roman" w:cs="Times New Roman" w:eastAsia="Times New Roman" w:hAnsi="Times New Roman"/>
          <w:sz w:val="18"/>
          <w:szCs w:val="18"/>
          <w:b w:val="1"/>
          <w:bCs w:val="1"/>
          <w:u w:val="single" w:color="auto"/>
          <w:color w:val="0000FF"/>
        </w:rPr>
        <w:t>applicable Class of</w:t>
      </w:r>
      <w:r>
        <w:rPr>
          <w:rFonts w:ascii="Times New Roman" w:cs="Times New Roman" w:eastAsia="Times New Roman" w:hAnsi="Times New Roman"/>
          <w:sz w:val="18"/>
          <w:szCs w:val="18"/>
          <w:color w:val="auto"/>
        </w:rPr>
        <w:t xml:space="preserve"> Lenders) during the Extension Availability Period, request that each applicable Lender extend such Lender’s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Maturity Date </w:t>
      </w:r>
      <w:r>
        <w:rPr>
          <w:rFonts w:ascii="Times New Roman" w:cs="Times New Roman" w:eastAsia="Times New Roman" w:hAnsi="Times New Roman"/>
          <w:sz w:val="18"/>
          <w:szCs w:val="18"/>
          <w:b w:val="1"/>
          <w:bCs w:val="1"/>
          <w:u w:val="single" w:color="auto"/>
          <w:color w:val="0000FF"/>
        </w:rPr>
        <w:t>or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Loan Maturity Date, as the case may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Applicable Maturity Date</w:t>
      </w:r>
      <w:r>
        <w:rPr>
          <w:rFonts w:ascii="Times New Roman" w:cs="Times New Roman" w:eastAsia="Times New Roman" w:hAnsi="Times New Roman"/>
          <w:sz w:val="18"/>
          <w:szCs w:val="18"/>
          <w:color w:val="000000"/>
        </w:rPr>
        <w:t>”), to a date (the “</w:t>
      </w:r>
      <w:r>
        <w:rPr>
          <w:rFonts w:ascii="Times New Roman" w:cs="Times New Roman" w:eastAsia="Times New Roman" w:hAnsi="Times New Roman"/>
          <w:sz w:val="18"/>
          <w:szCs w:val="18"/>
          <w:u w:val="single" w:color="auto"/>
          <w:color w:val="000000"/>
        </w:rPr>
        <w:t>Extended Maturity Date</w:t>
      </w:r>
      <w:r>
        <w:rPr>
          <w:rFonts w:ascii="Times New Roman" w:cs="Times New Roman" w:eastAsia="Times New Roman" w:hAnsi="Times New Roman"/>
          <w:sz w:val="18"/>
          <w:szCs w:val="18"/>
          <w:color w:val="000000"/>
        </w:rPr>
        <w:t>”) that does not cause the tenor of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Lender’s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w:t>
      </w:r>
      <w:r>
        <w:rPr>
          <w:rFonts w:ascii="Times New Roman" w:cs="Times New Roman" w:eastAsia="Times New Roman" w:hAnsi="Times New Roman"/>
          <w:sz w:val="18"/>
          <w:szCs w:val="18"/>
          <w:b w:val="1"/>
          <w:bCs w:val="1"/>
          <w:u w:val="single" w:color="auto"/>
          <w:color w:val="0000FF"/>
        </w:rPr>
        <w:t>or any Lender’s outstanding Term Loans</w:t>
      </w:r>
      <w:r>
        <w:rPr>
          <w:rFonts w:ascii="Times New Roman" w:cs="Times New Roman" w:eastAsia="Times New Roman" w:hAnsi="Times New Roman"/>
          <w:sz w:val="18"/>
          <w:szCs w:val="18"/>
          <w:color w:val="000000"/>
        </w:rPr>
        <w:t xml:space="preserve"> to exceed five (5) years from the date upon which the conditions precedent to the effectiveness of such extension of the Applicable Maturity Date set forth in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below have been satisfied (an “</w:t>
      </w:r>
      <w:r>
        <w:rPr>
          <w:rFonts w:ascii="Times New Roman" w:cs="Times New Roman" w:eastAsia="Times New Roman" w:hAnsi="Times New Roman"/>
          <w:sz w:val="18"/>
          <w:szCs w:val="18"/>
          <w:u w:val="single" w:color="auto"/>
          <w:color w:val="000000"/>
        </w:rPr>
        <w:t>Extension Date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avoidance of doubt, the Company may request extensions of any Class without requesting an extension of the other Class.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Lender Elections to Extend</w:t>
      </w:r>
      <w:r>
        <w:rPr>
          <w:rFonts w:ascii="Times New Roman" w:cs="Times New Roman" w:eastAsia="Times New Roman" w:hAnsi="Times New Roman"/>
          <w:sz w:val="18"/>
          <w:szCs w:val="18"/>
          <w:color w:val="auto"/>
        </w:rPr>
        <w:t xml:space="preserve">. Each Lender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auto"/>
        </w:rPr>
        <w:t>, acting in its sole and individual discretion, shall, by notice to the Administrative Agent (which shall be irrevocable unless the Company otherwise consents in writing in its sole discretion) given not later than the date that is 15 days after the date on which the Administrative Agent received the Company’s extension request (the “</w:t>
      </w:r>
      <w:r>
        <w:rPr>
          <w:rFonts w:ascii="Times New Roman" w:cs="Times New Roman" w:eastAsia="Times New Roman" w:hAnsi="Times New Roman"/>
          <w:sz w:val="18"/>
          <w:szCs w:val="18"/>
          <w:u w:val="single" w:color="auto"/>
          <w:color w:val="auto"/>
        </w:rPr>
        <w:t>Lender Notice Date</w:t>
      </w:r>
      <w:r>
        <w:rPr>
          <w:rFonts w:ascii="Times New Roman" w:cs="Times New Roman" w:eastAsia="Times New Roman" w:hAnsi="Times New Roman"/>
          <w:sz w:val="18"/>
          <w:szCs w:val="18"/>
          <w:color w:val="auto"/>
        </w:rPr>
        <w:t xml:space="preserve">”), advise the Administrative Agent whether or not such Lender agrees to such extension (each Lender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auto"/>
        </w:rPr>
        <w:t xml:space="preserve"> that determines to so extend its Applicable Maturity Date,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Each Lender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auto"/>
        </w:rPr>
        <w:t xml:space="preserve"> that determines not to so extend its Applicable Maturity Date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shall notify the Administrative Agent of such fact promptly after such determination (but in any event no later than the Lender Notice Date), and any Lender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auto"/>
        </w:rPr>
        <w:t xml:space="preserve">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Applicable Maturity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Notification by Administrative Agent</w:t>
      </w:r>
      <w:r>
        <w:rPr>
          <w:rFonts w:ascii="Times New Roman" w:cs="Times New Roman" w:eastAsia="Times New Roman" w:hAnsi="Times New Roman"/>
          <w:sz w:val="18"/>
          <w:szCs w:val="18"/>
          <w:color w:val="auto"/>
        </w:rPr>
        <w:t>. The Administrative Agent shall notify the Company of each applicable Lender’s determination under this Section promptly after the Administrative Agent’s receipt thereof and, in any event, no later than the date that is 15 days prior to the applicable Extension Date (or, if such date is not a Business Day, on the next preceding Business Day).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Additional Commitment Lenders</w:t>
      </w:r>
      <w:r>
        <w:rPr>
          <w:rFonts w:ascii="Times New Roman" w:cs="Times New Roman" w:eastAsia="Times New Roman" w:hAnsi="Times New Roman"/>
          <w:sz w:val="18"/>
          <w:szCs w:val="18"/>
          <w:color w:val="auto"/>
        </w:rPr>
        <w:t>. The Company shall have the right, but shall not be obligated, on or before the Applicable Maturity Date for any Non-Extending Lender to replace such Non-Extending Lender with, and add as a “</w:t>
      </w:r>
      <w:r>
        <w:rPr>
          <w:rFonts w:ascii="Times New Roman" w:cs="Times New Roman" w:eastAsia="Times New Roman" w:hAnsi="Times New Roman"/>
          <w:sz w:val="18"/>
          <w:szCs w:val="18"/>
          <w:b w:val="1"/>
          <w:bCs w:val="1"/>
          <w:color w:val="FF0000"/>
          <w:strike w:val="1"/>
        </w:rPr>
        <w:t>Lender”</w:t>
      </w:r>
      <w:r>
        <w:rPr>
          <w:rFonts w:ascii="Times New Roman" w:cs="Times New Roman" w:eastAsia="Times New Roman" w:hAnsi="Times New Roman"/>
          <w:sz w:val="18"/>
          <w:szCs w:val="18"/>
          <w:b w:val="1"/>
          <w:bCs w:val="1"/>
          <w:u w:val="single" w:color="auto"/>
          <w:color w:val="0000FF"/>
        </w:rPr>
        <w:t>Revolving Lender” (in the case of any extension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Revolving Credit Maturity Date) or as a “Term Lender” (in the case of any extension of the Term Loan Maturity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under this Agreement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place thereof, one or more financial institutions that are not Ineligible Institutions (each, an “</w:t>
      </w:r>
      <w:r>
        <w:rPr>
          <w:rFonts w:ascii="Times New Roman" w:cs="Times New Roman" w:eastAsia="Times New Roman" w:hAnsi="Times New Roman"/>
          <w:sz w:val="18"/>
          <w:szCs w:val="18"/>
          <w:u w:val="single" w:color="auto"/>
          <w:color w:val="000000"/>
        </w:rPr>
        <w:t>Additional Commitment Lender</w:t>
      </w:r>
      <w:r>
        <w:rPr>
          <w:rFonts w:ascii="Times New Roman" w:cs="Times New Roman" w:eastAsia="Times New Roman" w:hAnsi="Times New Roman"/>
          <w:sz w:val="18"/>
          <w:szCs w:val="18"/>
          <w:color w:val="000000"/>
        </w:rPr>
        <w:t xml:space="preserve">”) approved by the Administrative Agent and, in the case of an Additional Commitment Lender assuming a new </w:t>
      </w:r>
      <w:r>
        <w:rPr>
          <w:rFonts w:ascii="Times New Roman" w:cs="Times New Roman" w:eastAsia="Times New Roman" w:hAnsi="Times New Roman"/>
          <w:sz w:val="18"/>
          <w:szCs w:val="18"/>
          <w:b w:val="1"/>
          <w:bCs w:val="1"/>
          <w:u w:val="single" w:color="auto"/>
          <w:color w:val="0000FF"/>
        </w:rPr>
        <w:t>or additional Revolving</w:t>
      </w:r>
      <w:r>
        <w:rPr>
          <w:rFonts w:ascii="Times New Roman" w:cs="Times New Roman" w:eastAsia="Times New Roman" w:hAnsi="Times New Roman"/>
          <w:sz w:val="18"/>
          <w:szCs w:val="18"/>
          <w:color w:val="000000"/>
        </w:rPr>
        <w:t xml:space="preserve"> Commitment, the Issuing Banks, the Swingline Lenders and Administrative Agent (in each case, such approval not to be unreasonably withheld, conditioned or delayed) in accordance with the procedures provided in </w:t>
      </w:r>
      <w:r>
        <w:rPr>
          <w:rFonts w:ascii="Times New Roman" w:cs="Times New Roman" w:eastAsia="Times New Roman" w:hAnsi="Times New Roman"/>
          <w:sz w:val="18"/>
          <w:szCs w:val="18"/>
          <w:u w:val="single" w:color="auto"/>
          <w:color w:val="000000"/>
        </w:rPr>
        <w:t>Section 2.19(b)</w:t>
      </w:r>
      <w:r>
        <w:rPr>
          <w:rFonts w:ascii="Times New Roman" w:cs="Times New Roman" w:eastAsia="Times New Roman" w:hAnsi="Times New Roman"/>
          <w:sz w:val="18"/>
          <w:szCs w:val="18"/>
          <w:color w:val="000000"/>
        </w:rPr>
        <w:t xml:space="preserve">, each of which applicable Additional Commitment Lenders shall have entered into an Assignment and Assumption (in accordance with and subject to the restrictions contained in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xml:space="preserve">, with the Company or replacement Lender obligated to pay any applicable processing or recordation fee) with such Non-Extending Lender, pursuant to which such Additional Commitment Lenders shall, effective on or before the Applicable Maturity Date for such Non-Extending Lender, assume a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w:t>
      </w:r>
      <w:r>
        <w:rPr>
          <w:rFonts w:ascii="Times New Roman" w:cs="Times New Roman" w:eastAsia="Times New Roman" w:hAnsi="Times New Roman"/>
          <w:sz w:val="18"/>
          <w:szCs w:val="18"/>
          <w:b w:val="1"/>
          <w:bCs w:val="1"/>
          <w:u w:val="single" w:color="auto"/>
          <w:color w:val="0000FF"/>
        </w:rPr>
        <w:t>and/or Term Loans, as the case may be</w:t>
      </w:r>
      <w:r>
        <w:rPr>
          <w:rFonts w:ascii="Times New Roman" w:cs="Times New Roman" w:eastAsia="Times New Roman" w:hAnsi="Times New Roman"/>
          <w:sz w:val="18"/>
          <w:szCs w:val="18"/>
          <w:color w:val="000000"/>
        </w:rPr>
        <w:t xml:space="preserve"> (and, if any such Additional Commitment Lender is already a Lender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000000"/>
        </w:rPr>
        <w:t xml:space="preserve">, its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 </w:t>
      </w:r>
      <w:r>
        <w:rPr>
          <w:rFonts w:ascii="Times New Roman" w:cs="Times New Roman" w:eastAsia="Times New Roman" w:hAnsi="Times New Roman"/>
          <w:sz w:val="18"/>
          <w:szCs w:val="18"/>
          <w:b w:val="1"/>
          <w:bCs w:val="1"/>
          <w:u w:val="single" w:color="auto"/>
          <w:color w:val="0000FF"/>
        </w:rPr>
        <w:t>and/or its outstanding Term Loans,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so assumed shall be in addition to such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and/or its outstanding Term Loans, as 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hereunder 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Applicable Maturity Date), to become an Extending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Company consents thereto in writing in its sole discretion. The Administrative Agent may effect such amendments to this Agreement as are reasonably necessary to provide for any such extensions with the consent of the Company but without the consent of any other Lenders.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Minimum Extension Requirement</w:t>
      </w:r>
      <w:r>
        <w:rPr>
          <w:rFonts w:ascii="Times New Roman" w:cs="Times New Roman" w:eastAsia="Times New Roman" w:hAnsi="Times New Roman"/>
          <w:sz w:val="18"/>
          <w:szCs w:val="18"/>
          <w:color w:val="auto"/>
        </w:rPr>
        <w:t xml:space="preserve">. If (and only if) the total of the </w:t>
      </w:r>
      <w:r>
        <w:rPr>
          <w:rFonts w:ascii="Times New Roman" w:cs="Times New Roman" w:eastAsia="Times New Roman" w:hAnsi="Times New Roman"/>
          <w:sz w:val="18"/>
          <w:szCs w:val="18"/>
          <w:b w:val="1"/>
          <w:bCs w:val="1"/>
          <w:u w:val="single" w:color="auto"/>
          <w:color w:val="0000FF"/>
        </w:rPr>
        <w:t>applicable Revolving</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b w:val="1"/>
          <w:bCs w:val="1"/>
          <w:u w:val="single" w:color="auto"/>
          <w:color w:val="0000FF"/>
        </w:rPr>
        <w:t>or the applicable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Term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the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have agreed to extend their Applicable Maturity Date and the new or increased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Commitments </w:t>
      </w:r>
      <w:r>
        <w:rPr>
          <w:rFonts w:ascii="Times New Roman" w:cs="Times New Roman" w:eastAsia="Times New Roman" w:hAnsi="Times New Roman"/>
          <w:sz w:val="18"/>
          <w:szCs w:val="18"/>
          <w:b w:val="1"/>
          <w:bCs w:val="1"/>
          <w:u w:val="single" w:color="auto"/>
          <w:color w:val="0000FF"/>
        </w:rPr>
        <w:t>or the applicable newly assumed outstanding Term Loans of any Additional Commitment Lenders</w:t>
      </w:r>
      <w:r>
        <w:rPr>
          <w:rFonts w:ascii="Times New Roman" w:cs="Times New Roman" w:eastAsia="Times New Roman" w:hAnsi="Times New Roman"/>
          <w:sz w:val="18"/>
          <w:szCs w:val="18"/>
          <w:color w:val="000000"/>
        </w:rPr>
        <w:t xml:space="preserve"> is more than 50% of the aggregate amount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Commitments </w:t>
      </w:r>
      <w:r>
        <w:rPr>
          <w:rFonts w:ascii="Times New Roman" w:cs="Times New Roman" w:eastAsia="Times New Roman" w:hAnsi="Times New Roman"/>
          <w:sz w:val="18"/>
          <w:szCs w:val="18"/>
          <w:b w:val="1"/>
          <w:bCs w:val="1"/>
          <w:u w:val="single" w:color="auto"/>
          <w:color w:val="0000FF"/>
        </w:rPr>
        <w:t>or the applicable outstanding Term Loans, as applicable,</w:t>
      </w:r>
      <w:r>
        <w:rPr>
          <w:rFonts w:ascii="Times New Roman" w:cs="Times New Roman" w:eastAsia="Times New Roman" w:hAnsi="Times New Roman"/>
          <w:sz w:val="18"/>
          <w:szCs w:val="18"/>
          <w:color w:val="000000"/>
        </w:rPr>
        <w:t xml:space="preserve"> in effect immediately prior to the applicable Extension Date, then, effective as of the applicable Extension Date, the Applicable Maturity Date of each Extending Lender and of each Additional Commitment Lender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000000"/>
        </w:rPr>
        <w:t xml:space="preserve"> shall be extended to the Extended Maturity Date (except that, if such date is not a Business Day, such Applicable Maturity Date as so extended shall be the next preceding Business Day) and each Additional Commitment Lender </w:t>
      </w:r>
      <w:r>
        <w:rPr>
          <w:rFonts w:ascii="Times New Roman" w:cs="Times New Roman" w:eastAsia="Times New Roman" w:hAnsi="Times New Roman"/>
          <w:sz w:val="18"/>
          <w:szCs w:val="18"/>
          <w:b w:val="1"/>
          <w:bCs w:val="1"/>
          <w:u w:val="single" w:color="auto"/>
          <w:color w:val="0000FF"/>
        </w:rPr>
        <w:t>of such Class</w:t>
      </w:r>
      <w:r>
        <w:rPr>
          <w:rFonts w:ascii="Times New Roman" w:cs="Times New Roman" w:eastAsia="Times New Roman" w:hAnsi="Times New Roman"/>
          <w:sz w:val="18"/>
          <w:szCs w:val="18"/>
          <w:color w:val="000000"/>
        </w:rPr>
        <w:t xml:space="preserve"> shall thereupon become a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000000"/>
        </w:rPr>
        <w:t xml:space="preserve"> Lender”</w:t>
      </w:r>
      <w:r>
        <w:rPr>
          <w:rFonts w:ascii="Times New Roman" w:cs="Times New Roman" w:eastAsia="Times New Roman" w:hAnsi="Times New Roman"/>
          <w:sz w:val="18"/>
          <w:szCs w:val="18"/>
          <w:b w:val="1"/>
          <w:bCs w:val="1"/>
          <w:u w:val="single" w:color="auto"/>
          <w:color w:val="0000FF"/>
        </w:rPr>
        <w:t>, and/or a “Term Lender”, as the case may be,</w:t>
      </w:r>
      <w:r>
        <w:rPr>
          <w:rFonts w:ascii="Times New Roman" w:cs="Times New Roman" w:eastAsia="Times New Roman" w:hAnsi="Times New Roman"/>
          <w:sz w:val="18"/>
          <w:szCs w:val="18"/>
          <w:color w:val="000000"/>
        </w:rPr>
        <w:t xml:space="preserve"> for all purposes of this Agreement and shall be bound by the provisions of this Agreement as a </w:t>
      </w:r>
      <w:r>
        <w:rPr>
          <w:rFonts w:ascii="Times New Roman" w:cs="Times New Roman" w:eastAsia="Times New Roman" w:hAnsi="Times New Roman"/>
          <w:sz w:val="18"/>
          <w:szCs w:val="18"/>
          <w:b w:val="1"/>
          <w:bCs w:val="1"/>
          <w:color w:val="FF0000"/>
          <w:strike w:val="1"/>
        </w:rPr>
        <w:t>Lender</w:t>
      </w:r>
      <w:r>
        <w:rPr>
          <w:rFonts w:ascii="Times New Roman" w:cs="Times New Roman" w:eastAsia="Times New Roman" w:hAnsi="Times New Roman"/>
          <w:sz w:val="18"/>
          <w:szCs w:val="18"/>
          <w:b w:val="1"/>
          <w:bCs w:val="1"/>
          <w:u w:val="single" w:color="auto"/>
          <w:color w:val="0000FF"/>
        </w:rPr>
        <w:t>Revolving Lender and/or Term Lender, as the case may be,</w:t>
      </w:r>
      <w:r>
        <w:rPr>
          <w:rFonts w:ascii="Times New Roman" w:cs="Times New Roman" w:eastAsia="Times New Roman" w:hAnsi="Times New Roman"/>
          <w:sz w:val="18"/>
          <w:szCs w:val="18"/>
          <w:color w:val="000000"/>
        </w:rPr>
        <w:t xml:space="preserve"> hereunder and shall have the obligations of a </w:t>
      </w:r>
      <w:r>
        <w:rPr>
          <w:rFonts w:ascii="Times New Roman" w:cs="Times New Roman" w:eastAsia="Times New Roman" w:hAnsi="Times New Roman"/>
          <w:sz w:val="18"/>
          <w:szCs w:val="18"/>
          <w:b w:val="1"/>
          <w:bCs w:val="1"/>
          <w:color w:val="FF0000"/>
          <w:strike w:val="1"/>
        </w:rPr>
        <w:t>Lender</w:t>
      </w:r>
      <w:r>
        <w:rPr>
          <w:rFonts w:ascii="Times New Roman" w:cs="Times New Roman" w:eastAsia="Times New Roman" w:hAnsi="Times New Roman"/>
          <w:sz w:val="18"/>
          <w:szCs w:val="18"/>
          <w:b w:val="1"/>
          <w:bCs w:val="1"/>
          <w:u w:val="single" w:color="auto"/>
          <w:color w:val="0000FF"/>
        </w:rPr>
        <w:t>Revolving Lender and/or a Term Lender, as the case may be,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hereunder.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Conditions to Effectiveness of Extension</w:t>
      </w:r>
      <w:r>
        <w:rPr>
          <w:rFonts w:ascii="Times New Roman" w:cs="Times New Roman" w:eastAsia="Times New Roman" w:hAnsi="Times New Roman"/>
          <w:sz w:val="18"/>
          <w:szCs w:val="18"/>
          <w:color w:val="auto"/>
        </w:rPr>
        <w:t xml:space="preserve">. Notwithstanding the foregoing, (x) no more than two (2) extensions of the </w:t>
      </w:r>
      <w:r>
        <w:rPr>
          <w:rFonts w:ascii="Times New Roman" w:cs="Times New Roman" w:eastAsia="Times New Roman" w:hAnsi="Times New Roman"/>
          <w:sz w:val="18"/>
          <w:szCs w:val="18"/>
          <w:b w:val="1"/>
          <w:bCs w:val="1"/>
          <w:u w:val="single" w:color="auto"/>
          <w:color w:val="0000FF"/>
        </w:rPr>
        <w:t>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Maturity Date and no more than two (2) extensions of the Term Loan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Maturity Date shall be permitted hereunder and (y) any extension of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Maturity Date pursuant to this </w:t>
      </w:r>
      <w:r>
        <w:rPr>
          <w:rFonts w:ascii="Times New Roman" w:cs="Times New Roman" w:eastAsia="Times New Roman" w:hAnsi="Times New Roman"/>
          <w:sz w:val="18"/>
          <w:szCs w:val="18"/>
          <w:u w:val="single" w:color="auto"/>
          <w:color w:val="000000"/>
        </w:rPr>
        <w:t>Section 2.25</w:t>
      </w:r>
      <w:r>
        <w:rPr>
          <w:rFonts w:ascii="Times New Roman" w:cs="Times New Roman" w:eastAsia="Times New Roman" w:hAnsi="Times New Roman"/>
          <w:sz w:val="18"/>
          <w:szCs w:val="18"/>
          <w:color w:val="000000"/>
        </w:rPr>
        <w:t xml:space="preserve"> shall not be effective with respect to any Extending Lender and each Additional Commitment Lender unless:</w:t>
      </w:r>
    </w:p>
    <w:p>
      <w:pPr>
        <w:spacing w:after="0" w:line="17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no Default or Event of Default shall have occurred and be continuing on the applicable Extension Date and immediately after giving effect thereto;</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the representations and warranties of the Borrowers set forth in this Agreement (other than the representations contained in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shall be true and correct in all material respects (provided that any representation or warranty that is qualified by materiality or Material Adverse Effect shall be true and correct in all respects) on and as of the applicable Extension Date (or, if any such representation or warranty is expressly stated to have been made as of a specific date, as of such specific date);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the Administrative Agent shall have received a certificate from the Company signed by a Financial Officer of the Company (A) certifying the accuracy of the foregoing clauses (i) and (ii) and (B) certifying and attaching the resolutions adopted by each Borrower approving or consenting to such extension.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Maturity Date for Non-Extending Lenders</w:t>
      </w:r>
      <w:r>
        <w:rPr>
          <w:rFonts w:ascii="Times New Roman" w:cs="Times New Roman" w:eastAsia="Times New Roman" w:hAnsi="Times New Roman"/>
          <w:sz w:val="18"/>
          <w:szCs w:val="18"/>
          <w:color w:val="auto"/>
        </w:rPr>
        <w:t xml:space="preserve">. On the Applicable Maturity Date of each Non-Extending Lender, (i) to the extent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and Term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each Non-Extending Lender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of the relevant Class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not assigned to the Additional Commitment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such Class</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 of each Non-Extending Lender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of such Class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shall automatically terminate and (ii) the Company shall repay such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Non-Extending Lender </w:t>
      </w:r>
      <w:r>
        <w:rPr>
          <w:rFonts w:ascii="Times New Roman" w:cs="Times New Roman" w:eastAsia="Times New Roman" w:hAnsi="Times New Roman"/>
          <w:sz w:val="18"/>
          <w:szCs w:val="18"/>
          <w:b w:val="1"/>
          <w:bCs w:val="1"/>
          <w:u w:val="single" w:color="auto"/>
          <w:color w:val="0000FF"/>
        </w:rPr>
        <w:t>of such Class</w:t>
      </w:r>
      <w:r>
        <w:rPr>
          <w:rFonts w:ascii="Times New Roman" w:cs="Times New Roman" w:eastAsia="Times New Roman" w:hAnsi="Times New Roman"/>
          <w:sz w:val="18"/>
          <w:szCs w:val="18"/>
          <w:color w:val="000000"/>
        </w:rPr>
        <w:t xml:space="preserve"> in accordance with </w:t>
      </w:r>
      <w:r>
        <w:rPr>
          <w:rFonts w:ascii="Times New Roman" w:cs="Times New Roman" w:eastAsia="Times New Roman" w:hAnsi="Times New Roman"/>
          <w:sz w:val="18"/>
          <w:szCs w:val="18"/>
          <w:u w:val="single" w:color="auto"/>
          <w:color w:val="000000"/>
        </w:rPr>
        <w:t>Section 2.10</w:t>
      </w:r>
      <w:r>
        <w:rPr>
          <w:rFonts w:ascii="Times New Roman" w:cs="Times New Roman" w:eastAsia="Times New Roman" w:hAnsi="Times New Roman"/>
          <w:sz w:val="18"/>
          <w:szCs w:val="18"/>
          <w:color w:val="000000"/>
        </w:rPr>
        <w:t xml:space="preserve"> (and shall pay to such Non- Extending Lender all of the other Obligations due and owing to it under this Agreement) and after giving effect thereto shall prepay any Loans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000000"/>
        </w:rPr>
        <w:t xml:space="preserve"> outstanding on such date (and pay any additional amounts required pursuant to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00000"/>
        </w:rPr>
        <w:t xml:space="preserve">) to the extent necessary to keep outstanding Loans </w:t>
      </w:r>
      <w:r>
        <w:rPr>
          <w:rFonts w:ascii="Times New Roman" w:cs="Times New Roman" w:eastAsia="Times New Roman" w:hAnsi="Times New Roman"/>
          <w:sz w:val="18"/>
          <w:szCs w:val="18"/>
          <w:b w:val="1"/>
          <w:bCs w:val="1"/>
          <w:u w:val="single" w:color="auto"/>
          <w:color w:val="0000FF"/>
        </w:rPr>
        <w:t>of the applicable Class</w:t>
      </w:r>
      <w:r>
        <w:rPr>
          <w:rFonts w:ascii="Times New Roman" w:cs="Times New Roman" w:eastAsia="Times New Roman" w:hAnsi="Times New Roman"/>
          <w:sz w:val="18"/>
          <w:szCs w:val="18"/>
          <w:color w:val="000000"/>
        </w:rPr>
        <w:t xml:space="preserve"> ratable with any revised Applicable Percentages of the respective Lenders </w:t>
      </w:r>
      <w:r>
        <w:rPr>
          <w:rFonts w:ascii="Times New Roman" w:cs="Times New Roman" w:eastAsia="Times New Roman" w:hAnsi="Times New Roman"/>
          <w:sz w:val="18"/>
          <w:szCs w:val="18"/>
          <w:b w:val="1"/>
          <w:bCs w:val="1"/>
          <w:u w:val="single" w:color="auto"/>
          <w:color w:val="0000FF"/>
        </w:rPr>
        <w:t>of such Class</w:t>
      </w:r>
      <w:r>
        <w:rPr>
          <w:rFonts w:ascii="Times New Roman" w:cs="Times New Roman" w:eastAsia="Times New Roman" w:hAnsi="Times New Roman"/>
          <w:sz w:val="18"/>
          <w:szCs w:val="18"/>
          <w:color w:val="000000"/>
        </w:rPr>
        <w:t xml:space="preserve"> effective as of such date, and the Administrative Agent shall administer any necessary reallocation of the </w:t>
      </w:r>
      <w:r>
        <w:rPr>
          <w:rFonts w:ascii="Times New Roman" w:cs="Times New Roman" w:eastAsia="Times New Roman" w:hAnsi="Times New Roman"/>
          <w:sz w:val="18"/>
          <w:szCs w:val="18"/>
          <w:b w:val="1"/>
          <w:bCs w:val="1"/>
          <w:color w:val="FF0000"/>
          <w:strike w:val="1"/>
        </w:rPr>
        <w:t>Revolving</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000000"/>
        </w:rPr>
        <w:t xml:space="preserve"> Credit Exposures (without regard to any minimum borrowing, pro rata borrowing and/or pro rata payment requirements contained elsewhere in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Conflicting Provisions</w:t>
      </w:r>
      <w:r>
        <w:rPr>
          <w:rFonts w:ascii="Times New Roman" w:cs="Times New Roman" w:eastAsia="Times New Roman" w:hAnsi="Times New Roman"/>
          <w:sz w:val="18"/>
          <w:szCs w:val="18"/>
          <w:color w:val="auto"/>
        </w:rPr>
        <w:t>. This Section shall supersede any provisions in Section 2.18 or Section 9.02 to the contrary.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Loan Party, as applicable, represents and warrants to the Lenders and the Administrative Agent, on the Effective Date and to the extent contemplated by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that: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Subject to transactions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such Loan Party is validly existing and, to the extent such concept is relevant in the applicable jurisdiction, in good standing under the laws of its jurisdiction of organization and, except to the extent that the failure to have the same could not reasonably be expected to have a Material Adverse Effect, such Loan Party has all organizational powers and all material Governmental Authority licenses, authorizations, consents and approvals required to carry on its business as now conducted.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and Governmental Authorization; Contravention</w:t>
      </w:r>
      <w:r>
        <w:rPr>
          <w:rFonts w:ascii="Times New Roman" w:cs="Times New Roman" w:eastAsia="Times New Roman" w:hAnsi="Times New Roman"/>
          <w:sz w:val="18"/>
          <w:szCs w:val="18"/>
          <w:color w:val="auto"/>
        </w:rPr>
        <w:t>. The execution, delivery and performance by the Loan Parties of this Agreement are within their respective corporate or other powers, have been duly authorized by all necessary corporate or other organizational action, require no action by or in respect of, or filing with, any Governmental Authority (other than informational filings with the SEC or any similar Governmental Authority) and do not contravene, or constitute a default under, any provision of applicable law or regulation or of the Organizational Documents of any Loan Party or of any material agreement, judgment, injunction, order, decree or other material instrument binding upon any Loan Party or result in the creation or imposition of any Lien (other than under the Loan Documents) on any asset of the Parent or any of its Subsidiaries (including any Borrower).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constitutes a valid and binding agreement of each Loan Party enforceable against the applicable Loan Parties in accordance with its terms, except to the extent that the enforceability thereof may be limited by the effect of any applicable bankruptcy, insolvency, reorganization, moratorium or similar laws now or hereafter affecting creditors’ rights generally, any mandatory applicable provisions of Luxembourg law of general application and general principles of equity.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audited combined balance sheet of the Parent and its Consolidated Subsidiaries at December 31, 2024 and the related consolidated statements of income and cash flows for the fiscal year then ended, reported on by Deloitte &amp; Touche LLP fairly present in all material respects, in conformity with GAAP, the consolidated financial position of the Parent and its Consolidated Subsidiaries at such date and their consolidated results of operations and cash flows for such fiscal year.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No change, occurrence or development has occurred since December 31, 2024 in respect of the business, assets, operations or financial condition of the Parent and its Subsidiaries, taken as a whole, that has had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Litigation, etc.</w:t>
      </w:r>
      <w:r>
        <w:rPr>
          <w:rFonts w:ascii="Times New Roman" w:cs="Times New Roman" w:eastAsia="Times New Roman" w:hAnsi="Times New Roman"/>
          <w:sz w:val="18"/>
          <w:szCs w:val="18"/>
          <w:color w:val="auto"/>
        </w:rPr>
        <w:t xml:space="preserve"> There is no action, suit or proceeding pending or, to the knowledge of any Loan Party, threatened in writing against the Parent or any Subsidiary before any Governmental Authority or arbitrator (a) in which there is a reasonable possibility of an adverse decision that could reasonably be expected to materially adversely affect the business, consolidated financial position or consolidated results of operations of the Parent and its Subsidiaries, taken as a whole, except as disclosed in Public Filings; or (b) that in any manner questions the validity of this Agreement or the financing contemplated hereby.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xml:space="preserve"> Each of the Parent and each ERISA Affiliate has fulfilled its obligations under the minimum funding standards of ERISA and the Code with respect to each applicable Plan and is in compliance with the presently applicable provisions of ERISA and the Code, and has not incurred any liability to the PBGC or a Plan under Title IV of ERISA (other than premiums which have been timely paid or for which an extension of the time for payment has been granted), other than failures to fund or comply or the incurrence of liabilities to the PBGC or any Plan that would not, in the aggregate, reasonably be expected to have a Material Adverse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Parent and each of its Subsidiaries have filed all United States federal income tax returns, and all other material federal, foreign, state and local income, excise and other material tax returns, which are required to be filed by them and have paid or made provision for the payment of all United States federal and material foreign, state and other taxes which have become due pursuant to such returns or pursuant to any assessment in respect thereof received by the Parent or any of its Subsidiaries, except (a) for the payment of taxes that are being contested in good faith and for which adequate reserves have been provided or (b) where the failure to so file or pay could not reasonably be expected to have a Material Adverse Effect. Under the laws of Luxembourg it is not necessary that the Loan Documents be filed, recorded or enrolled with any court or other authority or that any stamp, registration or similar Taxes be paid on or in relation to the Loan Documents, except (i) where the Loan Documents are physically attached (</w:t>
      </w:r>
      <w:r>
        <w:rPr>
          <w:rFonts w:ascii="Times New Roman" w:cs="Times New Roman" w:eastAsia="Times New Roman" w:hAnsi="Times New Roman"/>
          <w:sz w:val="18"/>
          <w:szCs w:val="18"/>
          <w:i w:val="1"/>
          <w:iCs w:val="1"/>
          <w:color w:val="auto"/>
        </w:rPr>
        <w:t>annexé(s)</w:t>
      </w:r>
      <w:r>
        <w:rPr>
          <w:rFonts w:ascii="Times New Roman" w:cs="Times New Roman" w:eastAsia="Times New Roman" w:hAnsi="Times New Roman"/>
          <w:sz w:val="18"/>
          <w:szCs w:val="18"/>
          <w:color w:val="auto"/>
        </w:rPr>
        <w:t xml:space="preserve">) to a public deed or to any other document subject to mandatory registration, in which case either a nominal registration duty or an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duty (of, for instance, 0.24 per cent. of the amount of the payment obligation mentioned in the document so registered) will be payable depending on the nature of the document to be registered, and (ii) in the case of voluntary registration of the Loan Documents.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Neither the Parent nor any Subsidiary thereof is an “investment company” within the meaning of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There are no existing Environmental Laws and no existing or, to the knowledge of Parent and its Subsidiaries, threatened Environmental Claims or Environmental Liabilities, individually or in the aggregate, that could reasonably be expected to have a material adverse effect on the business, consolidated financial position or consolidated results of operations of the Parent and its Subsidiaries taken as a whole.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Borrowers will use the proceeds of the Credit Events solely for the purposes described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 written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when taken as a whole; provided that, with respect to projected financial information, such Loan Party represents only that such information was prepared in good faith based upon assumptions believed to be reasonable at the time (it being understood and agreed that projected financial information is simply an estimate, and there is no guarantee that projected results will in fact be achieved and it being further understood and agreed that any representation made pursuant to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in respect of information provided with respect to any entity or assets acquired or to be acquired by the Parent or any of its Subsidiaries, for all periods prior to the date of the consummation of such acquisition is being made to the knowledge of the Parent). As of the Effective Date, to the best knowledge of the Parent, the information included in the Beneficial Ownership Certification provided on or prior to the Effective Date to any Lender in connection with this Agreement is true and correct in all material respects.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of the Parent and its Subsidiaries and, to its Knowledge, its controlled affiliated companies and their respective directors, officers, employees, and agents are conducting their business in compliance in all material respects with Anti-Corruption Laws and have instituted and maintained policies and procedures reasonably designed to promote and achieve compliance with such laws in all material respects.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None of the Parent or its Subsidiaries or, to its Knowledge, their respective directors, officers, employees or agents acting in any capacity in connection with, or directly benefiting from, the Credit Events: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is a Designated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is a Person that is 50% or greater owned or controlled by a Designated Person or by a Sanctioned Country;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is incorporated, organized or resident in a Sanctioned Country, in violation of Sanctions; or</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(iv)          is (or, except as disclosed in writing to the Administrative Agent prior to the Effective Date, has, to the Parent’s Knowledge, within the year preceding the Effective Date) directly or, to the Parent’s Knowledge, indirectly engaged in, any dealings or transactions, in each case in violation of any Sanctions, (1) with any Designated Person or (2) in any Sanctioned Country to the extent that after giving effect to such dealings or transactions the Parent and its Subsidiaries have more than 5% of their consolidated assets in Sanctioned Countries or derive more than 5% of their consolidated revenues from investments in, or transactions with, Sanctioned Countries.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The foregoing representations in this Section 3.12 will not apply to any party hereto to which (i) Council Regulation (EC) 2271/96 (the “Blocking Regulation”) applies (or any law or regulation implementing such Blocking Regulation in any member state of the European Union, including Section 7 of the German Foreign Trade Regulation (</w:t>
      </w:r>
      <w:r>
        <w:rPr>
          <w:rFonts w:ascii="Times New Roman" w:cs="Times New Roman" w:eastAsia="Times New Roman" w:hAnsi="Times New Roman"/>
          <w:sz w:val="18"/>
          <w:szCs w:val="18"/>
          <w:b w:val="1"/>
          <w:bCs w:val="1"/>
          <w:i w:val="1"/>
          <w:iCs w:val="1"/>
          <w:u w:val="single" w:color="auto"/>
          <w:color w:val="0000FF"/>
        </w:rPr>
        <w:t>Außenwirtschaftsverordnung</w:t>
      </w:r>
      <w:r>
        <w:rPr>
          <w:rFonts w:ascii="Times New Roman" w:cs="Times New Roman" w:eastAsia="Times New Roman" w:hAnsi="Times New Roman"/>
          <w:sz w:val="18"/>
          <w:szCs w:val="18"/>
          <w:b w:val="1"/>
          <w:bCs w:val="1"/>
          <w:u w:val="single" w:color="auto"/>
          <w:color w:val="0000FF"/>
        </w:rPr>
        <w:t>)) (the “Blocking Law”), or (ii) the UK Protection of Trading Interests Legislation (“UKPTIL”) applies, if and to the extent that such representations are or would be unenforceable by or in respect of that party pursuant to, or would otherwise result in a breach and/or violation of any provision of, the Blocking Law or the UKPTIL, as applicable.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Domiciliation; Centre of Main Interests</w:t>
      </w:r>
      <w:r>
        <w:rPr>
          <w:rFonts w:ascii="Times New Roman" w:cs="Times New Roman" w:eastAsia="Times New Roman" w:hAnsi="Times New Roman"/>
          <w:sz w:val="18"/>
          <w:szCs w:val="18"/>
          <w:color w:val="auto"/>
        </w:rPr>
        <w:t>. In the case of a Loan Party organized under the laws of Luxembourg, the head office (</w:t>
      </w:r>
      <w:r>
        <w:rPr>
          <w:rFonts w:ascii="Times New Roman" w:cs="Times New Roman" w:eastAsia="Times New Roman" w:hAnsi="Times New Roman"/>
          <w:sz w:val="18"/>
          <w:szCs w:val="18"/>
          <w:i w:val="1"/>
          <w:iCs w:val="1"/>
          <w:color w:val="auto"/>
        </w:rPr>
        <w:t>administration centrale</w:t>
      </w:r>
      <w:r>
        <w:rPr>
          <w:rFonts w:ascii="Times New Roman" w:cs="Times New Roman" w:eastAsia="Times New Roman" w:hAnsi="Times New Roman"/>
          <w:sz w:val="18"/>
          <w:szCs w:val="18"/>
          <w:color w:val="auto"/>
        </w:rPr>
        <w:t>) and the place of effective management (</w:t>
      </w:r>
      <w:r>
        <w:rPr>
          <w:rFonts w:ascii="Times New Roman" w:cs="Times New Roman" w:eastAsia="Times New Roman" w:hAnsi="Times New Roman"/>
          <w:sz w:val="18"/>
          <w:szCs w:val="18"/>
          <w:i w:val="1"/>
          <w:iCs w:val="1"/>
          <w:color w:val="auto"/>
        </w:rPr>
        <w:t>siège de direction effective</w:t>
      </w:r>
      <w:r>
        <w:rPr>
          <w:rFonts w:ascii="Times New Roman" w:cs="Times New Roman" w:eastAsia="Times New Roman" w:hAnsi="Times New Roman"/>
          <w:sz w:val="18"/>
          <w:szCs w:val="18"/>
          <w:color w:val="auto"/>
        </w:rPr>
        <w:t>) are located at the place of its registered office (</w:t>
      </w:r>
      <w:r>
        <w:rPr>
          <w:rFonts w:ascii="Times New Roman" w:cs="Times New Roman" w:eastAsia="Times New Roman" w:hAnsi="Times New Roman"/>
          <w:sz w:val="18"/>
          <w:szCs w:val="18"/>
          <w:i w:val="1"/>
          <w:iCs w:val="1"/>
          <w:color w:val="auto"/>
        </w:rPr>
        <w:t>siège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statutaire</w:t>
      </w:r>
      <w:r>
        <w:rPr>
          <w:rFonts w:ascii="Times New Roman" w:cs="Times New Roman" w:eastAsia="Times New Roman" w:hAnsi="Times New Roman"/>
          <w:sz w:val="18"/>
          <w:szCs w:val="18"/>
          <w:color w:val="auto"/>
        </w:rPr>
        <w:t>) in Luxembourg and, for the purposes of the Insolvency Regulation, the centre of main interests (</w:t>
      </w:r>
      <w:r>
        <w:rPr>
          <w:rFonts w:ascii="Times New Roman" w:cs="Times New Roman" w:eastAsia="Times New Roman" w:hAnsi="Times New Roman"/>
          <w:sz w:val="18"/>
          <w:szCs w:val="18"/>
          <w:i w:val="1"/>
          <w:iCs w:val="1"/>
          <w:color w:val="auto"/>
        </w:rPr>
        <w:t>centre des intérêts principaux</w:t>
      </w:r>
      <w:r>
        <w:rPr>
          <w:rFonts w:ascii="Times New Roman" w:cs="Times New Roman" w:eastAsia="Times New Roman" w:hAnsi="Times New Roman"/>
          <w:sz w:val="18"/>
          <w:szCs w:val="18"/>
          <w:color w:val="auto"/>
        </w:rPr>
        <w:t>) is located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of its registered office (</w:t>
      </w:r>
      <w:r>
        <w:rPr>
          <w:rFonts w:ascii="Times New Roman" w:cs="Times New Roman" w:eastAsia="Times New Roman" w:hAnsi="Times New Roman"/>
          <w:sz w:val="18"/>
          <w:szCs w:val="18"/>
          <w:i w:val="1"/>
          <w:iCs w:val="1"/>
          <w:color w:val="auto"/>
        </w:rPr>
        <w:t>siège statutaire</w:t>
      </w:r>
      <w:r>
        <w:rPr>
          <w:rFonts w:ascii="Times New Roman" w:cs="Times New Roman" w:eastAsia="Times New Roman" w:hAnsi="Times New Roman"/>
          <w:sz w:val="18"/>
          <w:szCs w:val="18"/>
          <w:color w:val="auto"/>
        </w:rPr>
        <w:t xml:space="preserve">) in Luxembourg. Each UK Loan Party incorporated or organized in an EU jurisdiction represents and warrants to the Lenders that its centre of main interest (as that term is used in Article 3(1) of the Insolvency Regulation) is in its jurisdiction of incorporation and it has no establishment (as that term is used in Article 2(10) of the Insolvency Regulation) in any other jurisdiction. Each UK Loan Party incorporated in England and Wales represents and warrants to the Lenders that its centre of main interest (as that term is used in Article 3(1) of the Insolvency Regulation as it has effect in the laws of the United Kingdom) is in England and Wales and it has no establishment (as that term is used in Article 2(10) of the of the Insolvency Regulation as it has effect in the laws of the United Kingdom) in any other jurisdiction. The Irish Guarantor represents and warrants to the Lenders that (i) as at the Effective Date its centre of main interest (as that term is used in Article 3(1) of the Insolvency Regulation) is in England and Wales and it has no establishment (as that term is used in Article 2(10) of the Insolvency Regulation) in any other jurisdiction, and (ii) for the purposes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its centre of main interest (as that term is used in Article 3(1) of the Insolvency Regulation) will be in either England and Wales or Ireland and it will have no establishment (as that term is used in Article 2(10) of the Insolvency Regulation) in any other jurisdiction. Each Irish Borrower represents and warrants to the Lenders that its centre of main interest (as that term is used in Article 3(1) of the Insolvency Regulation) is in Ireland and it has no establishment (as that term is used in Article 2(10) of the Insolvency Regulation) in any other jurisdiction.</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Swiss Non- Bank Rules</w:t>
      </w:r>
      <w:r>
        <w:rPr>
          <w:rFonts w:ascii="Times New Roman" w:cs="Times New Roman" w:eastAsia="Times New Roman" w:hAnsi="Times New Roman"/>
          <w:sz w:val="18"/>
          <w:szCs w:val="18"/>
          <w:color w:val="auto"/>
        </w:rPr>
        <w:t xml:space="preserve">. Each Swiss Loan Party is in compliance with the Swiss Non-Bank Rules. For the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(a) each Swiss Loan Party shall assume that the aggregate number of Lenders under this Agreement which are Swiss Non-Qualifying Lenders is five</w:t>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 and (b) no Default or Event of Default with respect to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shall be deemed to exist due to any inaccuracy of the representation and warranty contained herein that arises from (i) an inaccurate representation and warranty by a Lender pursuant to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(ii) any assignment or participation by a Lender to a Person that is a Swiss Non-Qualifying Lender without the consent of the Company or (iii) any Lender ceasing to be a Swiss Qualifying Lender so long as commencing promptly after the Company obtains Knowledge of such event, the Company and each Swiss Loan Party take all reasonable steps to cause each Swiss Loan Party to be in compliance with the Swiss Non-Bank Rules.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Irish Loan Party</w:t>
      </w:r>
      <w:r>
        <w:rPr>
          <w:rFonts w:ascii="Times New Roman" w:cs="Times New Roman" w:eastAsia="Times New Roman" w:hAnsi="Times New Roman"/>
          <w:sz w:val="18"/>
          <w:szCs w:val="18"/>
          <w:color w:val="auto"/>
        </w:rPr>
        <w:t>. The entry into by any Irish Loan Party of this Agreement and the performance by any Irish Loan Party of the transactions contemplated hereby and the obligations incurred hereunder does not constitute the provision of financial assistance within the meaning of Section 82 of the Irish Companies Act. The prohibition contained in Section 239 of the Irish Companies Act does not apply to this Agreement or the transactions contemplated thereby by reason of the fact that each Irish Loan Party and each other company whose liabilities are hereby guaranteed are members of a group of companies consisting of a holding company and its subsidiaries for the purposes of Section 243 of the Irish Companies Act.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Tax Residence</w:t>
      </w:r>
      <w:r>
        <w:rPr>
          <w:rFonts w:ascii="Times New Roman" w:cs="Times New Roman" w:eastAsia="Times New Roman" w:hAnsi="Times New Roman"/>
          <w:sz w:val="18"/>
          <w:szCs w:val="18"/>
          <w:color w:val="auto"/>
        </w:rPr>
        <w:t>. Each Loan Party (other than the Parent) represents that it is resident for Tax purposes only in its jurisdiction of incorporation. The Parent represents that it is resident for Tax purposes only in Ireland or the United Kingdom.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Neither the Parent nor any of its Subsidiaries is a “covered foreign person” as that term is used in the Outbound Investment Rules. Neither the Parent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Parent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The Administrative Agent (or its counsel) shall have received from each party hereto a counterpart of this Agreement signed on behalf of such party (which, subject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may include any Electronic Signatures transmitted by telecopy, emailed pdf, or any other electronic means that reproduces an image of an actual executed signature page).</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The Administrative Agent shall have received a favorable written opinion (addressed to the Administrative Agent and the Lenders and dated the Effective Date) of (i) Foley &amp; Lardner LLP, special counsel for the Loan Parties, (ii) Arthur Cox, special Irish counsel for the Loan Parties and (iii) Allen Overy Shearman Sterling, </w:t>
      </w:r>
      <w:r>
        <w:rPr>
          <w:rFonts w:ascii="Times New Roman" w:cs="Times New Roman" w:eastAsia="Times New Roman" w:hAnsi="Times New Roman"/>
          <w:sz w:val="18"/>
          <w:szCs w:val="18"/>
          <w:i w:val="1"/>
          <w:iCs w:val="1"/>
          <w:color w:val="auto"/>
        </w:rPr>
        <w:t>Société en Commandite Simple, inscrite au barreau de Luxembourg</w:t>
      </w:r>
      <w:r>
        <w:rPr>
          <w:rFonts w:ascii="Times New Roman" w:cs="Times New Roman" w:eastAsia="Times New Roman" w:hAnsi="Times New Roman"/>
          <w:sz w:val="18"/>
          <w:szCs w:val="18"/>
          <w:color w:val="auto"/>
        </w:rPr>
        <w:t xml:space="preserve">, special Luxembourg counsel for the Loan Parties, substantially in the form of </w:t>
      </w:r>
      <w:r>
        <w:rPr>
          <w:rFonts w:ascii="Times New Roman" w:cs="Times New Roman" w:eastAsia="Times New Roman" w:hAnsi="Times New Roman"/>
          <w:sz w:val="18"/>
          <w:szCs w:val="18"/>
          <w:u w:val="single" w:color="auto"/>
          <w:color w:val="auto"/>
        </w:rPr>
        <w:t>Exhibits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respectively, and covering such other matters relating to the Parent, the Company, the Initial Affiliate Borrower, this Agreement or the Transactions as the Administrative Agent shall reasonably request. The Company hereby requests each such counsels to deliver such opinions.</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The Administrative Agent shall have received such documents and certificates as the Administrative Agent or its counsel may reasonably request relating to the organization, existence and good standing of the Loan Parties (which shall include, in the case of the Irish Loan Party, evidence that such Loan Party has complied with Section 82 of the Irish Companies Act), the authorization of the Transactions and any other legal matters relating to the Parent, the Company, the Initial Affiliate Borrower, the Loan Documents or the Transactions, all in form and substance satisfactory to the Administrative Agent and its counsel and as further described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The Administrative Agent shall have received a certificate, dated the Effective Date and signed by a Manager of the Company, certifying (i) compliance with the conditions set forth in paragraphs (a) and (b)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(ii) that since December 31, 2024, no change, occurrence or development has occurred in respect of the business, assets, operations or financial condition of the Parent and its Subsidiaries, taken as a whole, that has had a Material Adverse Effect.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(e)            (i) The Lenders shall have received all documentation and other information reasonably requested by such Lender in writing at least five (5) days prior to the Effective Date in order to allow it to comply with applicable “know your customer” and anti-money laundering rules and regulations with respect to each Loan Party and (ii) to the extent a Borrower qualifies as a “legal entity customer” under the Beneficial Ownership Regulation, at least five (5) days prior to the Effective Date, any Lender that has reasonably requested a Beneficial Ownership Certification at least ten (10) days prior to the Effective Date in relation to such Borrower shall have received such Beneficial Ownership Certification (provided that, upon the execution and delivery by such Lender of its signature page to this Agreement, the conditions set forth in this clause (e) shall be deemed to be satisfied).</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The Administrative Agent shall have received all fees and other amounts due and payable on or prior to the Effective Date, including, to the extent invoiced (in reasonable detail) at least one (1) Business Day prior to the Effective Date, reimbursement or payment of all out-of-pocket expenses required to be reimbursed or paid by the Company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and of the Issuing Banks to issue, increase or extend any Letter of Credit, is subject to the satisfaction of the following conditions: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the Borrowers set forth in this Agreement (other than the representations contained in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shall be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or warranty that is qualified by materiality or Material Adverse Effect shall be true and correct in all respects) on and as of the date of such Loan (or, if any such representation or warranty is expressly stated to have been made as of a specific date, as of such specific date) or the date of issuance, amendment to increase or extension of such Letter of Credit, as applicable.</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Loan or the issuance, amendment to increase or extension of such Letter of Credit, as applicable, no Default shall have occurred and be continuing.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Loan and each issuance, amendment to increase or extension of a Letter of Credit shall be deemed to constitute a representation and warranty by the Borrowers on the date thereof as to the matters specified in paragraphs (a) and (b) of this Section.</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Designation of an Affiliate Borrower</w:t>
      </w:r>
      <w:r>
        <w:rPr>
          <w:rFonts w:ascii="Times New Roman" w:cs="Times New Roman" w:eastAsia="Times New Roman" w:hAnsi="Times New Roman"/>
          <w:sz w:val="18"/>
          <w:szCs w:val="18"/>
          <w:color w:val="auto"/>
        </w:rPr>
        <w:t xml:space="preserve">. The designation of an Affiliate Borrower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is subject to the conditions precedent that: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or such proposed Affiliate Borrower shall have furnished or caused to be furnished to the Administrative Agent:</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            subject to clauses (d) and (e) below, copies, certified by the Secretary or Assistant Secretary (or other appropriate officer, manager or director) of such Subsidiary, of its board of directors’ (or other applicable governing body’s) resolutions (and resolutions of other bodies, if any are deemed necessary by counsel for the Administrative Agent) approving the Affiliate Borrowing Agreement and any other Loan Documents to which such Subsidiary is becoming a party and such documents and certificates as the Administrative Agent or its counsel may reasonably request relating to the organization, existence and good standing of such Subsidiary;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           an incumbency certificate, executed by the Secretary or Assistant Secretary (or other appropriate officer, manager or director) of such Subsidiary, which shall identify by name and title and bear the signature of the officers or other representatives of such Subsidiary authorized to request Borrowings hereunder and sign the Affiliate Borrowing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opinions of counsel to such Subsidiary (which may include inside counsel to such Subsidiary for certain matters),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spacing w:after="0" w:line="180"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(iv)          any promissory notes requested by any Lender, and any other instruments and documents reasonably requested by the Administrative Agent or any Lender;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any documentation and other information related to such Subsidiary reasonably requested by the Administrative Agent or any Lender under applicable “know your customer” or similar rules and regulations, including the Patriot Act and the Beneficial Ownership Regulation;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            The Administrative Agent shall have received evidence satisfactory to it that all of such Affiliate Borrower’s then existing credit facilities shall have been cancelled and terminated and all indebtedness thereunder shall have been fully repaid (except to the extent being so repaid with the initial Revolving Loans to such Borrower or otherwise permitted to be outstanding pursuant to this Agreement);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In the event an Affiliate Borrower is organized under the laws of Luxembourg, (i) an excerpt (</w:t>
      </w:r>
      <w:r>
        <w:rPr>
          <w:rFonts w:ascii="Times New Roman" w:cs="Times New Roman" w:eastAsia="Times New Roman" w:hAnsi="Times New Roman"/>
          <w:sz w:val="18"/>
          <w:szCs w:val="18"/>
          <w:i w:val="1"/>
          <w:iCs w:val="1"/>
          <w:color w:val="auto"/>
        </w:rPr>
        <w:t>extrait</w:t>
      </w:r>
      <w:r>
        <w:rPr>
          <w:rFonts w:ascii="Times New Roman" w:cs="Times New Roman" w:eastAsia="Times New Roman" w:hAnsi="Times New Roman"/>
          <w:sz w:val="18"/>
          <w:szCs w:val="18"/>
          <w:color w:val="auto"/>
        </w:rPr>
        <w:t>) issued by the Luxembourg Trade and Companies Register dated as of the date of its designation and (ii) a non-registration certificate (</w:t>
      </w:r>
      <w:r>
        <w:rPr>
          <w:rFonts w:ascii="Times New Roman" w:cs="Times New Roman" w:eastAsia="Times New Roman" w:hAnsi="Times New Roman"/>
          <w:sz w:val="18"/>
          <w:szCs w:val="18"/>
          <w:b w:val="1"/>
          <w:bCs w:val="1"/>
          <w:i w:val="1"/>
          <w:iCs w:val="1"/>
          <w:color w:val="FF0000"/>
          <w:strike w:val="1"/>
        </w:rPr>
        <w:t>certificate</w:t>
      </w:r>
      <w:r>
        <w:rPr>
          <w:rFonts w:ascii="Times New Roman" w:cs="Times New Roman" w:eastAsia="Times New Roman" w:hAnsi="Times New Roman"/>
          <w:sz w:val="18"/>
          <w:szCs w:val="18"/>
          <w:b w:val="1"/>
          <w:bCs w:val="1"/>
          <w:i w:val="1"/>
          <w:iCs w:val="1"/>
          <w:u w:val="single" w:color="auto"/>
          <w:color w:val="0000FF"/>
        </w:rPr>
        <w:t>certificat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non-inscription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d’une décision judiciaire</w:t>
      </w:r>
      <w:r>
        <w:rPr>
          <w:rFonts w:ascii="Times New Roman" w:cs="Times New Roman" w:eastAsia="Times New Roman" w:hAnsi="Times New Roman"/>
          <w:sz w:val="18"/>
          <w:szCs w:val="18"/>
          <w:color w:val="auto"/>
        </w:rPr>
        <w:t>) issued by the Luxembourg Trade and Companies Register regarding the absence of judicial proceedings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its designation;</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In the event an Affiliate Borrower is organized under the laws of Switzerland, (i) a copy of the constitutional documents of such Affiliate Borrower, being a certified excerpt of the competent commercial register, a certified copy of the articles of association (containing a financial assistance clause allowing for up- and cross-stream security) and (if applicable and relevant), a copy of the duly signed and approved organizational regulations; (ii) a copy of a resolution of the board of directors of such Affiliate Borrower authorizing the execution, delivery and performance of each Loan Document to which it is a party; (iii) a copy of a resolution of its shareholders’ meeting, approving the terms of, and the transactions contemplated by, the Loan Documents to which such Affiliate Borrower is a party and (iv) a certificate of the board of directors of such Affiliate Borrower certifying (a) that there have been no changes in the constitutional documents of such Affiliate Borrower as set out in </w:t>
      </w:r>
      <w:r>
        <w:rPr>
          <w:rFonts w:ascii="Times New Roman" w:cs="Times New Roman" w:eastAsia="Times New Roman" w:hAnsi="Times New Roman"/>
          <w:sz w:val="18"/>
          <w:szCs w:val="18"/>
          <w:u w:val="single" w:color="auto"/>
          <w:color w:val="auto"/>
        </w:rPr>
        <w:t>Section 4.03(a)(i)</w:t>
      </w:r>
      <w:r>
        <w:rPr>
          <w:rFonts w:ascii="Times New Roman" w:cs="Times New Roman" w:eastAsia="Times New Roman" w:hAnsi="Times New Roman"/>
          <w:sz w:val="18"/>
          <w:szCs w:val="18"/>
          <w:color w:val="auto"/>
        </w:rPr>
        <w:t xml:space="preserve"> above, as attached thereto and as certified as of a recent date by the commercial register, if applicable, since the date of the certification thereof by such commercial register, (b) resolutions of the Board of Directors or other governing body of such Affiliate Borrower authorizing the execution, delivery and performance of each Loan Document to which it is a party, and (c) the names and true signatures of the authorized signatories of such Affiliate Borrower authorized to sign the Loan Documents to which it is a party, and authorized to request Borrowings and/or LC Disbursements under this Agreement; and</w:t>
      </w:r>
    </w:p>
    <w:p>
      <w:pPr>
        <w:spacing w:after="0" w:line="200" w:lineRule="exact"/>
        <w:rPr>
          <w:sz w:val="20"/>
          <w:szCs w:val="20"/>
          <w:color w:val="auto"/>
        </w:rPr>
      </w:pPr>
    </w:p>
    <w:p>
      <w:pPr>
        <w:spacing w:after="0" w:line="20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4" w:name="page125"/>
    <w:bookmarkEnd w:id="124"/>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In the event an Affiliate Borrower is incorporated under the laws of Ireland, evidence that entry into and performance of the Loan Documents by such Affiliate Borrower will not constitute a breach of Section 239 of the Irish Companies Act or a breach of Section 82 of the Irish Companies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Loan Parties agree that so long as any Lender has any Commitment hereunder or any amount payable by any Borrower hereunder remains unpaid (other than contingent indemnification and similar obligations not yet due and obligations that are Cash Collateralized):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The Parent will deliver to the Administrative Agent (and, upon receipt, the Administrative Agent will promptly deliver to each of the Lenders):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Annual Financial Statements</w:t>
      </w:r>
      <w:r>
        <w:rPr>
          <w:rFonts w:ascii="Times New Roman" w:cs="Times New Roman" w:eastAsia="Times New Roman" w:hAnsi="Times New Roman"/>
          <w:sz w:val="18"/>
          <w:szCs w:val="18"/>
          <w:color w:val="auto"/>
        </w:rPr>
        <w:t>. Within five Business Days after the date on which the Parent files such documents with the SEC, but in no event later than 120 days after the end of each fiscal year, a consolidated balance sheet of the Parent and its Consolidated Subsidiaries at the end of such fiscal year and the related consolidated statements of income and cash flows for such fiscal year, setting forth in each case in comparative form the figures for the previous fiscal year, all reported on in accordance with the rules and regulations of the SEC and audited by Deloitte &amp; Touche LLP or other independent public accountants of nationally recognized standing.</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Quarterly Financial Statements</w:t>
      </w:r>
      <w:r>
        <w:rPr>
          <w:rFonts w:ascii="Times New Roman" w:cs="Times New Roman" w:eastAsia="Times New Roman" w:hAnsi="Times New Roman"/>
          <w:sz w:val="17"/>
          <w:szCs w:val="17"/>
          <w:color w:val="auto"/>
        </w:rPr>
        <w:t>. Within five Business Days after the date on which the Parent files such documents with the SEC, but in no event later than 60 days after the end of each of the first three quarters of each fiscal year, a consolidated balance sheet of the Parent and its Consolidated Subsidiaries at the end of such quarter and the related consolidated statements of income and cash flows for such quarter and for the portion of the fiscal year ended at the end of such quarter, setting forth in each case in comparative form the figures for the corresponding quarter and the corresponding portion of the previous fiscal year, all certified by a Senior Financial Officer as fairly presenting in all material respects in accordance with GAAP (subject to normal year-end adjustments and the absence of footnotes) the financial position and results of operations of the Parent and the Consolidated Subsidiaries.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Compliance Certificates</w:t>
      </w:r>
      <w:r>
        <w:rPr>
          <w:rFonts w:ascii="Times New Roman" w:cs="Times New Roman" w:eastAsia="Times New Roman" w:hAnsi="Times New Roman"/>
          <w:sz w:val="18"/>
          <w:szCs w:val="18"/>
          <w:color w:val="auto"/>
        </w:rPr>
        <w:t xml:space="preserve">. Simultaneously with the delivery of each set of financial statements referred to in clauses (a) and (b) above, a certificate of a Senior Financial Officer (i) setting forth in reasonable detail the calculations required to establish whether the Parent was in compliance with the requirements of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on the date of such financial statements and (ii) stating whether there exists on the date of such certificate any Event of Default or Default and, if any such event then exists, setting forth the details thereof and the action which the Parent is taking or proposes to take with respect thereto.</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 of Default</w:t>
      </w:r>
      <w:r>
        <w:rPr>
          <w:rFonts w:ascii="Times New Roman" w:cs="Times New Roman" w:eastAsia="Times New Roman" w:hAnsi="Times New Roman"/>
          <w:sz w:val="18"/>
          <w:szCs w:val="18"/>
          <w:color w:val="auto"/>
        </w:rPr>
        <w:t>. Forthwith upon the occurrence of any Responsible Officer obtaining knowledge of any Event of Default or Default, a certificate of a Senior Financial Officer setting forth the details thereof and the action which the Parent is taking or proposes to take with respect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Shareholder Information</w:t>
      </w:r>
      <w:r>
        <w:rPr>
          <w:rFonts w:ascii="Times New Roman" w:cs="Times New Roman" w:eastAsia="Times New Roman" w:hAnsi="Times New Roman"/>
          <w:sz w:val="18"/>
          <w:szCs w:val="18"/>
          <w:color w:val="auto"/>
        </w:rPr>
        <w:t>. Promptly upon the mailing thereof to the shareholders of the Parent generally, copies of all financial statements, reports and proxy statements so mailed.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 Filings</w:t>
      </w:r>
      <w:r>
        <w:rPr>
          <w:rFonts w:ascii="Times New Roman" w:cs="Times New Roman" w:eastAsia="Times New Roman" w:hAnsi="Times New Roman"/>
          <w:sz w:val="18"/>
          <w:szCs w:val="18"/>
          <w:color w:val="auto"/>
        </w:rPr>
        <w:t>. Promptly upon the filing thereof, copies of all registration statements (other than the exhibits thereto and any registration statements on Form S-8 or its equivalent) and reports on Forms 10-K and 10-Q which the Parent shall have filed with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ERISA Notices</w:t>
      </w:r>
      <w:r>
        <w:rPr>
          <w:rFonts w:ascii="Times New Roman" w:cs="Times New Roman" w:eastAsia="Times New Roman" w:hAnsi="Times New Roman"/>
          <w:sz w:val="18"/>
          <w:szCs w:val="18"/>
          <w:color w:val="auto"/>
        </w:rPr>
        <w:t>. If and when the Parent or ERISA Affiliate or is required to give notice to the PBGC of any “reportable event” (as defined in Section 4043 of ERISA) with respect to any Plan which could reasonably be expected to constitute grounds for a distress or PBGC-initiated termination of such Plan under Title IV of ERISA, or knows that the plan administrator of any Plan has given or is required to give notice of any such reportable event, a copy of the notice of such reportable event given or required to be given to the PBGC.</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Notice of Other Material Events</w:t>
      </w:r>
      <w:r>
        <w:rPr>
          <w:rFonts w:ascii="Times New Roman" w:cs="Times New Roman" w:eastAsia="Times New Roman" w:hAnsi="Times New Roman"/>
          <w:sz w:val="18"/>
          <w:szCs w:val="18"/>
          <w:color w:val="auto"/>
        </w:rPr>
        <w:t>. Promptly upon obtaining knowledge thereof, notice of the commencement of any litigation or Governmental Authority proceeding affecting the Parent or any Subsidiary (including pursuant to any applicable Environmental Law) in which there is a reasonable possibility of an adverse decision which could reasonably be expected to have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Ratings</w:t>
      </w:r>
      <w:r>
        <w:rPr>
          <w:rFonts w:ascii="Times New Roman" w:cs="Times New Roman" w:eastAsia="Times New Roman" w:hAnsi="Times New Roman"/>
          <w:sz w:val="18"/>
          <w:szCs w:val="18"/>
          <w:color w:val="auto"/>
        </w:rPr>
        <w:t>. Promptly upon the public announcement thereof, notice of any downgrade in any credit rating (including the Public Debt Rating) with respect to the Company or the Parent by Moody’s, S&amp;P or Fitch.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Beneficial Ownership Certification Changes</w:t>
      </w:r>
      <w:r>
        <w:rPr>
          <w:rFonts w:ascii="Times New Roman" w:cs="Times New Roman" w:eastAsia="Times New Roman" w:hAnsi="Times New Roman"/>
          <w:sz w:val="18"/>
          <w:szCs w:val="18"/>
          <w:color w:val="auto"/>
        </w:rPr>
        <w:t>. Promptly after the occurrence thereof, notice to the applicable Lender of any change in the information provided in the Beneficial Ownership Certification delivered to such Lender that would result in a change to the list of beneficial owners identified in such certification.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KYC Information</w:t>
      </w:r>
      <w:r>
        <w:rPr>
          <w:rFonts w:ascii="Times New Roman" w:cs="Times New Roman" w:eastAsia="Times New Roman" w:hAnsi="Times New Roman"/>
          <w:sz w:val="18"/>
          <w:szCs w:val="18"/>
          <w:color w:val="auto"/>
        </w:rPr>
        <w:t>. 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Other Information</w:t>
      </w:r>
      <w:r>
        <w:rPr>
          <w:rFonts w:ascii="Times New Roman" w:cs="Times New Roman" w:eastAsia="Times New Roman" w:hAnsi="Times New Roman"/>
          <w:sz w:val="18"/>
          <w:szCs w:val="18"/>
          <w:color w:val="auto"/>
        </w:rPr>
        <w:t>. Promptly following any request therefor, such additional information regarding the financial position or business of the Loan Parties as the Administrative Agent, at the request of any Lender, may reasonably request (it being understood and agreed that no Loan Party nor any of its Subsidiaries shall be required to disclose or discuss, or permit the inspection, examination or making of extracts of, any records, books, information or account or other matter (i) in respect of which disclosure to the Administrative Agent, any Lender or their representatives is then prohibited by applicable law or any agreement binding on any Loan Party or any of its Subsidiaries, (ii) that is protected from disclosure by the attorney-client privilege or the attorney work product privilege or (iii) constitutes non-financial trade secrets or non-financial proprietary information).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such documents are posted on the Parent’s behalf on SyndTrak/IntraLinks/IntraAgency, on EDGAR (the Electronic Data Gathering, Analysis and Retrieval system of the SEC) or any successor thereto,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any filing on EDGAR or any successor thereto, the Parent shall notify (which may be by facsimile or electronic mail) the Administrative Agent and each Lender of the posting of any such documents. The Administrative Agent shall have no obligation to request the delivery or to maintain copies of the documents referred to above, and in any event shall have no responsibility to monitor compliance by the Parent with any such request for delivery, and each Lender shall be solely responsible for requesting delivery to it or maintaining its copies of such documents.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any financial materials and related certificates required to be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required to be delivered pursuant to the terms of such Section(s) on a day that is not a Business Day, the required date for such delivery shall be extended to the next succeeding Business Day.</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Parent shall, and shall cause each Subsidiary to, use the proceeds of the </w:t>
      </w:r>
      <w:r>
        <w:rPr>
          <w:rFonts w:ascii="Times New Roman" w:cs="Times New Roman" w:eastAsia="Times New Roman" w:hAnsi="Times New Roman"/>
          <w:sz w:val="18"/>
          <w:szCs w:val="18"/>
          <w:b w:val="1"/>
          <w:bCs w:val="1"/>
          <w:u w:val="single" w:color="auto"/>
          <w:color w:val="0000FF"/>
        </w:rPr>
        <w:t>Revolving</w:t>
      </w:r>
      <w:r>
        <w:rPr>
          <w:rFonts w:ascii="Times New Roman" w:cs="Times New Roman" w:eastAsia="Times New Roman" w:hAnsi="Times New Roman"/>
          <w:sz w:val="18"/>
          <w:szCs w:val="18"/>
          <w:color w:val="auto"/>
        </w:rPr>
        <w:t xml:space="preserve"> Loans solely </w:t>
      </w:r>
      <w:r>
        <w:rPr>
          <w:rFonts w:ascii="Times New Roman" w:cs="Times New Roman" w:eastAsia="Times New Roman" w:hAnsi="Times New Roman"/>
          <w:sz w:val="18"/>
          <w:szCs w:val="18"/>
          <w:b w:val="1"/>
          <w:bCs w:val="1"/>
          <w:u w:val="single" w:color="auto"/>
          <w:color w:val="0000FF"/>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working capital needs and for general corporate purposes of the Parent, each Borrower and the Subsidiaries. The Parent shall, and shall cause each Subsidiary to, use the proceeds of the Term Loans solely (i) to repay on the Amendment No. 1 Effective Date all indebtedness outstanding under the Existing Loan Agreement and (ii)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for working capital needs and for general corporate purposes of the Parent, each Borrower and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Subsidiaries. Without limiting the foregoing, the Parent shall not, and shall not permit any Subsidiary to, use the proceeds of any Credit Events, directly or indirectly, for the purpose, whether immediate, incidental or ultimate, of purchasing or carrying any “margin stock” in violation of Regulation U of the Board. In no event shall the proceeds of the Loans be utilized for any purpose that would constitute unlawful financial assistance within the meaning of sections 678 or 679 of the UK Companies Act 2006 or section 82 of the Irish Companies Act.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Loan Party shall (and the Company shall ensure that each Subsidiary will) ensure that no proceeds of the Loans will be used in a manner which would constitute a “use of proceeds in Switzerland” as interpreted by Swiss tax authorities for purposes of Swiss Withholding Tax, unless a written confirmation or countersigned tax ruling application from the Swiss Federal Tax Administration has been obtained (in form and substance satisfactory to the Administrative Agent) confirming that such use does not result in the Loan qualifying as a Swiss financing for Swiss Withholding Tax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Compliance with Contractual Obligations and Laws</w:t>
      </w:r>
      <w:r>
        <w:rPr>
          <w:rFonts w:ascii="Times New Roman" w:cs="Times New Roman" w:eastAsia="Times New Roman" w:hAnsi="Times New Roman"/>
          <w:sz w:val="18"/>
          <w:szCs w:val="18"/>
          <w:color w:val="auto"/>
        </w:rPr>
        <w:t>. The Parent shall, and shall cause each Subsidiary to, comply with all applicable laws and regulations of any Governmental Authority having jurisdiction over it or its business the non-compliance with which would reasonably be expected to have a Material Adverse Effect. Without limiting the foregoing, each Borrower will maintain in effect and enforce policies and procedures designed to promote and achieve compliance by such Borrower, its Subsidiaries and their respective directors, officers, employees and agents with applicable Anti-Corruption Laws and applicable Sanctions in all material respects.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Parent shall, and shall cause each Subsidiary to, maintain, with financially sound and reputable insurers (as determined at the time the relevant coverage is placed or renewed in the good faith judgment of the Parent or relevant Subsidiary) and/or pursuant to a self-insurance program, insurance with respect to its properties and business against loss or damage of the kinds customarily insured against by Persons engaged in the same or similar businesses and covering similar properties in the same or similar localities, of such types, with such deductibles, covering such risks and in such amounts as are customarily carried under similar circumstances by such other Persons, except where the failure to do so could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7" w:name="page128"/>
    <w:bookmarkEnd w:id="1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Ownership of Borrowers</w:t>
      </w:r>
      <w:r>
        <w:rPr>
          <w:rFonts w:ascii="Times New Roman" w:cs="Times New Roman" w:eastAsia="Times New Roman" w:hAnsi="Times New Roman"/>
          <w:sz w:val="18"/>
          <w:szCs w:val="18"/>
          <w:color w:val="auto"/>
        </w:rPr>
        <w:t xml:space="preserve">. The Parent shall at all times own and control, directly or indirectly, all of the equity interests (other than directors’ qualifying shares and other than as may be required by law) of each Borrower (unless, in the case of any Borrower other than the Company, such Borrower and has ceased to be a party hereto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Parent shall, and shall cause each Subsidiary to, pay or make provision for the payment of all United States federal and material foreign, state and other taxes which have become due pursuant to such returns or pursuant to any assessment in respect thereof received by the Parent or any Subsidiary, except (a) taxes that are being contested in good faith and for which adequate reserves have been provided and/or (b) where the failure to so pay could not reasonably be expected to have a Material Adverse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Swiss Non-Bank Rules</w:t>
      </w:r>
      <w:r>
        <w:rPr>
          <w:rFonts w:ascii="Times New Roman" w:cs="Times New Roman" w:eastAsia="Times New Roman" w:hAnsi="Times New Roman"/>
          <w:sz w:val="18"/>
          <w:szCs w:val="18"/>
          <w:color w:val="auto"/>
        </w:rPr>
        <w:t xml:space="preserve">. Each Swiss Loan Party shall at all times comply with the Swiss Twenty Non-Bank Rule,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Swiss Loan Party shall not be in breach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if non-compliance arises solely as a consequence of (a) an inaccurate representation and warranty by a Lender pursuant to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(b) any assignment or participation by a Lender to a Person that is not a Swiss Qualifying Lender without the consent of the Company; or (c) any Lender ceasing to be a Swiss Qualifying Lender so long as commencing promptly after the Company obtains knowledge of such event, the Company and such Swiss Loan Party take all reasonable steps to cause the number of creditors of such Swiss Loan Party relevant under the Swiss Twenty Non-Bank Rule to be not more than 20.</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Loan Party Location</w:t>
      </w:r>
      <w:r>
        <w:rPr>
          <w:rFonts w:ascii="Times New Roman" w:cs="Times New Roman" w:eastAsia="Times New Roman" w:hAnsi="Times New Roman"/>
          <w:sz w:val="18"/>
          <w:szCs w:val="18"/>
          <w:color w:val="auto"/>
        </w:rPr>
        <w:t>. The Parent will cause (i) each Borrower and each Material Subsidiary incorporated or organized in an EU jurisdiction to cause its centre of main interest (as that term is used in Article 3(1) of the Insolvency Regulation) to be situated solely in its jurisdiction of incorporation and not to have an establishment (as that term is used in Article 2(10) of the Insolvency Regulation) situated outside its jurisdiction of incorporation or organization, as applicable and (ii) each Borrower and each Material Subsidiary incorporated in England and Wales to cause its centre of main interest (as that term is used in Article 3(1) of the Insolvency Regulation) to be situated solely in England and Wales and not to have an establishment (as that term is used in Article 2(10) of the Insolvency Regulation) situated outside its jurisdiction of incorporation. The Parent will cause its centre of main interest (as that term is used in Article 3(1) of the Insolvency Regulation) to be situated either in England and Wales or Ireland and not to have an establishment (as that term is used in Article 2(10) of the Insolvency Regulation) situated in any other jurisdiction. The Parent shall promptly notify the Administrative Agent by notice in writing upon it becoming aware that its centre of main interest (as that term is used in Article 3(1) of the Insolvency Regulation) is situated in Ireland or it has an establishment (as that term is used in Article 2(10) of the Insolvency Regulation) in Ireland.</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Tax Residence</w:t>
      </w:r>
      <w:r>
        <w:rPr>
          <w:rFonts w:ascii="Times New Roman" w:cs="Times New Roman" w:eastAsia="Times New Roman" w:hAnsi="Times New Roman"/>
          <w:sz w:val="18"/>
          <w:szCs w:val="18"/>
          <w:color w:val="auto"/>
        </w:rPr>
        <w:t xml:space="preserve">. No Loan Party may change its residence for Tax purposes without the prior written consent of the Required Lenders,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may change its residence from time to time for Tax purposes from the United Kingdom to Ireland or from Ireland to the United Kingdom.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Service of Process Agent</w:t>
      </w:r>
      <w:r>
        <w:rPr>
          <w:rFonts w:ascii="Times New Roman" w:cs="Times New Roman" w:eastAsia="Times New Roman" w:hAnsi="Times New Roman"/>
          <w:sz w:val="18"/>
          <w:szCs w:val="18"/>
          <w:color w:val="auto"/>
        </w:rPr>
        <w:t>. To the extent that the Company wishes to terminate the Initial Affiliate Borrower as a Borrower hereunder, the Company will provide to the Administrative Agent prior to, or substantially contemporaneously with, such termination a letter from the Service of Process Agent described in clause (ii) of the definition of “Service of Process Agent” (or any other Service of Process Agent acceptable to the Administrative Agent), and such letter will confirm such Service of Process Agent’s consent to its appointment by the Parent, the Company and each Affiliate Borrower as their agent to receive service of process as specified in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Loan Parties agree that so long as any Lender has any Commitment hereunder or any amount payable by any Borrower hereunder remains unpaid (other than contingent indemnification and similar obligations not yet due and obligations that are Cash Collateralized):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Maximum Net Leverage Ratio</w:t>
      </w:r>
      <w:r>
        <w:rPr>
          <w:rFonts w:ascii="Times New Roman" w:cs="Times New Roman" w:eastAsia="Times New Roman" w:hAnsi="Times New Roman"/>
          <w:sz w:val="18"/>
          <w:szCs w:val="18"/>
          <w:color w:val="auto"/>
        </w:rPr>
        <w:t xml:space="preserve">. The Parent shall not permit the Net Leverage Ratio on the last day of any period of four consecutive fiscal quarters of the Parent to exceed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may, by written notice to the Administrative Agent for distribution to the Lenders and not more than two times during any five consecutive year term of this Agreement, elect to increase the maximum Net Leverage Ratio permitted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4.25 to 1.00 as of the end of each of the first four (4) periods of four consecutive fiscal quarters ending on or after the date of a Permitted Acquisition, if the aggregate consideration paid or to be paid in respect of such Permitted Acquisition is equal to or greater than $ 250,000,000 (any such four consecutive periods of four consecutive fiscal quarters following such a Permitted Acquisition, an “</w:t>
      </w:r>
      <w:r>
        <w:rPr>
          <w:rFonts w:ascii="Times New Roman" w:cs="Times New Roman" w:eastAsia="Times New Roman" w:hAnsi="Times New Roman"/>
          <w:sz w:val="18"/>
          <w:szCs w:val="18"/>
          <w:u w:val="single" w:color="auto"/>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Covenant Period</w:t>
      </w:r>
      <w:r>
        <w:rPr>
          <w:rFonts w:ascii="Times New Roman" w:cs="Times New Roman" w:eastAsia="Times New Roman" w:hAnsi="Times New Roman"/>
          <w:sz w:val="18"/>
          <w:szCs w:val="18"/>
          <w:color w:val="auto"/>
        </w:rPr>
        <w:t xml:space="preserve">”) and (ii) in connection with any such election, the Company shall have delivered to the Administrative Agent, at least five business days prior to consummating such Acquisition, notice of such Acquisition and pro forma calculations (in form and detail reasonably satisfactory to the Administrative Agent) demonstrating compliance with the maximum Net Leverage Ratio required by the foregoing clause (i) (it being understood and agreed that (A) the Company may not elect an Adjusted Covenant Period for at least two (2) fiscal quarters following the end of an Adjusted Covenant Period before a new Adjusted Covenant Period is available again pursuant to the foregoing clause (i) and (B) at the end of an Adjusted Covenant Period, the maximum Net Leverage Ratio permitted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revert to 3.75 to 1.00 as of the end of each subsequent fiscal quarter unless and until another Adjusted Covenant Period is elected pursuant to the terms and conditions described above).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Minimum Interest Coverage Ratio</w:t>
      </w:r>
      <w:r>
        <w:rPr>
          <w:rFonts w:ascii="Times New Roman" w:cs="Times New Roman" w:eastAsia="Times New Roman" w:hAnsi="Times New Roman"/>
          <w:sz w:val="18"/>
          <w:szCs w:val="18"/>
          <w:color w:val="auto"/>
        </w:rPr>
        <w:t>. The Parent shall not permit the Interest Coverage Ratio for any period of four consecutive fiscal quarters of the Parent ending on the last day of a fiscal quarter of the Parent to be less than 3.00 to 1.00.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xml:space="preserve"> Neither the Parent nor any Material Subsidiary will create, assume or suffer to exist any Lien on any asset now owned or hereafter acquired by any of them, except: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any Lien existing on the date of this Agreement and set forth in </w:t>
      </w:r>
      <w:r>
        <w:rPr>
          <w:rFonts w:ascii="Times New Roman" w:cs="Times New Roman" w:eastAsia="Times New Roman" w:hAnsi="Times New Roman"/>
          <w:sz w:val="18"/>
          <w:szCs w:val="18"/>
          <w:u w:val="single" w:color="auto"/>
          <w:color w:val="auto"/>
        </w:rPr>
        <w:t>Schedule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Liens imposed by law for taxes, assessments or charges of any Governmental Authority for claims which are not overdue for a period of more than 60 days, or to the extent that such Lien is being contested in good faith by appropriate actions and adequate reserves in accordance with GAAP are being maintained therefor, provided that no notice of Lien has been filed or recorded under the Code;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statutory Liens of landlords and Liens of carriers, warehousemen, mechanics, materialmen and other Liens imposed by law or created in the ordinary course of business, provided that (i) the obligation secured by the applicable Lien has not been delinquent for more than 90 days or remains payable without penalty and, in each case, the property subject to such Lien is not subject to forfeiture as a result of such Lien or (ii) the applicable Lien is being contested in good faith by appropriate actions, which proceedings have the effect of preventing the forfeiture or sale of the property subject thereto;</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Liens (other than any Lien imposed under ERISA) consisting of pledges or deposits in the ordinary course of business (i) required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to secure obligations with respect to casualty or liability insurance maintained by the Parent or any of its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Liens on property of the Parent or any Subsidiary securing (i) the non-delinquent performance of bids, trade contracts (other than for borrowed money), leases or statutory obligations, (ii) surety bonds (excluding appeal bonds and other bonds posted in connection with court proceedings or judgments) and (iii) other non-delinquent obligations of a like nature (including those to secure health, safety and environmental obligations) in each case incurred in the ordinary course of business;</w:t>
      </w:r>
    </w:p>
    <w:p>
      <w:pPr>
        <w:spacing w:after="0" w:line="18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 xml:space="preserve">(f)            Liens consisting of judgment or judicial attachment liens and Liens securing contingent obligations on appeal bonds and other bonds posted in connection with court proceedings or judgments, to the extent that such Liens do not constitute an Event of Default under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easements, rights-of-way, restrictions, encroachments, protrusions and other similar encumbrances on real property which in the aggregate do not materially detract from the value of such property or materially interfere with the ordinary conduct of the businesses of the Parent and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Liens securing obligations in respect of capital leases on assets subject to such leases, provided that such leases are otherwise permitted hereunder;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Liens arising solely by virtue of any statutory or common law provision relating to bankers’ liens, rights of set-off or similar rights and remedies (or, with respect to accounts located in Luxembourg, contractual provisions) as to deposit accounts or other funds maintained with a creditor depository institution and/or Liens arising in the ordinary course of business with respect to deposit accounts relating to intercompany cash pooling, interest set-off and/or sweeping arrangements; provided that (i) such deposit account is not a dedicated cash collateral account and is not subject to restrictions against access by the Parent or the applicable Subsidiary in excess of those set forth by regulations promulgated by the Board and (ii) such deposit account is not intended by the Parent or any Subsidiary to provide collateral to the depository institution;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Liens arising in connection with Securitization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(k)           Liens on property of any Foreign Subsidiary securing Debt of such Foreign Subsidiary and/or any other Foreign Subsidiary that is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any Lien existing on property (and the proceeds thereof) existing at the time of its acquisition (by merger or otherwise) or existing on the property of any Person at the time such Person becomes a Subsidiary, in each case after the date hereof (other than any Lien on the equity interests of any Person that becomes a Subsidiary); provided that (i) such Lien was not created in contemplation of such acquisition or such Person becoming a Subsidiary; and (ii) the Debt or other obligation secured thereby is not prohibited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firstLine="656"/>
        <w:spacing w:after="0" w:line="282" w:lineRule="auto"/>
        <w:tabs>
          <w:tab w:leader="none" w:pos="9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Liens arising out of the conditional sale, title retention, consignment or similar arrangements for the sale of goods entered into by the Parent or any of its Subsidiaries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Liens solely on cash earnest money deposits made by the Parent or any Subsidiary in connection with any letter of intent or purchase agreement permitted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          Liens securing reimbursement obligations incurred in the ordinary course of business for trade letters of credit or banker’s acceptances, which Liens encumber only goods, or documents of title covering goods, that are purchased in transactions for which such letters of credit or banker’s acceptances are issued;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Liens incurred in the ordinary course of business in favor of customs or revenue authorities arising as a matter of law to secure payment of customs duties in connection with the importation of goods;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           leases, subleases, licenses or sublicenses (including, in the case of licenses and sublicenses, of intellectual property) granted to others in the ordinary course of business that do not materially interfere with the ordinary conduct of the business of the Parent or any Subsidiary and do not secure any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Liens of a collecting bank arising under Section 4-210 of the Uniform Commercial Code on items in the ordinary course of collection;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options, put and call arrangements, rights of first refusal and similar rights relating to investments in joint ventures, partnerships and other similar investments not prohibited by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            rights of first refusal, put, call and similar rights arising in connection with repurchase agreements that are not prohibited by this Agreement;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any Lien arising under any Loan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           any Lien on an asset arising out of an agreement to dispose of such asset, to the extent such disposition is not prohibited by this Agreement and such Lien does not secure any other obligation;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          any extension, renewal or substitution of or for any Lien described in clause (a) or (l) above, in each case (A) to the extent that the amount of the Debt or other obligation secured by the applicable Lien shall not exceed the amount of the Debt or other obligation existing immediately prior to such extension, renewal or substitution and (B) so long as the scope of the property subject to such Lien is not increased;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Liens relating to purchase orders and other agreements entered into with customers of the Parent or any Subsidiary in the ordinary course of business;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           receipt of progress payments and advances from customers in the ordinary course of business to the extent the same create Liens on the related inventory and proceeds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Liens on assets pledged in respect of defeased or discharged indebtedness;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(aa)         any Lien on any asset securing Debt incurred or assumed for the purpose of financing an amount not to exceed all or any part of the cost of acquiring, constructing, repairing, replacing or improving such asset, provided that such Lien attaches to such asset concurrently with or within 270 days after (A) the acquisition of such asset or (B) the later of (x) the completion of such construction, repair, replacement or improvement of such asset and (y) the date of commencement of the commercial operation of the asset constructed, repaired, replaced or improved, as applicable; 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(bb)         in addition to Liens permitted by clauses (a) through (aa) above, any other Lien, to the extent that the outstanding principal amount of the obligations secured thereby, expressed as a Dollar Amount, at the time of creation thereof, in the aggregate with the outstanding principal amount of all other Debt and other obligations then secured pursuant to this clause (bb), does not exceed the greater of (i) $375,000,000 and (ii) 8.5% of the Parent’s Consolidated Total Assets as shown on the then most recent consolidated financial statements of the Parent delivered to 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prior to such initial delivery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lien permitted above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on any property may extend to identifiable proceeds of such property.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Consolidations, Mergers and Sales of Assets; Acquisitions.</w:t>
      </w:r>
      <w:r>
        <w:rPr>
          <w:rFonts w:ascii="Times New Roman" w:cs="Times New Roman" w:eastAsia="Times New Roman" w:hAnsi="Times New Roman"/>
          <w:sz w:val="18"/>
          <w:szCs w:val="18"/>
          <w:color w:val="auto"/>
        </w:rPr>
        <w:t xml:space="preserve"> No Loan Party will merge or consolidate with any other non-affiliated Person or sell, lease, transfer or otherwise dispose (excluding, for the avoidance of doubt, the creation of any Lien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of all or substantially all of its assets as an entirety to any other non-affiliated Person unless: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 the case of a merger or consolidation, the Person surviving such transaction is the applicable Loan Party;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immediately after giving effect to any such action, no Event of Default or Default shall have occurred and be continuing.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Parent will not, and will not permit any Subsidiary to, make any Acquisition other than Permitted Acquisitions.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xml:space="preserve"> The Parent will not permit any Material Subsidiary (other than the Company) to create, incur, assume or suffer to exist any Debt except: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Debt arising under Securitization Transactions in an aggregate amount outstanding not exceeding $250,000,000 at any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Debt existing on the Effective Date and identified on </w:t>
      </w:r>
      <w:r>
        <w:rPr>
          <w:rFonts w:ascii="Times New Roman" w:cs="Times New Roman" w:eastAsia="Times New Roman" w:hAnsi="Times New Roman"/>
          <w:sz w:val="18"/>
          <w:szCs w:val="18"/>
          <w:u w:val="single" w:color="auto"/>
          <w:color w:val="auto"/>
        </w:rPr>
        <w:t>Schedule 6.05</w:t>
      </w:r>
      <w:r>
        <w:rPr>
          <w:rFonts w:ascii="Times New Roman" w:cs="Times New Roman" w:eastAsia="Times New Roman" w:hAnsi="Times New Roman"/>
          <w:sz w:val="18"/>
          <w:szCs w:val="18"/>
          <w:color w:val="auto"/>
        </w:rPr>
        <w:t xml:space="preserve"> and any refinancing, extension or renewal thereof or of any Debt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in each case, to the extent the principal amount thereof is not increased (including extensions, renewals or replacements of guarantees in respect of such Debt as so refinanced, extended or renewed);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(i) Debt of a Subsidiary owed to the Parent or another Subsidiary; and (ii) Guarantees by a Subsidiary of Debt of the Parent or another Subsidiary to the extent this Agreement does not prohibit the Parent’s or such other Subsidiary’s incurrence of such Debt;</w:t>
      </w:r>
    </w:p>
    <w:p>
      <w:pPr>
        <w:spacing w:after="0" w:line="162" w:lineRule="exact"/>
        <w:rPr>
          <w:sz w:val="20"/>
          <w:szCs w:val="20"/>
          <w:color w:val="auto"/>
        </w:rPr>
      </w:pPr>
    </w:p>
    <w:p>
      <w:pPr>
        <w:ind w:left="920" w:hanging="264"/>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Debt incurred as an account party in respect of any trade letter of credit;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deferred compensation owed to employees incurred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to the extent constituting Debt, obligations with respect to deferred compensation, retiree healthcare medical benefits or other similar employment arrangements incurred in connection with acquisitions or dispositions permitted under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to the extent constituting Debt, obligations incurred in respect of cash management services, netting services, overdraft protection and similar arrangements and hedging transactions with a term not exceeding two years, in each case in the ordinary course of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Debt constituting reimbursement obligations with respect to letters of credit issued in respect of workers’ compensation claims, health, disability or other employee benefits or property, casualty or liability insurance or self-insurance or other reimbursement-type obligations relating to regarding workers’ compensation claims incurred in the ordinary course of business;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obligations in respect of performance and surety, stay, customs, appeal and performance bonds, performance and completion guarantees and similar instruments or obligations in respect of letters of credit in respect thereof, in each case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Debt that has maturities and other terms, and is subordinated to the Obligations in a manner, satisfactory to the Required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Debt arising under capital leases in an aggregate principal amount not to exceed $50,000,000 outstanding at any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Debt of Affiliate Borrowers arising under the Loan Documents;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          Debt of any Subsidiary incurred to finance the acquisition, construction, repair, replacement, lease or improvement of any fixed or capital assets and any Debt assumed in connection with the acquisition of any such assets or secured by a Lien on any such assets prior to the acquisition thereof, and amendments, modifications, extensions, refinancings, renewals and replacements of any such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Debt is initially incurred prior to or within 270 days after such acquisition or the completion of such construction, repair, replacement, lease or improvement and (ii) the aggregate outstanding principal amount of Debt permitted by this clause (m) shall not exceed $50,000,000 at any time outstanding;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           other Debt in an aggregate principal amount not to exceed the greater of (i) $500,000,000 and (ii) 11.5% of the Parent’s Consolidated Total Assets as shown on the then most recent consolidated financial statements of the Parent delivered to 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prior to such initial delivery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outstanding at any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OFAC and 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Parent shall not, and shall ensure that none of the Borrowers or its other controlled affiliated companies will, directly or, to the Parent’s Knowledge, indirectly use the proceeds of Credit Events hereunder:</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in furtherance of an offer, payment, promise to pay, or authorization of the payment or giving of money, or anything else of value, to any Person in violation of any Anti-Corruption Laws;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to fund or finance any activities, business or transaction of or with any Designated Person or in any Sanctioned Country, in either case, to the extent such activities, business or transaction would violate Sanctions (assuming, for purposes of this covenant only, that each Affiliate Borrower were a Domestic Subsidiary for purposes of determining its compliance with Sanctions); or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in any other manner that will result in liability to the Administrative Agent or any Lender under any applicable Sanctions or a breach by the Administrative Agent or any Lenders of any applicable Sanctions.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The foregoing clause (a) of this Section 6.06 will not apply to any party hereto to which (x) the Blocking Law applies, if and to the extent that such representations are or would be unenforceable by or in respect of that party pursuant to, or would otherwise result in a breach and/or violation of, any provision of the Blocking Law or (y) the UKPTIL applies, if and to the extent that such representations are or would be unenforceable by or in respect of that party pursuant to, or would otherwise result in a breach and/or violation of any provision of, the Blocking Law or the UKPTIL,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Parent shall not, and shall ensure that none of the Borrowers or its other controlled affiliated companies will, use funds or assets obtained directly or, to the Parent’s Knowledge, indirectly from transactions with or from (i) Designated Persons or (ii) any Sanctioned Country, in either case, in violation of Sanctions (assuming, for purposes of this covenant only, that each Affiliate Borrower were a Domestic Subsidiary for purposes of determining its compliance with Sanctions), to pay or repay any amount owing to the Administrative Agent or any Lender under any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Parent shall, and shall ensure that each Borrower and each of its other controlled affiliated companies will: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conduct its business in compliance with Anti-Corruption Laws in all material respects;</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maintain policies and procedures designed to promote and achieve compliance in all material respects with Anti-Corruption Laws;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have reasonable controls and safeguards in place designed to prevent any proceeds of any Credit Event hereunder from being used contrary to the representations and undertakings set forth herein.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Parent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Parent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one or more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occurred and be continuing: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any Borrower shall fail to pay within two (2) Business Days of the date due any principal of any Loan; or any Borrower shall fail to pay within five days of the date due any interest on any Loan, any fee or any other amount payable hereunder;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any Loan Party shall fail to observe or perform any applicable covenant contained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Section 5.05 or any of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inclusive;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any Loan Party shall fail to observe or perform any other covenant or agreement contained in this Agreement for 30 days after the earlier of</w:t>
      </w:r>
    </w:p>
    <w:p>
      <w:pPr>
        <w:spacing w:after="0" w:line="39" w:lineRule="exact"/>
        <w:rPr>
          <w:sz w:val="20"/>
          <w:szCs w:val="20"/>
          <w:color w:val="auto"/>
        </w:rPr>
      </w:pPr>
    </w:p>
    <w:p>
      <w:pPr>
        <w:jc w:val="both"/>
        <w:ind w:firstLine="8"/>
        <w:spacing w:after="0" w:line="255" w:lineRule="auto"/>
        <w:tabs>
          <w:tab w:leader="none" w:pos="2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written notice thereof has been given to the Parent by the Administrative Agent at the request of any Lender or (ii) if the Parent fails to promptly notify the Administrative Agent and the Lenders of such failure as required by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the date on which a Senior Financial Officer had actual knowledge of such failure;</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any representation, warranty, certification or statement made by any of the Loan Parties in this Agreement or in any certificate, financial statement or other document delivered pursuant to this Agreement shall prove to have been incorrect in any material respect when made;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the Parent or any Subsidiary (i) fails to make any payment of Material Financial Obligations when due (whether by scheduled maturity, required prepayment, acceleration, demand or otherwise, but after giving effect to any applicable grace or cure period); or (ii) fails to perform or observe any other condition or covenant, or any other event shall occur or condition exist, under one or more agreements or instruments relating to Material Financial Obligations, if the effect of such failure, event or condition is to cause (or require), or to permit the holder or holders of such Material Financial Obligations (or the beneficiary or beneficiaries of such Material Financial Obligations (or a trustee or agent on behalf of such holder or holders or beneficiary or beneficiaries)) to cause (or require), such Material Financial Obligations to become due and payable (or to be purchased, repurchased, defeased or Cash Collateralized) prior to the stated maturity thereof; provided that any such failure relating to a Material Financial Obligation that was the Debt of a Person acquired by the Parent or any of its Subsidiaries and which was assumed by the Parent or such Subsidiary as part of such acquisition shall not constitute an Event of Default or Default pursuant to this clause (e) so long as such Material Financial Obligation is repaid in full or such failure is cured within 30 days of such acquisition. Notwithstanding the foregoing, none of the following events shall constitute an Event of Default under this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jc w:val="both"/>
        <w:ind w:firstLine="8"/>
        <w:spacing w:after="0" w:line="251" w:lineRule="auto"/>
        <w:tabs>
          <w:tab w:leader="none" w:pos="265"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unless such event results in the acceleration of Material Financial Obligations: (i) any secured Debt becoming due as a result of the voluntary sale or transfer of the property or assets securing such Debt or a casualty, condemnation or similar event, (ii) any change of control offer made within 60 days after an acquisition with respect to, and effectuated pursuant to, Debt of an acquired business, (iii) any default under Debt of an acquired business if such default is cured, or such Debt is repaid, within 60 days after the acquisition of such business so long as no other creditor accelerates or commences any kind of enforcement action in respect of such Debt, (iv) mandatory prepayment requirements arising from the receipt of net cash proceeds from debt, dispositions (including casualty losses, governmental takings and other involuntary dispositions), equity issues or excess cash flow, (v) prepayments required by the terms of Debt as a result of customary provisions in respect of illegality, replacement of lenders and gross-up provisions for Taxes, increased costs, capital adequacy and other similar customary requirements and (vi) any voluntary prepayment, redemption or other satisfaction of Debt that becomes mandatory in accordance with the terms of such Debt solely as the result of the Parent or any Subsidiary delivering a prepayment, redemption or similar notice with respect to such prepayment, redemption or other satisfaction;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the Parent or any Material Subsidiary shall commence a voluntary case or other proceeding seeking liquidation, examinership, reorganization or other relief (including, in the case of any Luxembourg Person, any Luxembourg Relief) with respect to itself, its assets or its debts under any bankruptcy, insolvency or other similar law now or hereafter in effect or seeking the appointment of a trustee, receiver, liquidator, administrator, custodian, examiner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commence or consent to a proceeding for approval of a plan of arrangement with respect to its debts or shall fail generally to pay its debts as they become due or shall take any corporate action to authorize any of the foregoing; or any of the shareholders of a Material Subsidiary shall take any action to initiate any of the foregoing with respect to such Material Subsidiary;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an involuntary case or other proceeding shall be commenced against the Parent or any Material Subsidiary seeking liquidation, examinership, reorganization or other relief (including, in the case of any Luxembourg Person, any Luxembourg Relief) with respect to it, its assets or its debts under any bankruptcy, insolvency or other similar law now or hereafter in effect or seeking the appointment of a trustee, receiver, liquidator, administrator, custodian, examiner or other similar official of it or any substantial part of its property, or any of the Parent’s shareholders shall take any action to initiate a proceeding of the type described in clause (f) above with respect to the Parent, and such involuntary case or other proceeding shall remain undismissed and unstayed for a period of 60 days; or an order for relief shall be entered against the Parent or any Material Subsidiary under the federal bankruptcy laws or similar bankruptcy or insolvency laws of any other applicable jurisdiction as now or hereafter in effect; or a UK Bankruptcy Event occurs with respect to any UK Relevant Entity;</w:t>
      </w:r>
    </w:p>
    <w:p>
      <w:pPr>
        <w:spacing w:after="0" w:line="19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(h)           without prejudice to any other provisions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(i) any of the following occurs in respect of a Swiss Loan Party: the occurrence of any event or procedure in relation to a Swiss Borrower which is analogous to those listed in the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above including,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hälftiger Kapitalverlust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Überschuldung</w:t>
      </w:r>
      <w:r>
        <w:rPr>
          <w:rFonts w:ascii="Times New Roman" w:cs="Times New Roman" w:eastAsia="Times New Roman" w:hAnsi="Times New Roman"/>
          <w:sz w:val="17"/>
          <w:szCs w:val="17"/>
          <w:color w:val="auto"/>
        </w:rPr>
        <w:t>” within the meaning of art. 725a and 725b and art. 820 of the Swiss Federal Code of Obligations (CO) (half of the share capital and the legal reserves not covered; over-indebtedness, i.e. liabilities not covered by the assets), duty of notifying the court due to over-indebtedness or insolvency pursuant to art. 725b and art. 820 CO, “</w:t>
      </w:r>
      <w:r>
        <w:rPr>
          <w:rFonts w:ascii="Times New Roman" w:cs="Times New Roman" w:eastAsia="Times New Roman" w:hAnsi="Times New Roman"/>
          <w:sz w:val="17"/>
          <w:szCs w:val="17"/>
          <w:i w:val="1"/>
          <w:iCs w:val="1"/>
          <w:color w:val="auto"/>
        </w:rPr>
        <w:t>Konkurseröffnung und Konkurs</w:t>
      </w:r>
      <w:r>
        <w:rPr>
          <w:rFonts w:ascii="Times New Roman" w:cs="Times New Roman" w:eastAsia="Times New Roman" w:hAnsi="Times New Roman"/>
          <w:sz w:val="17"/>
          <w:szCs w:val="17"/>
          <w:color w:val="auto"/>
        </w:rPr>
        <w:t>” (declaration of bankruptcy and bankruptcy), “</w:t>
      </w:r>
      <w:r>
        <w:rPr>
          <w:rFonts w:ascii="Times New Roman" w:cs="Times New Roman" w:eastAsia="Times New Roman" w:hAnsi="Times New Roman"/>
          <w:sz w:val="17"/>
          <w:szCs w:val="17"/>
          <w:i w:val="1"/>
          <w:iCs w:val="1"/>
          <w:color w:val="auto"/>
        </w:rPr>
        <w:t>Nachlassverfahren</w:t>
      </w:r>
      <w:r>
        <w:rPr>
          <w:rFonts w:ascii="Times New Roman" w:cs="Times New Roman" w:eastAsia="Times New Roman" w:hAnsi="Times New Roman"/>
          <w:sz w:val="17"/>
          <w:szCs w:val="17"/>
          <w:color w:val="auto"/>
        </w:rPr>
        <w:t>” (composition with creditors) including in particular “</w:t>
      </w:r>
      <w:r>
        <w:rPr>
          <w:rFonts w:ascii="Times New Roman" w:cs="Times New Roman" w:eastAsia="Times New Roman" w:hAnsi="Times New Roman"/>
          <w:sz w:val="17"/>
          <w:szCs w:val="17"/>
          <w:i w:val="1"/>
          <w:iCs w:val="1"/>
          <w:color w:val="auto"/>
        </w:rPr>
        <w:t>Nachlassstundung</w:t>
      </w:r>
      <w:r>
        <w:rPr>
          <w:rFonts w:ascii="Times New Roman" w:cs="Times New Roman" w:eastAsia="Times New Roman" w:hAnsi="Times New Roman"/>
          <w:sz w:val="17"/>
          <w:szCs w:val="17"/>
          <w:color w:val="auto"/>
        </w:rPr>
        <w:t>” (moratorium) and proceedings regarding “</w:t>
      </w:r>
      <w:r>
        <w:rPr>
          <w:rFonts w:ascii="Times New Roman" w:cs="Times New Roman" w:eastAsia="Times New Roman" w:hAnsi="Times New Roman"/>
          <w:sz w:val="17"/>
          <w:szCs w:val="17"/>
          <w:i w:val="1"/>
          <w:iCs w:val="1"/>
          <w:color w:val="auto"/>
        </w:rPr>
        <w:t>Nachlassvertrag</w:t>
      </w:r>
      <w:r>
        <w:rPr>
          <w:rFonts w:ascii="Times New Roman" w:cs="Times New Roman" w:eastAsia="Times New Roman" w:hAnsi="Times New Roman"/>
          <w:sz w:val="17"/>
          <w:szCs w:val="17"/>
          <w:color w:val="auto"/>
        </w:rPr>
        <w:t>” (composition agreements) and “</w:t>
      </w:r>
      <w:r>
        <w:rPr>
          <w:rFonts w:ascii="Times New Roman" w:cs="Times New Roman" w:eastAsia="Times New Roman" w:hAnsi="Times New Roman"/>
          <w:sz w:val="17"/>
          <w:szCs w:val="17"/>
          <w:i w:val="1"/>
          <w:iCs w:val="1"/>
          <w:color w:val="auto"/>
        </w:rPr>
        <w:t>Notstundung</w:t>
      </w:r>
      <w:r>
        <w:rPr>
          <w:rFonts w:ascii="Times New Roman" w:cs="Times New Roman" w:eastAsia="Times New Roman" w:hAnsi="Times New Roman"/>
          <w:sz w:val="17"/>
          <w:szCs w:val="17"/>
          <w:color w:val="auto"/>
        </w:rPr>
        <w:t>” (emergency moratorium), proceedings regarding “</w:t>
      </w:r>
      <w:r>
        <w:rPr>
          <w:rFonts w:ascii="Times New Roman" w:cs="Times New Roman" w:eastAsia="Times New Roman" w:hAnsi="Times New Roman"/>
          <w:sz w:val="17"/>
          <w:szCs w:val="17"/>
          <w:i w:val="1"/>
          <w:iCs w:val="1"/>
          <w:color w:val="auto"/>
        </w:rPr>
        <w:t>Fälligkeitsaufschub</w:t>
      </w:r>
      <w:r>
        <w:rPr>
          <w:rFonts w:ascii="Times New Roman" w:cs="Times New Roman" w:eastAsia="Times New Roman" w:hAnsi="Times New Roman"/>
          <w:sz w:val="17"/>
          <w:szCs w:val="17"/>
          <w:color w:val="auto"/>
        </w:rPr>
        <w:t>” (postponement of maturity), notification of the judge of a capital loss or over-indebtedness under these provisions and “</w:t>
      </w:r>
      <w:r>
        <w:rPr>
          <w:rFonts w:ascii="Times New Roman" w:cs="Times New Roman" w:eastAsia="Times New Roman" w:hAnsi="Times New Roman"/>
          <w:sz w:val="17"/>
          <w:szCs w:val="17"/>
          <w:i w:val="1"/>
          <w:iCs w:val="1"/>
          <w:color w:val="auto"/>
        </w:rPr>
        <w:t>Auflösung / Liquidation</w:t>
      </w:r>
      <w:r>
        <w:rPr>
          <w:rFonts w:ascii="Times New Roman" w:cs="Times New Roman" w:eastAsia="Times New Roman" w:hAnsi="Times New Roman"/>
          <w:sz w:val="17"/>
          <w:szCs w:val="17"/>
          <w:color w:val="auto"/>
        </w:rPr>
        <w:t>” (dissolution/liquidation);</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the Parent or any ERISA Affiliate shall fail to pay when due an amount which could reasonably be expected to have a Material Adverse Effect, which it shall have become liable to pay to the PBGC or to a Plan under Title IV of ERISA; or the Parent or an ERISA Affiliate shall file a distress termination notice with the PBGC and the amount of the Unfunded Vested Liabilities under that filing could reasonably be expected to have a Material Adverse Effect; or the PBGC shall institute judicial proceedings under Title IV of ERISA to terminate or to cause a trustee to be appointed to administer any such Plan or Plans which have Unfunded Vested Liabilities which could reasonably be expected to have a Material Adverse Effect; or a judicial proceeding shall be instituted by a fiduciary of any such Plan or Plans to enforce Section 515 of ERISA, the aggregate amount of delinquent contributions claimed to be owed pursuant to such Section 515 in such proceeding which could reasonably be expected to have a Material Adverse Effect, and such proceeding shall not have been dismissed within 30 days;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56"/>
        <w:spacing w:after="0" w:line="258" w:lineRule="auto"/>
        <w:tabs>
          <w:tab w:leader="none" w:pos="8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judgment or order for the payment of money in excess of a Dollar Amount of $100,000,000 shall be rendered against any Borrower or any of its Subsidiaries and such judgment or order is not within 60 days of the entry thereof bonded, discharged or stayed; provided, that any such judgment shall not be included in the calculation of the aggregate amount of judgments under this clause (j) if and for so long as (A) the amount of such judgment is covered by a valid and binding policy of insurance between the defendant and the insurer covering payment thereof and (B) such insurer, which shall be rated at least “A” by A.M. Best Company, has been notified of, and has not disputed the claim made for payment of, the amount of such judgment;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any Person or two or more Persons acting in concert shall have acquired beneficial ownership (within the meaning of Rule 13d-3 of the SEC under the Securities Exchange Act of 1934) of 30% or more of the outstanding shares of voting stock of the Parent;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            a majority of the members of the board of directors of the Parent ceases to be individuals who (i) were members of such board of directors as of the Effective Date or (ii) were nominated or appointed to be members of such board by a majority of the members of such board who, at the time of such nomination or appointment, were individuals described in the foregoing clause (i) or this clause (ii). Notwithstanding the foregoing, if a majority of the members of the board of directors of the Parent cease to be individuals described in clauses (i) and (ii) above, it shall not constitute an Event of Default under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if a majority of the Parent’s board of directors (comprised of the individuals described in clauses (i) and (ii)) approves such changes; 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          except as otherwise expressly permitted under the Loan Documents (i) this Agreement, the Notes or any other document executed in connection herewith, at any time after its execution and delivery, ceases to be in full force and effect against any applicable Loan Party; (ii) any Loan Party or any other Person acting on behalf of any Loan Party contests in any manner the validity or enforceability of any such document against any applicable Loan Party; or (iii) any Loan Party or any other Person acting on behalf of any Loan Party denies that it has any or further liability or obligation under any such document, or purports to revoke, terminate or rescind any such document;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Parent or any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at any time thereafter during the continuance of such event, the Administrative Agent may with the consent of the Required Lenders, and shall at the request of the Required Lenders, by notice to the Company,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Loan Parties, and (iii) require cash collateral for the LC Exposure in accordance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and in case of any event with respect to the Parent or any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without presentment, demand, protest or other notice of any kind, all of which are hereby waived by the Loan Parties.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Each Lender and each Issuing Bank hereby irrevocably appoints the entity named as Administrative Agent in the heading of this Agreement and its successors and assigns to serve as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Administrative Agent shall not be required to take any action that (i) the Administrative Agent reasonably and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examinership or reorganization or relief of debtors or that may effect a forfeiture, modification or termination of property of a Defaulting Lender in violation of any requirement of law relating to bankruptcy, insolvency, examinership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Parent,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Loan Parties. Without limiting the generality of the foregoing:</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the Administrative Agent does not assume and shall not be deemed to have assumed any obligation or duty or any other relationship as the agent, fiduciary or trustee of or for any Lender, Issuing Bank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9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nothing in this Agreement or any Loan Document shall require the Administrative Agent to account to any Lender for any sum or the profit element of any sum received by the Administrative Agent for its own account.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None of any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In case of the pendency of any proceeding with respect to any Loan Party under any federal, state or foreign bankruptcy, insolvency, examinership, receivership or similar law now or hereafter in effect, the Administrative Agent (irrespective of whether the principal of any Loan or any Obligation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allowed in such judicial proceeding;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examiner, sequestrator or other similar official in any such proceeding is hereby authorized by each Lender, each Issuing Bank and each other holder of Obligations to make such payments to the Administrative Agent and, in the event that the Administrative Agent shall consent to the making of such payments directly to the Lenders, the Issuing Banks or the other holders of Obligations, to pay to the Administrative Agent any amount due to it, in its capacity as the Administrative Agent, under the Loan Documents (including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the Lenders and the Issuing Banks, and, except solely to the extent of the Company’s rights to consent pursuant to and subject to the conditions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as otherwise provided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none of the Company or any Subsidiary, or any of their respective Affiliates, shall have any rights as a third party beneficiary under any such provisions. Each party that is a holder of Obligations, whether or not a party hereto, will be deemed, by its acceptance of the benefits of the guarantees of the Obligations provided under the Loan Documents, to have agreed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Agent’s Reliance, Indemnification,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Neither the Administrative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the Administrative Agent shall reasonably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The Administrative Agent shall be deemed not to have knowledge of any Default or Event of Default unless and until written notice thereof (stating that it is a “notice of Default” or a “notice of an Event of Default”) is given to the Administrative Agent by the Company,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(ii) may rely on the Register to the extent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Company agrees that the Administrative Agent may, but shall not be obligated to, make any Communications available to the Lenders and the Issuing Banks by posting the Communications on IntraLinks™, DebtDomain, SyndTrak, ClearPar or any other similar electronic platform chosen by the Administrative Agent reasonably and in good faith to be its electronic transmission system and used by it for such purpose with respect to its credit facilities generally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Company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Company hereby approves distribution of the Communications through the Approved Electronic Platform and understands and assumes the risks of such distribution, other than risks arising from the gross negligence, bad faith or willful misconduct of any of the foregoing parties (as determined by a court of competent jurisdiction by a final and nonappealable judgment).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THE APPROVED ELECTRONIC PLATFORM AND THE COMMUNICATIONS ARE PROVIDED “AS IS” AND “AS AVAILABLE”.</w:t>
      </w:r>
    </w:p>
    <w:p>
      <w:pPr>
        <w:spacing w:after="0" w:line="21" w:lineRule="exact"/>
        <w:rPr>
          <w:sz w:val="20"/>
          <w:szCs w:val="20"/>
          <w:color w:val="auto"/>
        </w:rPr>
      </w:pPr>
    </w:p>
    <w:p>
      <w:pPr>
        <w:spacing w:after="0"/>
        <w:tabs>
          <w:tab w:leader="none" w:pos="500" w:val="left"/>
          <w:tab w:leader="none" w:pos="1740" w:val="left"/>
          <w:tab w:leader="none" w:pos="2600" w:val="left"/>
          <w:tab w:leader="none" w:pos="3060" w:val="left"/>
          <w:tab w:leader="none" w:pos="3980" w:val="left"/>
          <w:tab w:leader="none" w:pos="4840" w:val="left"/>
          <w:tab w:leader="none" w:pos="5260" w:val="left"/>
          <w:tab w:leader="none" w:pos="5800" w:val="left"/>
          <w:tab w:leader="none" w:pos="6840" w:val="left"/>
          <w:tab w:leader="none" w:pos="7360" w:val="left"/>
          <w:tab w:leader="none" w:pos="8520" w:val="left"/>
          <w:tab w:leader="none" w:pos="8920" w:val="left"/>
          <w:tab w:leader="none" w:pos="10480" w:val="left"/>
          <w:tab w:leader="none" w:pos="10860" w:val="left"/>
        </w:tabs>
        <w:rPr>
          <w:sz w:val="20"/>
          <w:szCs w:val="20"/>
          <w:color w:val="auto"/>
        </w:rPr>
      </w:pPr>
      <w:r>
        <w:rPr>
          <w:rFonts w:ascii="Times New Roman" w:cs="Times New Roman" w:eastAsia="Times New Roman" w:hAnsi="Times New Roman"/>
          <w:sz w:val="18"/>
          <w:szCs w:val="18"/>
          <w:color w:val="auto"/>
        </w:rPr>
        <w:t>THE</w:t>
        <w:tab/>
        <w:t>APPLICABLE</w:t>
        <w:tab/>
        <w:t>PARTIES</w:t>
        <w:tab/>
        <w:t>(AS</w:t>
        <w:tab/>
        <w:t>DEFINED</w:t>
        <w:tab/>
        <w:t>BELOW)</w:t>
        <w:tab/>
        <w:t>DO</w:t>
        <w:tab/>
        <w:t>NOT</w:t>
        <w:tab/>
        <w:t>WARRANT</w:t>
        <w:tab/>
        <w:t>THE</w:t>
        <w:tab/>
        <w:t>ACCURACY</w:t>
        <w:tab/>
        <w:t>OR</w:t>
        <w:tab/>
        <w:t>COMPLETENESS</w:t>
        <w:tab/>
        <w:t>OF</w:t>
        <w:tab/>
        <w:t>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OR THE ADEQUACY OF THE APPROVED ELECTRONIC PLATFORM AND EXPRESSLY DISCLAIM LIABILITY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ERRORS OR OMISSIONS IN THE APPROVED ELECTRONIC PLATFORM AND THE COMMUNICATIONS. NO WARRANTY OF ANY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 IMPLIED OR STATUTORY, INCLUDING ANY WARRANTY OF MERCHANTABILITY, FITNESS FOR A PARTICULAR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NON-INFRINGEMENT OF THIRD PARTY RIGHTS OR FREEDOM FROM VIRUSES OR OTHER CODE DEFECTS, IS MADE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PARTIES IN CONNECTION WITH THE COMMUNICATIONS OR THE APPROVED ELECTRONIC PLATFORM.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THE ADMINISTRATIVE AGENT, ANY ARRANGER, ANY DOCUMENTATION AGENT, ANY SYNDICATION AGENT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ANY ISSUING BANK OR ANY OTHER PERSON OR ENTITY FOR DAMAGES OF ANY KIND, INCLUDING DIRECT OR INDIRECT,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INCIDENTAL OR CONSEQUENTIAL DAMAGES, LOSSES OR EXPENSES (WHETHER IN TORT,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ANY LOAN PARTY’S OR THE ADMINISTRATIVE AGENT’S TRANSMISSION OF COMMUNICATIONS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INTERNET OR THE APPROVED ELECTRONIC PLATFORM, OTHER THAN DIRECT ACTUAL DAMAGES ARISING FROM THE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NEGLIGENCE, BAD FAITH OR WILLFUL MISCONDUCT OF ANY APPLICABLE PARTY (AS DETERMINED BY A COURT OF COMPETENT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BY A FINAL AND NONAPPEALABLE JUDGMENT).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Each Lender and each Issuing Bank agrees that notice to it (as provided in the next sentence) specifying that Communications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posted to the Approved Electronic Platform shall constitute effective delivery of the Communications to such Lender for purposes of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Lender and each Issuing Bank agrees (i) to notify the Administrative Agent in writing (which could be in the form of electronic communication)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of such Lender’s or such Issuing Bank’s (as applicable) email address to which the foregoing notice may be sent by electronic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that the foregoing notice may be sent to such email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Each of the Lenders, each of the Issuing Banks and the Company agrees that the Administrative Agent may, but (except as may be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applicable law) shall not be obligated to, store the Communications on the Approved Electronic Platform in accordance with the Administrative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applicable document retention procedures and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(f)           Nothing herein shall prejudice the right of the Administrative Agent, any Lender or any Issuing Bank to give any notice or other communication pursuant to any Loan Document in any other manner specified in such Loan Document.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 Loans and Letters of Credit, the Person serving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have and may exercise the same rights and powers hereunder and is subject to the same obligations and liabilities as and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set forth herein for any other Lender or Issuing Bank, as the case may be. The terms “Issuing Banks”, “Lenders”, “Required Lenders”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terms shall, unless the context clearly otherwise indicates, include the Administrative Agent in its individual capacity as a Lender, an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as one of the Required Lenders, as applicable. The Person serving as the Administrative Agent and its Affiliates may accept deposits from, lend money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own securities of, act as the financial advisor or in any other advisory capacity for and generally engage in any kind of banking, trust or other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Parent, any Subsidiary or any Affiliate of any of the foregoing as if such Person was not acting as the Administrative Agent and without any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account therefor to the Lenders or the Issuing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The Administrative Agent may resign at any time by giving 30 days’ prior written notice thereof to the Lenders, the Issuing Banks and the Company, whether or not a successor Administrative Agent has been appointed. Upon any such resignation, the Required Lenders shall have the right, in consultation with (and, so long as no Default shall then exist, the consent of, such consent not to be unreasonably withheld) the Company,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both cases,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Notwithstanding paragraph (a) of this Section, in the event no successor Administrative Agent shall have been so appointed and shall have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such appointment within 30 days after the retiring Administrative Agent gives notice of its intent to resign, the retiring Administrative Agent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notice of the effectiveness of its resignation to the Lenders, the Issuing Banks and the Company, whereupon, on the date of effectiveness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resignation stated in such notice, (i) the retiring Administrative Agent shall be discharged from its duties and obligations hereunder and under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and (ii) the Required Lenders shall succeed to and become vested with all the rights, powers, privileges and duties of the retiring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 of any Person other than the Administrative Agent shall be made directly to such Person and (B) all notices and other communications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contemplated to be given or made to the Administrative Agent shall directly be given or made to each Lender and each Issuing Bank.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effectiveness of the Administrative Agent’s resignation from its capacity as such,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Section 9.03, as well as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exculpatory, reimbursement and indemnification provisions set forth in any other Loan Document, shall continue in effect for the benefit of such retiring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its sub-agents and their respective Related Parties in respect of any actions taken or omitted to be taken by any of them while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retiring Administrative Agent was acting 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Acknowledgement of Lenders and Issuing Banks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Each Lender and each Issuing Bank represents and warrants that (i) the Loan Documents set forth the terms of a commercial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(ii) in participating as a Lender, it is engaged in making, acquiring or holding commercial loans and in providing other facilities set forth herein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applicable to such Lender or such Issuing Bank, in each case in the ordinary course of business, and not for the purpose of investing in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or operations of the Loan Parties, or for the purpose of purchasing, acquiring or holding any other type of financial instrument such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(and each Lender and each Issuing Bank agrees not to assert a claim in contravention of the foregoing, such as a claim under the federal or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 (iii) it has, independently and without reliance upon the Administrative Agent, any Arranger, any Syndication Agent, any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any other Lender or other Issuing Bank, or any of the Related Parties of any of the foregoing, and based on such documents and information as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deemed appropriate, made its own credit analysis and decision to enter into this Agreement as a Lender, and to make, acquire or hold Loans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it is sophisticated with respect to decisions to make, acquire and/or hold commercial loans and to provide other facilities set forth herein,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such Lender or such Issuing Bank, and either it, or the Person exercising discretion in making its decision to make, acquire and/or hold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loans or to provide such other facilities, is experienced in making, acquiring or holding such commercial loans or providing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Each Lender and each Issuing Bank also acknowledges that it will, independently and without reliance upon the Administrative Agent,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Arranger, any Syndication Agent, any Documentation Agent or any other Lender or other Issuing Bank, or any of the Related Parties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and based on such documents and information (which may contain material, non-public information within the meaning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concerning the Company and its Affiliates) as it shall from time to time deem appropriate, continue to make its own decisions in taking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taking action under or based upon this Agreement, any other Loan Document or any related agreement or any document furnished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Each Lender, by delivering its signature page to this Agreement on the Effective Date, or delivering its signature page to an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Assumption or any other Loan Document pursuant to which it shall become a Lender hereunder, shall be deemed to have acknowledged receipt 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 approved, each Loan Document and each other document required to be delivered to, or be approved by or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the Lenders on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7"/>
          <w:szCs w:val="17"/>
          <w:u w:val="single" w:color="auto"/>
          <w:color w:val="auto"/>
        </w:rPr>
        <w:t>Section 8.06(c)</w:t>
      </w:r>
      <w:r>
        <w:rPr>
          <w:rFonts w:ascii="Times New Roman" w:cs="Times New Roman" w:eastAsia="Times New Roman" w:hAnsi="Times New Roman"/>
          <w:sz w:val="17"/>
          <w:szCs w:val="17"/>
          <w:color w:val="auto"/>
        </w:rPr>
        <w:t xml:space="preserve"> shall be conclusive, absent manifest error.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4"/>
        <w:spacing w:after="0" w:line="250" w:lineRule="auto"/>
        <w:tabs>
          <w:tab w:leader="none" w:pos="15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other Loan Party, except in each case, to the extent such erroneous Payment is, and solely with respect to the amount of such erroneous Payment that is, comprised of funds received by the Administrative Agent from the Company or any other Loan Party for the purpose of satisfying an Obligation.</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              Each party’s obligations under this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The Lenders acknowledge that there may be a constant flow of information (including information which may be subject to confidentiality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in favor of the Loan Parties) between the Loan Parties and their Affiliates, on the one hand, and JPMorgan Chase Bank, N.A. and </w:t>
      </w:r>
      <w:r>
        <w:rPr>
          <w:rFonts w:ascii="Times New Roman" w:cs="Times New Roman" w:eastAsia="Times New Roman" w:hAnsi="Times New Roman"/>
          <w:sz w:val="18"/>
          <w:szCs w:val="18"/>
          <w:b w:val="1"/>
          <w:bCs w:val="1"/>
          <w:color w:val="FF0000"/>
          <w:strike w:val="1"/>
        </w:rPr>
        <w:t>its</w:t>
      </w:r>
      <w:r>
        <w:rPr>
          <w:rFonts w:ascii="Times New Roman" w:cs="Times New Roman" w:eastAsia="Times New Roman" w:hAnsi="Times New Roman"/>
          <w:sz w:val="18"/>
          <w:szCs w:val="18"/>
          <w:b w:val="1"/>
          <w:bCs w:val="1"/>
          <w:u w:val="single" w:color="auto"/>
          <w:color w:val="0000FF"/>
        </w:rPr>
        <w:t>J.P.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Morgan SE and their respective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Affiliates, on the other hand. Without limiting the foregoing, the Loan Parties or their Affiliates may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including updates to previously provided information to JPMorgan Chase Bank, N.A. and</w:t>
      </w:r>
      <w:r>
        <w:rPr>
          <w:rFonts w:ascii="Times New Roman" w:cs="Times New Roman" w:eastAsia="Times New Roman" w:hAnsi="Times New Roman"/>
          <w:sz w:val="18"/>
          <w:szCs w:val="18"/>
          <w:b w:val="1"/>
          <w:bCs w:val="1"/>
          <w:color w:val="FF0000"/>
          <w:strike w:val="1"/>
        </w:rPr>
        <w:t>/or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J.P. Morgan SE and/or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Affiliates acting in different capacities, including as Lender, lead bank, arranger or potential securities investor, independent of such </w:t>
      </w:r>
      <w:r>
        <w:rPr>
          <w:rFonts w:ascii="Times New Roman" w:cs="Times New Roman" w:eastAsia="Times New Roman" w:hAnsi="Times New Roman"/>
          <w:sz w:val="18"/>
          <w:szCs w:val="18"/>
          <w:b w:val="1"/>
          <w:bCs w:val="1"/>
          <w:color w:val="FF0000"/>
          <w:strike w:val="1"/>
        </w:rPr>
        <w:t>entity’s</w:t>
      </w:r>
      <w:r>
        <w:rPr>
          <w:rFonts w:ascii="Times New Roman" w:cs="Times New Roman" w:eastAsia="Times New Roman" w:hAnsi="Times New Roman"/>
          <w:sz w:val="18"/>
          <w:szCs w:val="18"/>
          <w:b w:val="1"/>
          <w:bCs w:val="1"/>
          <w:u w:val="single" w:color="auto"/>
          <w:color w:val="0000FF"/>
        </w:rPr>
        <w:t>entities’</w:t>
      </w:r>
      <w:r>
        <w:rPr>
          <w:rFonts w:ascii="Times New Roman" w:cs="Times New Roman" w:eastAsia="Times New Roman" w:hAnsi="Times New Roman"/>
          <w:sz w:val="18"/>
          <w:szCs w:val="18"/>
          <w:color w:val="auto"/>
        </w:rPr>
        <w:t xml:space="preserve"> role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 hereunder. The Lenders acknowledge that neither JPMorgan Chase Bank, N.A.</w:t>
      </w:r>
      <w:r>
        <w:rPr>
          <w:rFonts w:ascii="Times New Roman" w:cs="Times New Roman" w:eastAsia="Times New Roman" w:hAnsi="Times New Roman"/>
          <w:sz w:val="18"/>
          <w:szCs w:val="18"/>
          <w:b w:val="1"/>
          <w:bCs w:val="1"/>
          <w:u w:val="single" w:color="auto"/>
          <w:color w:val="0000FF"/>
        </w:rPr>
        <w:t>, J.P. Morgan SE,</w:t>
      </w:r>
      <w:r>
        <w:rPr>
          <w:rFonts w:ascii="Times New Roman" w:cs="Times New Roman" w:eastAsia="Times New Roman" w:hAnsi="Times New Roman"/>
          <w:sz w:val="18"/>
          <w:szCs w:val="18"/>
          <w:color w:val="auto"/>
        </w:rPr>
        <w:t xml:space="preserve"> nor </w:t>
      </w:r>
      <w:r>
        <w:rPr>
          <w:rFonts w:ascii="Times New Roman" w:cs="Times New Roman" w:eastAsia="Times New Roman" w:hAnsi="Times New Roman"/>
          <w:sz w:val="18"/>
          <w:szCs w:val="18"/>
          <w:b w:val="1"/>
          <w:bCs w:val="1"/>
          <w:color w:val="FF0000"/>
          <w:strike w:val="1"/>
        </w:rPr>
        <w:t>its</w:t>
      </w:r>
      <w:r>
        <w:rPr>
          <w:rFonts w:ascii="Times New Roman" w:cs="Times New Roman" w:eastAsia="Times New Roman" w:hAnsi="Times New Roman"/>
          <w:sz w:val="18"/>
          <w:szCs w:val="18"/>
          <w:b w:val="1"/>
          <w:bCs w:val="1"/>
          <w:u w:val="single" w:color="auto"/>
          <w:color w:val="0000FF"/>
        </w:rPr>
        <w:t>their respective</w:t>
      </w:r>
      <w:r>
        <w:rPr>
          <w:rFonts w:ascii="Times New Roman" w:cs="Times New Roman" w:eastAsia="Times New Roman" w:hAnsi="Times New Roman"/>
          <w:sz w:val="18"/>
          <w:szCs w:val="18"/>
          <w:color w:val="auto"/>
        </w:rPr>
        <w:t xml:space="preser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under any obligation to provide any of the foregoing information to them. Notwithstanding anything to the contrary set forth herein or in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except for notices, reports and other documents expressly required to be furnished to the Lenders by the Administrative Agent herein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Loan Document, the Administrative Agent shall not have any duty or responsibility to provide, and shall not be liable for the failure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Lender with any credit or other information concerning the Loans, the Lenders, the business, prospects, operations, property, financial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or creditworthiness of any of the Loan Parties or any of their respective Affiliates that is communicated to, obtained by, or in the possession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or any of its Affiliates in any capacity, including any information obtained by the Administrative Agent in the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among the Administrative Agent and any Loan Party, any Affiliate thereof or any other Person. Notwithstanding the foregoing,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may (but shall not be required to) be shared by the Administrative Agent with one or more Lenders, or any formal or informal committee or 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hoc group of such Lenders, including at the direction of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Each Lender (x) represents and warrants, as of the date such Person became a Lender party hereto, to, and (y) covenants, from the date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became a Lender party hereto to the date such Person ceases being a Lender party hereto, for the benefit of, the Administrative Agent,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Arranger and their respective Affiliates, and not, for the avoidance of doubt, to or for the benefit of the Company or any other Loan Party, that at least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following is and will be 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the Plan Asset Regulations) of one or more Benefit Plans in connection with the Loans, the Letters of Credit or the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 addition, unless sub-clause (i) in the immediately preceding clause (a) is true with respect to a Lender or such Lender has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representation, warranty and covenant as provided in sub-clause (iv) in the immediately preceding clause (a), such Lender further (x) represents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warrants, as of the date such Person became a Lender party hereto, to, and (y) covenants, from the date such Person became a Lender party hereto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such Person ceases being a Lender party hereto, for the benefit of, the Administrative Agent, the Arrangers, the Syndication Agents,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Agents and their respective Affiliates, and not, for the avoidance of doubt, to or for the benefit of the Company or any other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none of the Administrative Agent, the Arrangers, the Syndication Agents, the Documentation Agents or any of their respective Affiliates is a 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assets of such Lender (including in connection with the reservation or exercise of any rights by the Administrative Agent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any Loan Document or any documents related hereto 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(c)            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Administrative Agent, the Lenders and the Issuing Banks agree that the Borrowers may, but shall not be obligated to, make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Communications to the Administrative Agent through an electronic platform chosen by the Administrative Agent to be its electronic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Although the Approved Borrower Portal and its primary web portal are secured with generally-applicable security procedures and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implemented or modified by the Administrative Agent from time to time (including, as of the Effective Date, a user ID/password authorization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Lenders, each of the Issuing Banks and the Borrowers acknowledges and agrees that the distribution of material through an electronic medium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necessarily secure, that the Administrative Agent is not responsible for approving or vetting the representatives or contacts of the Borrowers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added to the Approved Borrower Portal, and that there may be confidentiality and other risks associated with such distribution. Each of the Lenders,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Issuing Banks and the Borrowers hereby approves distribution of Borrower Communications through the Approved Borrower Portal and understands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assumes the risks of such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notice requesting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amendment or extension of a Letter of Credit or other notice, demand, communication, information, document or other material provided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any Loan Party pursuant to any Loan Document or the transactions contemplated therein which is distributed by any Borrower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through an Approved Borrower Portal.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Nothing herein shall prejudice the right of the Borrowers to give any notice or other communication pursuant to any Loan Document in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manner specified in such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in the case of notices and other communications expressly permitted to be given by telephone or other means permitted hereunder (and subject to paragraph (b) below), all notices and other communications provided for herein shall be in writing and shall be delivered by hand or overnight courier service or mailed by certified or registered mail, as follows: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to any Loan Party, to Pentair Finance S.à r.l. (in care of Pentair, Inc.), 5500 Wayzata Boulevard, Suite 900, Golden Valley, MN 55416-1261, Attention: </w:t>
      </w:r>
      <w:r>
        <w:rPr>
          <w:rFonts w:ascii="Times New Roman" w:cs="Times New Roman" w:eastAsia="Times New Roman" w:hAnsi="Times New Roman"/>
          <w:sz w:val="18"/>
          <w:szCs w:val="18"/>
          <w:b w:val="1"/>
          <w:bCs w:val="1"/>
          <w:color w:val="FF0000"/>
          <w:strike w:val="1"/>
        </w:rPr>
        <w:t>Bob Fishman</w:t>
      </w:r>
      <w:r>
        <w:rPr>
          <w:rFonts w:ascii="Times New Roman" w:cs="Times New Roman" w:eastAsia="Times New Roman" w:hAnsi="Times New Roman"/>
          <w:sz w:val="18"/>
          <w:szCs w:val="18"/>
          <w:b w:val="1"/>
          <w:bCs w:val="1"/>
          <w:u w:val="single" w:color="auto"/>
          <w:color w:val="0000FF"/>
        </w:rPr>
        <w:t>Nick Brazis</w:t>
      </w:r>
      <w:r>
        <w:rPr>
          <w:rFonts w:ascii="Times New Roman" w:cs="Times New Roman" w:eastAsia="Times New Roman" w:hAnsi="Times New Roman"/>
          <w:sz w:val="18"/>
          <w:szCs w:val="18"/>
          <w:color w:val="auto"/>
        </w:rPr>
        <w:t>, Executive Vice President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auto"/>
        </w:rPr>
        <w:t xml:space="preserve"> Chief Financial </w:t>
      </w:r>
      <w:r>
        <w:rPr>
          <w:rFonts w:ascii="Times New Roman" w:cs="Times New Roman" w:eastAsia="Times New Roman" w:hAnsi="Times New Roman"/>
          <w:sz w:val="18"/>
          <w:szCs w:val="18"/>
          <w:b w:val="1"/>
          <w:bCs w:val="1"/>
          <w:color w:val="FF0000"/>
          <w:strike w:val="1"/>
        </w:rPr>
        <w:t>Officer, and Chief Accounting</w:t>
      </w:r>
      <w:r>
        <w:rPr>
          <w:rFonts w:ascii="Times New Roman" w:cs="Times New Roman" w:eastAsia="Times New Roman" w:hAnsi="Times New Roman"/>
          <w:sz w:val="18"/>
          <w:szCs w:val="18"/>
          <w:color w:val="auto"/>
        </w:rPr>
        <w:t xml:space="preserve"> Officer (Email) and </w:t>
      </w:r>
      <w:r>
        <w:rPr>
          <w:rFonts w:ascii="Times New Roman" w:cs="Times New Roman" w:eastAsia="Times New Roman" w:hAnsi="Times New Roman"/>
          <w:sz w:val="18"/>
          <w:szCs w:val="18"/>
          <w:b w:val="1"/>
          <w:bCs w:val="1"/>
          <w:color w:val="FF0000"/>
          <w:strike w:val="1"/>
        </w:rPr>
        <w:t>Nick Brazis,</w:t>
      </w:r>
      <w:r>
        <w:rPr>
          <w:rFonts w:ascii="Times New Roman" w:cs="Times New Roman" w:eastAsia="Times New Roman" w:hAnsi="Times New Roman"/>
          <w:sz w:val="18"/>
          <w:szCs w:val="18"/>
          <w:b w:val="1"/>
          <w:bCs w:val="1"/>
          <w:u w:val="single" w:color="auto"/>
          <w:color w:val="0000FF"/>
        </w:rPr>
        <w:t>Gina Passage, Senior Director and</w:t>
      </w:r>
      <w:r>
        <w:rPr>
          <w:rFonts w:ascii="Times New Roman" w:cs="Times New Roman" w:eastAsia="Times New Roman" w:hAnsi="Times New Roman"/>
          <w:sz w:val="18"/>
          <w:szCs w:val="18"/>
          <w:color w:val="auto"/>
        </w:rPr>
        <w:t xml:space="preserve"> Treasurer (Email), with a copy to, in the case of any notice of Default or Event of Default, Pentair Finance S.à r.l. (in care of Pentair, Inc.), 5500 Wayzata Boulevard, Suite 900, Golden Valley, MN 55416-1261, Attention: </w:t>
      </w:r>
      <w:r>
        <w:rPr>
          <w:rFonts w:ascii="Times New Roman" w:cs="Times New Roman" w:eastAsia="Times New Roman" w:hAnsi="Times New Roman"/>
          <w:sz w:val="18"/>
          <w:szCs w:val="18"/>
          <w:b w:val="1"/>
          <w:bCs w:val="1"/>
          <w:color w:val="FF0000"/>
          <w:strike w:val="1"/>
        </w:rPr>
        <w:t>Karla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Robertson</w:t>
      </w:r>
      <w:r>
        <w:rPr>
          <w:rFonts w:ascii="Times New Roman" w:cs="Times New Roman" w:eastAsia="Times New Roman" w:hAnsi="Times New Roman"/>
          <w:sz w:val="18"/>
          <w:szCs w:val="18"/>
          <w:b w:val="1"/>
          <w:bCs w:val="1"/>
          <w:u w:val="single" w:color="auto"/>
          <w:color w:val="0000FF"/>
        </w:rPr>
        <w:t>Lance Bonner</w:t>
      </w:r>
      <w:r>
        <w:rPr>
          <w:rFonts w:ascii="Times New Roman" w:cs="Times New Roman" w:eastAsia="Times New Roman" w:hAnsi="Times New Roman"/>
          <w:sz w:val="18"/>
          <w:szCs w:val="18"/>
          <w:color w:val="000000"/>
        </w:rPr>
        <w:t>, Executive Vice President,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Chief Sustainability Officer,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General Counsel and Secretary (Email)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and Mara Kaplan,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Assistant General Counsel (Email)</w:t>
      </w:r>
      <w:r>
        <w:rPr>
          <w:rFonts w:ascii="Times New Roman" w:cs="Times New Roman" w:eastAsia="Times New Roman" w:hAnsi="Times New Roman"/>
          <w:sz w:val="18"/>
          <w:szCs w:val="18"/>
          <w:color w:val="000000"/>
        </w:rPr>
        <w: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if to the Administrative Agent from any Borrower, to the address or addresses separately provided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if to the Administrative Agent from the Lenders, to JPMorgan Chase Bank, N.A. </w:t>
      </w:r>
      <w:r>
        <w:rPr>
          <w:rFonts w:ascii="Times New Roman" w:cs="Times New Roman" w:eastAsia="Times New Roman" w:hAnsi="Times New Roman"/>
          <w:sz w:val="18"/>
          <w:szCs w:val="18"/>
          <w:b w:val="1"/>
          <w:bCs w:val="1"/>
          <w:color w:val="0000FF"/>
        </w:rPr>
        <w:t>and J.P. Morgan SE</w:t>
      </w:r>
      <w:r>
        <w:rPr>
          <w:rFonts w:ascii="Times New Roman" w:cs="Times New Roman" w:eastAsia="Times New Roman" w:hAnsi="Times New Roman"/>
          <w:sz w:val="18"/>
          <w:szCs w:val="18"/>
          <w:color w:val="auto"/>
        </w:rPr>
        <w:t>, 8181 Communications Pkwy, Building B, Floor 6, Plano, Texas 75024, Attention of Nicholas Nussbaum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-144780</wp:posOffset>
            </wp:positionV>
            <wp:extent cx="10306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30605" cy="8890"/>
                    </a:xfrm>
                    <a:prstGeom prst="rect">
                      <a:avLst/>
                    </a:prstGeom>
                    <a:noFill/>
                  </pic:spPr>
                </pic:pic>
              </a:graphicData>
            </a:graphic>
          </wp:anchor>
        </w:drawing>
        <w:drawing>
          <wp:anchor simplePos="0" relativeHeight="251657728" behindDoc="1" locked="0" layoutInCell="0" allowOverlap="1">
            <wp:simplePos x="0" y="0"/>
            <wp:positionH relativeFrom="column">
              <wp:posOffset>4991100</wp:posOffset>
            </wp:positionH>
            <wp:positionV relativeFrom="paragraph">
              <wp:posOffset>-161925</wp:posOffset>
            </wp:positionV>
            <wp:extent cx="10306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306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in the case of a notification of the DQ List, to;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if to an Issuing Bank, to it at the address separately provided to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if to any of the Swingling Lenders, at the address separately provided to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if to any other Lender, to it at its address (or telecopy number) set forth in its Administrative Questionnaire.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  </w:t>
      </w:r>
    </w:p>
    <w:p>
      <w:pPr>
        <w:spacing w:after="0" w:line="207" w:lineRule="exact"/>
        <w:rPr>
          <w:sz w:val="20"/>
          <w:szCs w:val="20"/>
          <w:color w:val="auto"/>
        </w:rPr>
      </w:pPr>
    </w:p>
    <w:p>
      <w:pPr>
        <w:jc w:val="both"/>
        <w:ind w:firstLine="656"/>
        <w:spacing w:after="0" w:line="250"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Notices and other communications to the Lenders, the Administrative Agent and the Issuing Banks hereunder may be delivered or furnished by using Approved Electronic Platforms or Approved Borrower Portals (as applicable), in each case, pursuant to procedures approved by the Administrative Agent; provided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Any party hereto may change its address or telecopy number for notices and other communications hereunder by notice to the other parties</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hereto.</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Waivers;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90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50" w:lineRule="auto"/>
        <w:tabs>
          <w:tab w:leader="none" w:pos="9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the extension of the Maturity Date, or as provided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 respect to an Incremental Term Loan Amendment or as provided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or as provided in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 xml:space="preserve">,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(provided that an amendment, modification, waiver or consent with respect to any condition precedent, covenant, mandatory prepayment pursuant to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Event of Default or Default shall not constitute an increase in the Commitment of any Lender), (ii) reduce the principal amount of any Loan or LC Disbursement or reduce the rate of interest thereon (other than waivers or amendments with respect to the application of a default rate of interest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or reduce any fees payable hereunder, without the written consent of each Lender directly and adversely affected thereby (except that any amendment or modification of the financial covenants or ratios in this Agreement (or defined terms used in the financial covenants or ratios in this Agreement)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and adversely affected thereby (other than any reduction of the amount of, or any extension of the payment date for, the mandatory prepayments required under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in each case which shall only require the approval of the Required Lenders, and it being further understood that an amendment, modification, waiver or consent with respect to any condition precedent, covenant, mandatory prepayment pursuant to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Event of Default or Default in each case shall not constitute such a postponement, reduction, waiver or excusal), (iv) change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a manner that would alter the ratable reduction of Commitments or pro rata sharing of payments required thereby, without the written consent of each Lender directly and adversely affected thereby, (v) change the payment waterfall provisions of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 xml:space="preserve">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directly affected thereby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Effective Date) or (vii) release the Parent from its obligations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(other than with respect to any Borrower ceasing to be a Borrower in accordance with this Agreement)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any Issuing Bank or any Swingline Lender hereunder without the prior written consent of the Administrative Agent, such Issuing Bank or such Swingline Lender, as the case may be (it being understood that any change to Section 2.24 shall require the consent of the Administrative Agent, the Issuing Banks and the Swingline Lenders). Notwithstanding the foregoing, (A)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and adversely affected by such amendment, waiver or other modification, and (B) as to any amendment, amendment and restatement or other modification otherwise approved in accordance with this Section,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If, in connection with any proposed amendment, waiver or consent requiring the consent of “each Lender” or “each Lender directly affected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the consent of the Required Lenders is obtained, but the consent of other necessary Lenders is not obtained (any such Lender whose consent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the Company may elect to replace a Non-Consenting Lender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party to this Agreement, provided that, concurrently with such replacement, (i) another bank or other entity which is reasonably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Administrative Agent shall agree, as of such date, to purchase for cash the Loans and other Obligations due to the Non-Consenting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pursuant to an Assignment and Assumption and to become a Lender for all purposes under this Agreement and to assume all obligations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Non-Consenting Lender to be terminated as of such date and to comply with the requirements of clause (b)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(ii) each Borrower shall pay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Non-Consenting Lender in same day funds on the day of such replacement (1) all interest, fees and other amounts then accrued but unpaid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Non-Consenting Lender by such Borrower hereunder to and including the date of termination, including without limitation payments due to such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Consenting Lender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and (2) an amount, if any, equal to the payment which would have been due to such Lender on the day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(iii) such Non-Consenting Lender shall have received the outstanding principal amount of its Loans and participations in LC Disbursements.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hereto agrees that (1) an assignment required pursuant to this paragraph may be effected pursuant to an Assignment and Assumption executed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Administrative Agent and the assignee (or, to the extent applicable, an agreement incorporating an Assignment and Assumption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Approved Electronic Platform as to which the Administrative Agent and such parties are participants), and (2) the Lender required to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assignment need not be a party thereto in order for such assignment to be effective and shall be deemed to have consented to and be bound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necessary to evidence such assignment as reasonably requested by the applicable Lender, provided that any such documents shall be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recourse to or warranty by the parties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Notwithstanding the foregoing, this Agreement and any other Loan Document may be amended (or amended and restated) with the written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the Required Lenders, the Administrative Agent and the Borrowers (x) to add one or more credit facilities (in addition to the Incremental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pursuant to an Incremental Term Loan Amendment) to this Agreement and to permit extensions of credit from time to time outstanding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accrued interest and fees in respect thereof to share ratably in the benefits of this Agreement and the other Loan Documents with the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Incremental Term Loans and the accrued interest and fees in respect thereof and (y) to include appropriately the Lenders holding such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in any determination of the Required Lenders and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56"/>
        <w:spacing w:after="0" w:line="250" w:lineRule="auto"/>
        <w:tabs>
          <w:tab w:leader="none" w:pos="8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 xml:space="preserve">. (a) The Company shall pay (i) all reasonable, documented and invoiced out-of-pocket expenses incurred by the Administrative Agent and JPMCB in its capacity as an Arranger, including the reasonable, documented and invoiced fees, disbursements and other charges of one primary counsel (and one additional local counsel in each applicable jurisdiction) for the Administrative Agent, in connection with the syndication and distribution (including, without limitation, via the internet or through a service such as Intralinks)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advance of contacting outside counsel of the Administrative Agent regarding matters concerning the administration of this Agreement in respect of which the Administrative Agent will expect to be reimbursed by the Company, the Administrative Agent will notify the Company of its intent to contact such outside counsel, (ii) all reasonable, documented and invoiced out-of-pocket expenses incurred by any Issuing Bank in connection with the issuance, amendment or extension of any Letter of Credit or any demand for payment thereunder and (iii) all reasonable, documented and invoiced out- of-pocket expenses incurred by the Administrative Agent or any Lender, including the reasonable fees, disbursements and other charges of one primary counsel (and one local counsel in each applicable jurisdiction) for the Administrative Agent, one additional counsel for all the Lenders other than the Administrative Agent and additional counsel as any Lender reasonably determines are necessary to avoid actual or potential conflicts of interest or the availability of different claims or defenses, in connection with the enforcement, collection or protection of its rights in connection with this Agreement and any other Loan Document at any time during a Default, including its rights under this Section, or in connection with the Loans made or Letters of Credit issued hereunder, including all such out-of-pocket expenses incurred during any workout, restructuring or negotiations during an Event of Default in respect of such Loans or Letters of Credit.</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56"/>
        <w:spacing w:after="0" w:line="250"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shall indemnify the Administrative Agent, each Arranger,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penalties and related reasonable and documented costs and expenses, including the reasonable fees, charges and disbursements of one primary counsel (and one local counsel in each applicable jurisdiction) for the Indemnitees taken as a whole and additional counsel as any Indemnitee or group of Indemnitees reasonably determines are necessary to avoid actual or potential conflicts of interest or the availability of different claims or defenses (solely to the extent the Company is informed in writing of such conflict or different claim or defense in advance of hiring additional counsel), as and when incurred by or asserted against any Indemnitee arising out of, in connection with, or as a result of (i) the execution or delivery of any Loan Document or any agreement or instrument contemplated thereby, or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 appealable judgment to have resulted from (a) the gross negligence, bad faith or willful misconduct of such Indemnitee or any of its Related Indemnified Persons, (b) a dispute among the Indemnitees not arising from an act or omission of the Company or any of its Affiliates (other than a dispute involving a claim against an Indemnitee for its acts or omissions in its capacity as an arranger, bookrunner, agent or similar role in respect of the credit facilities evidenced by this Agreement, except, with respect to this clause (b), to the extent such acts or omissions are determined by a court of competent jurisdiction by final and non-appealable judgment to have constituted the gross negligence, bad faith or willful misconduct of such Indemnitee in such capacity) or (c) such Indemnitee’s or any of its Related Indemnified Persons’ material breach of the Loan Documents (as determined pursuant to a claim asserted by the Company, whether as a claim, counterclaim or otherwise).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not apply with respect to Taxes other than any Taxes that represent losses, claims or damages arising from any non-Tax claim.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Related Indemnified Person</w:t>
      </w:r>
      <w:r>
        <w:rPr>
          <w:rFonts w:ascii="Times New Roman" w:cs="Times New Roman" w:eastAsia="Times New Roman" w:hAnsi="Times New Roman"/>
          <w:sz w:val="18"/>
          <w:szCs w:val="18"/>
          <w:color w:val="auto"/>
        </w:rPr>
        <w:t xml:space="preserve">” of an Indemnitee means (1) any controlled Affiliate of such Indemnitee, (2) the respective directors, managers, officers and employees of such Indemnitee and of its controlled Affiliates and (3) the respective agents of such Indemnitee and its controlled Affiliates, in the case of this clause (3), acting at the express instructions of such Indemnitee or such controlled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to a controlled affiliate, director, manager, officer or employee in this sentence pertains to a controlled affiliate, director, manager, officer or employee involved in the arrangement, negotiation or syndication of the credit facilities evidenced by this Agreement and/or the consummation of the transactions contemplated by the Loan Documents.</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To the extent that the Company fails to pay any amount required to be paid by it to the Administrative Agent, any Issuing Bank or any Swingline Lender under paragraph (a) or (b) of this Section, each Lender severally agrees to pay to the Administrative Agent, such Issuing Bank or such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such Issuing Bank or such Swingline Lender, each in their capacity as such.</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To the extent permitted by applicable law, the Company shall not assert, and hereby waives, any claim against any of the Administrative Agent, each Arranger, each Issuing Bank and each Lender, and each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(i) for any damages arising from the use by others of information or other materials obtained through telecommunications, electronic or other information transmission systems (including the Internet, any Approved Electronic Platform and any Approved Borrower Portal), other than for direct or actual damages determined by a court of competent jurisdiction by final and nonappealable judgment to have resulted from the gross negligence, bad faith or willful misconduct of such Lender-Related Person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any Letter of Credit or the use of the proceeds thereof.</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40" w:firstLine="656"/>
        <w:spacing w:after="0" w:line="250" w:lineRule="auto"/>
        <w:tabs>
          <w:tab w:leader="none" w:pos="8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amounts due under this Section shall be payable not later than 30 days after written demand therefor accompanied by a reasonably detailed calculation of the amount demanded.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5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       Subject to the conditions set forth in paragraph (b)(ii) below, any Lender may assign to one or more Persons (other than an Ineligible Institution) all or a portion of its rights and obligations under this Agreement (including all or a portion of its </w:t>
      </w:r>
      <w:r>
        <w:rPr>
          <w:rFonts w:ascii="Times New Roman" w:cs="Times New Roman" w:eastAsia="Times New Roman" w:hAnsi="Times New Roman"/>
          <w:sz w:val="18"/>
          <w:szCs w:val="18"/>
          <w:b w:val="1"/>
          <w:bCs w:val="1"/>
          <w:color w:val="FF0000"/>
          <w:strike w:val="1"/>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Commitments</w:t>
      </w:r>
      <w:r>
        <w:rPr>
          <w:rFonts w:ascii="Times New Roman" w:cs="Times New Roman" w:eastAsia="Times New Roman" w:hAnsi="Times New Roman"/>
          <w:sz w:val="18"/>
          <w:szCs w:val="18"/>
          <w:color w:val="000000"/>
        </w:rPr>
        <w:t>, participations in Letters of Credit and the Loans at the time owing to it) with the prior written consent (such consent not to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unreasonably withheld, conditioned or delayed, it being understood that in the case of any assignment that requires the Company’s consent, without limiting any other factors that may be reasonable, it shall be reasonable for the Company to consider a proposed assignee’s right to require reimbursement for increased costs when determining whether to consent to such an assignment)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Company (provided that the Company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Company shall be required (but notice to the Company, either prior to or promptly after such assignment, shall be required) for an assignment to (1) a Lender, an Affiliate of a Lender or an Approved Fund (provided further, notwithstanding the preceding clause (1), the consent of the Company shall be required if, after giving effect to such assignment, the assignee, collectively with its affiliated Lenders and affiliated Approved Funds, would, as a result of such assignment, hold more than fifteen percent (15%) of the aggregate amounts of Loans and unused Commitments), or, (2) if an Event of Default under clause (a), (f), (g) or (h)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has occurred and is continuing, any assignee;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Issuing Banks; </w:t>
      </w:r>
      <w:r>
        <w:rPr>
          <w:rFonts w:ascii="Times New Roman" w:cs="Times New Roman" w:eastAsia="Times New Roman" w:hAnsi="Times New Roman"/>
          <w:sz w:val="18"/>
          <w:szCs w:val="18"/>
          <w:b w:val="1"/>
          <w:bCs w:val="1"/>
          <w:u w:val="single" w:color="auto"/>
          <w:color w:val="0000FF"/>
        </w:rPr>
        <w:t>provided that no consent of the Issuing Banks shall be required for an assignment of all 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portion of a Term Loan Commitment or a Term Loan;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right="160" w:firstLine="652"/>
        <w:spacing w:after="0" w:line="250" w:lineRule="auto"/>
        <w:tabs>
          <w:tab w:leader="none" w:pos="22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Swingline Lenders</w:t>
      </w:r>
      <w:r>
        <w:rPr>
          <w:rFonts w:ascii="Times New Roman" w:cs="Times New Roman" w:eastAsia="Times New Roman" w:hAnsi="Times New Roman"/>
          <w:sz w:val="18"/>
          <w:szCs w:val="18"/>
          <w:b w:val="1"/>
          <w:bCs w:val="1"/>
          <w:u w:val="single" w:color="auto"/>
          <w:color w:val="0000FF"/>
        </w:rPr>
        <w:t>; provided that no consent of the Swingline Lenders shall be required for an assignment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all or any portion of a Term Loan Commitment or a Term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w:t>
      </w:r>
      <w:r>
        <w:rPr>
          <w:rFonts w:ascii="Times New Roman" w:cs="Times New Roman" w:eastAsia="Times New Roman" w:hAnsi="Times New Roman"/>
          <w:sz w:val="18"/>
          <w:szCs w:val="18"/>
          <w:b w:val="1"/>
          <w:bCs w:val="1"/>
          <w:u w:val="single" w:color="auto"/>
          <w:color w:val="0000FF"/>
        </w:rPr>
        <w:t>(in the case of Revolving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Revolving Loans) or $1,000,000 (in the case of Term Loan Commitments and Term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unless each of the Company and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Administrative Agent otherwise consent,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consent of the Company shall be required if an Event of Default under clause (a), (f), (g) or (h) of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xml:space="preserve"> has occurred and is continuing;</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(E)               without the prior written consent of the Administrative Agent, no assignment shall be made to a prospective assignee that bears a relationship to the Company described in Section 108(e)(4) of the Code;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the assignee shall not be the Company or any Subsidiary or Affiliate of the Company; and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Notwithstanding anything to the contrary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or elsewhere in this Agreement, the consent of each Swiss Borrower shall, so long as no Event of Default has occurred and is continuing, be required (such consent not to be unreasonably withheld or delayed) for an assignment or participation to an assignee or Participant that is a Swiss Non-Qualifying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 consent shall not be required by any Swiss Borrower, if, taking into consideration the contemplated assignment or participation, the number of Lenders or Participants, as applicable, that are Swiss Non-Qualifying Lenders, does not exceed ten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means (a) a natural person, (b) a Defaulting Lender or its Lender Parent, (c) the Parent, any of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Affiliates, (d) a company, investment vehicle or trust for, or owned and operated for the primary benefit of, a natural person or relative(s)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 a Disqualified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304"/>
        <w:spacing w:after="0" w:line="250" w:lineRule="auto"/>
        <w:tabs>
          <w:tab w:leader="none" w:pos="16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paragraph (c) of this Section.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304"/>
        <w:spacing w:after="0" w:line="250" w:lineRule="auto"/>
        <w:tabs>
          <w:tab w:leader="none" w:pos="16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304"/>
        <w:spacing w:after="0" w:line="250" w:lineRule="auto"/>
        <w:tabs>
          <w:tab w:leader="none" w:pos="155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56"/>
        <w:spacing w:after="0" w:line="253" w:lineRule="auto"/>
        <w:tabs>
          <w:tab w:leader="none" w:pos="9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       Any Lender may, without the consent of, or notice to, the Company, the Administrative Agent, any Issuing Bank or any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other than an Ineligible Institution, in all or a portion of such Lender’s rights and/or obligations under this Agreement (including all or a portion of its Commitment and/or the Loans owing to it); provided that (A) 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without the prior written consent of the Administrative Agent, no participation shall be sold to a prospective participant that bears a relationship to the Company described in Section 108(e)(4) of the Code and</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Participant shall be a Swiss Qualifying Lender or, if not, the prior written consent of each Swiss Borrower has been obtained (such consent not to be unreasonably withheld or delayed; provided that no Swiss Borrower shall consent to a participation that would be in violation of the Swiss Non-Bank Rules; provided, further, that no consent of any Swiss Borrower shall be required if an Event of Default has occurred and is continuing).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or in clause (i) of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that affects such Participant. Subject to paragraph (c)(ii) of this Section, each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2.17(j))</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A Participant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unless the Company is notified of the participation sold to such Participant and such Participant agrees, for the benefit of the Company,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as though it were a Lender.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83" w:lineRule="exact"/>
        <w:rPr>
          <w:sz w:val="20"/>
          <w:szCs w:val="20"/>
          <w:color w:val="auto"/>
        </w:rPr>
      </w:pPr>
    </w:p>
    <w:p>
      <w:pPr>
        <w:ind w:left="900" w:hanging="244"/>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Disqualified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No assignment or participation shall be made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being a Lender or Participant and (y) the execution by the Company of an Assignment and Assumption with respect to such assignee will not by itself result in such assignee no longer being considered a Disqualified Institution. Any assignment or participation in violation of this </w:t>
      </w:r>
      <w:r>
        <w:rPr>
          <w:rFonts w:ascii="Times New Roman" w:cs="Times New Roman" w:eastAsia="Times New Roman" w:hAnsi="Times New Roman"/>
          <w:sz w:val="18"/>
          <w:szCs w:val="18"/>
          <w:u w:val="single" w:color="auto"/>
          <w:color w:val="auto"/>
        </w:rPr>
        <w:t>clause (e)(i)</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apply.</w:t>
      </w:r>
    </w:p>
    <w:p>
      <w:pPr>
        <w:spacing w:after="0" w:line="19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If any assignment or participation is made to any Disqualified Institution without the Company’s prior written consent in violation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8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on an Approved Electronic Platform, including that portion of such Approved Electronic Platform that is designated for “public side” Lenders and/or (B) provide the DQ List to each Lender or potential Lender requesting the same.</w:t>
      </w:r>
    </w:p>
    <w:p>
      <w:pPr>
        <w:spacing w:after="0" w:line="180" w:lineRule="exact"/>
        <w:rPr>
          <w:sz w:val="20"/>
          <w:szCs w:val="20"/>
          <w:color w:val="auto"/>
        </w:rPr>
      </w:pPr>
    </w:p>
    <w:p>
      <w:pPr>
        <w:jc w:val="both"/>
        <w:ind w:left="660" w:firstLine="644"/>
        <w:spacing w:after="0" w:line="258" w:lineRule="auto"/>
        <w:tabs>
          <w:tab w:leader="none" w:pos="15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in accordance with their terms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and pursuant to procedures approved by it (it being understood and agreed that the Administrative Agent accepts, consents to and approves of transmission through electronic means of any Electronic Signature that is a reproduction of an image of an actual executed signature page); provided, further, without limiting the foregoing, (i) (a)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(other than any Electronic Signature actually known by the Administrative Agent or such Lender, as applicable, to be unauthorized or otherwise invalid) and without any obligation to review the appearance or form of any such Electronic Signature and (b) each Loan Party shall be entitled to rely on the Electronic Signatures of the Administrative Agent and each Lender purportedly given by or on behalf of the Administrative Agent or such Lender, as applicable, without further verification thereof (other than any Electronic Signature actually known by such Loan Party to be unauthorized or otherwise invalid) and without any obligation to review the appearance or form of any such Electronic Signatures and (ii) upon the request of the Administrative Agent or any Lender, any Electronic Signature shall be followed, as soon as reasonably practicable, by a manually executed counterpart. Without limiting the generality of the foregoing, the Loan Parties hereby (i) agree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 any claim against any Indemnitee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other Loan Party to use any available security measures in connection with the execution, delivery or transmission of any Electronic Signature, other than any Liabilities (x) determined by a court of competent jurisdiction by final and nonappealable judgment to have resulted from the bad faith, gross negligence or willful misconduct of any Lender-Related Person or (y) that result from a claim brought by any Loan Party and/or any Subsidiary thereof against any Lender-Related Person for material breach in bad faith of this Section 9.06 if such Loan Party or such Subsidiary has obtained a final and nonappealable judgment by a court of competent jurisdiction in its favor on such claim.</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but excluding deposits held in a trustee, fiduciary, agency or similar capacity or otherwise for the benefit of a third party) at any time held, and other obligations at any time owing, by such Lender, such Issuing Bank or any such Affiliate, to or for the credit or the account of any Borrower against any and all of the Obligations of such Borrower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such Borrower may be contingent or unmatured or are owed to a branch office or Affiliate of such Lender or such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Company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(a) This Agreement shall be construed in accordance with and governed by the law of the State of New York.</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           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or the consummation or administration of the transactions contemplated hereby or thereby shall be construed in accordance with and governed by the law of the State of New York.</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Each Loan Party hereby irrevocably and unconditionally submits, for itself and its property, to only the jurisdiction of (i) the United States District Court for the Southern District of New York sitting in the Borough of Manhattan (or if such court lacks subject matter jurisdiction, the Supreme Court of the State of New York sitting in the Borough of Manhattan) and (ii) any U.S. federal or Illinois state court sitting in Chicago, Illinois, and in each case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 or (iv) in respect of any Loan Party incorporated in Luxembourg only, any courts having jurisdiction where the head office, central administration, centre of main interest, place of effective management, domicile and/or establishment of that Loan Party is situated or where any asset of that Loan Party is situated.</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Parent, the Company and each Affiliate Borrower irrevocably designates and appoints the Service of Process Agent, as its authorized agent, to accept and acknowledge on its behalf, service of any and all process which may be served in any suit, action or proceeding of the nature referred to in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in any federal or New York State court sitting in New York City. The Initial Affiliate Borrower hereby represents, warrants and confirms that the Initial Affiliate Borrower has agreed to accept such appointment. Subject to the terms and conditions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said designation and appointment shall be irrevocable by the Parent, the Company, and such designation shall also be irrevocable by each such Affiliate Borrower until all Loans, all reimbursement obligations, interest thereon and all other amounts payable by such Affiliate Borrower hereunder and under the other Loan Documents shall have been paid in full in accordance with the provisions hereof and thereof and such Affiliate Borrower shall have been terminated as a Borrower hereunder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The Parent, the Company and each Affiliate Borrower hereby consents to process being served in any suit, action or proceeding of the nature referred to in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in any federal or New York State court sitting in New York City by service of process upon the Service of Process Agent as provided in this </w:t>
      </w:r>
      <w:r>
        <w:rPr>
          <w:rFonts w:ascii="Times New Roman" w:cs="Times New Roman" w:eastAsia="Times New Roman" w:hAnsi="Times New Roman"/>
          <w:sz w:val="18"/>
          <w:szCs w:val="18"/>
          <w:u w:val="single" w:color="auto"/>
          <w:color w:val="auto"/>
        </w:rPr>
        <w:t>Section 9.09(d)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lawful and possible, notice of said service upon such agent shall be mailed by registered or certified air mail, postage prepaid, return receipt requested, to the Service of Process Agent, and to the Parent, the Company and each such Affiliate Borrower at its address set forth in the Affiliate Borrowing Agreement to which it is a party or to any other address of which the Company or such Affiliate Borrower, as applicable, shall have given written notice to the Administrative Agent (with a copy thereof to the Service of Process Agent). The Parent, the Company and each Affiliate Borrower irrevocably waives, to the fullest extent permitted by law, all claim of error by reason of any such service in such manner and agrees that such service shall be deemed in every respect effective service of process upon the Parent, the Company or such Affiliate Borrower, as applicable, in any such suit, action or proceeding and shall, to the fullest extent permitted by law, be taken and held to be valid and personal service upon and personal delivery to the Parent, the Company or such Affiliate Borrower, as applicable. To the extent the Parent, the Company or any Affiliate Borrower has or hereafter may acquire any immunity from jurisdiction of any court or from any legal process (whether from service or notice, attachment prior to judgment, attachment in aid of execution of a judgment, execution or otherwise), the Parent, the Company and each Affiliate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Swingline Lenders,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same extent as if they were parties hereto), (b) to the extent requested by any regulatory authority (including any self-regulatory authority, such as the National Association of Insurance Commissioners), (c) to the extent required (i) by applicable laws or regulations or (ii)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(it being understood that the DQ List may be disclosed to any assignee or Participant, or prospective assignee or Participant, in reliance on and subject to the terms of this clause (f)(i)) or (ii) any actual or prospective counterparty (or its advisors) to any swap, derivative or insurance transaction relating to any Borrower and its obligations, (g) on a confidential basis to (A) any rating agency in connection with rating the Company or its Subsidiaries or the credit facilities provided for herein or (B) the CUSIP Service Bureau or any similar agency in connection with the issuance and monitoring of CUSIP numbers with respect to the credit facilities provided for herein, (h) with the written consent of the Company or</w:t>
      </w:r>
    </w:p>
    <w:p>
      <w:pPr>
        <w:spacing w:after="0" w:line="12" w:lineRule="exact"/>
        <w:rPr>
          <w:sz w:val="20"/>
          <w:szCs w:val="20"/>
          <w:color w:val="auto"/>
        </w:rPr>
      </w:pPr>
    </w:p>
    <w:p>
      <w:pPr>
        <w:jc w:val="both"/>
        <w:ind w:firstLine="8"/>
        <w:spacing w:after="0" w:line="251" w:lineRule="auto"/>
        <w:tabs>
          <w:tab w:leader="none" w:pos="2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Information (A) becomes publicly available other than as a result of a breach of this Section or (B) becomes available to the Administrative Agent, any Issuing Bank or any Lender on a nonconfidential basis from a source other than the Company or any of its Subsidiaries that the Administrative Agent, such Issuing Bank or such Lender, as applicable, reasonably believes is not prohibited from disclosing such information to such party in violation of a duty of confidentiality to the Company or any of its Subsidiaries. In the event of disclosure pursuant to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above, the applicable disclosing Person shall, (x) to the extent not prohibited by applicable law, rule or regulation, as promptly as practicable notify the Company in writing of such required disclosure, (y) so furnish only that portion of the Information which such disclosing Person reasonably determines (which may be in reliance on the advice of legal counsel) it is legally required to disclose and (z) use commercially reasonable efforts to ensure that any such Information so disclosed is accorded confidential treatment.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which is received from or on behalf of the Company relating to the Company, its Subsidiaries or Affiliates or their respective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in no event less than a reasonable degree of care.</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xml:space="preserve">”) to the extent that any such prohibition on disclosure set forth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prohibited by the laws or regulations applicable to such Regulatory Authority.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OR ON BEHALF OF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AND AGREES TO UPDATE SUCH CREDIT CONTACT BY NOTICE TO THE COMPANY AND THE ADMINISTRATIVE AGENT FROM TIME TO TIME AS NECESSARY TO CAUSE THE FOREGOING REPRESENTATION TO BE TRUE AT ALL TIMES.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 Beneficial Ownership Regulation</w:t>
      </w:r>
      <w:r>
        <w:rPr>
          <w:rFonts w:ascii="Times New Roman" w:cs="Times New Roman" w:eastAsia="Times New Roman" w:hAnsi="Times New Roman"/>
          <w:sz w:val="18"/>
          <w:szCs w:val="18"/>
          <w:color w:val="auto"/>
        </w:rPr>
        <w:t>. Each Lender that is subject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the requirements of the Beneficial Ownership Regulation hereby notifies each Loan Party that pursuant to the requirements of the Patriot Act and the Beneficial Ownership Regulation, it is required to obtain, verify and record information that identifies such Loan Party, which information includes the name, address and tax identification number of such Loan Party and other information that will allow such Lender to identify such Loan Party in accordance with the Patriot Act and the Beneficial Ownership Regulation.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xml:space="preserve">. Notwithstanding anything herein to the contrary, if at any time the interest rate applicable to any Loan, together with all fees, charges and other amounts which are treated as interest on such Loan under applicable law (collectively the “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Loan Party with respect to the Loan Documents and the transactions contemplated herein and therein and not as a financial advisor or a fiduciary to, or an agent of, such Loan Party or any other person. Each Loan Party agrees that it will not assert any claim against any Credit Party based on an alleged breach of fiduciary duty by such Credit Party in connection with this Agreement and the transactions contemplated hereby. Additionally, each Loan Party acknowledges and agrees that no Credit Party is advising such Loan Party as to any legal, tax, investment, accounting, regulatory or any other matters in any jurisdiction in connection with this Agreement, the other Loan Documents and the credit facilities evidenced hereby. Each Loan Party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Loan Party with respect thereto.</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56"/>
        <w:spacing w:after="0" w:line="254" w:lineRule="auto"/>
        <w:tabs>
          <w:tab w:leader="none" w:pos="9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Loan Party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Loan Party, its Subsidiaries and other companies with which such Loan Party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such Loan Party or any of its Subsidiaries may have conflicting interests regarding the transactions described herein and otherwise. No Credit Party will use Information obtained from the Loan Party by virtue of the transactions contemplated by the Loan Documents or its other relationships with the Loan Party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such Loan Party or any of its Subsidiaries, confidential information obtained from other companies.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920" w:hanging="264"/>
        <w:spacing w:after="0"/>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reduction in full or in part or cancellation of any such liability;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extent not prohibited by applicable law, rule or regulation, each Lender shall notify the Company and the Administrative Agent if it has become the subject of a Bail-In Action (or any case or other proceeding in which a Bail-In Action may occur).</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Confirmation of Lender’s Status as Swiss Qualifying Lender</w:t>
      </w:r>
      <w:r>
        <w:rPr>
          <w:rFonts w:ascii="Times New Roman" w:cs="Times New Roman" w:eastAsia="Times New Roman" w:hAnsi="Times New Roman"/>
          <w:sz w:val="18"/>
          <w:szCs w:val="18"/>
          <w:color w:val="auto"/>
        </w:rPr>
        <w:t>. Each Lender represents and warrants to the Loan Parties that, on the date of this Agreement (or, if later, the date such Lender becomes a party hereto), unless notified in writing to the Company and the Administrative Agent prior to the Effective Date (or such later date), it is a Swiss Qualifying Lender and has not entered into a participation arrangement with respect to this Agreement with any Person that is a Swiss Non-Qualifying Lender. Any Person that shall become a successor, assign or Participant with respect to any Lender pursuant to this Agreement shall be deemed to have represented and warranted that it is a Swiss Qualifying Lender and has not entered into a participation arrangement with respect to this Agreement with any Person that is a Swiss Non-Qualifying Lender or, if not, such Person accounts as one single creditor for purposes of the Swiss Non-Bank Rules. Each Lender shall promptly notify the Company and the Administrative Agent if for any reason it ceases to be a Swiss Qualifying Lender and/or it enters into a participation arrangement with respect to this Agreement with any Person that is a Swiss Non-Qualifying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order to induce the Lenders to extend credit to the Borrowers hereunder or to any of the Parent’s Subsidiaries under Hedging Agreements and Banking Services Agreements, and for other good and valuable consideration (the receipt and sufficiency of which are hereby acknowledged) the Guarantor hereby irrevocably and unconditionally guarantees, as a primary obligor and not merely as a surety, the payment when and as due, subject to the notice provisions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of the Obligations (other than the Obligations of the Parent) and the Specified Ancillary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The Guarantor further agrees that the due and punctual payment of such Guaranteed Obligations may be extended or renewed, in whole or in part, without notice to or further assent from it, and that it will remain bound upon its guarantee hereunder notwithstanding any such extension or renewal of any such Guaranteed Obligation. For the avoidance of doubt and notwithstanding any provision hereof to the contrary, (i) the Guaranteed Obligations shall in no event be broader than the performance of the related Obligations or Specified Ancillary Obligations in accordance with their terms and (ii) nothing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affect or otherwise impair any rights (including rights of setoff or counterclaim) that the applicable Borrower or Subsidiary may have against any holder of Guaranteed Obligation under the applicable Hedging Agreement and/or Banking Services Agreement, as applicable, by reason of any action or failure to act of such holder thereunder (including, without limitation, any breach or default of such holder under the related Hedging Agreement or Banking Services Agreement).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Guarantor waives presentment to, demand of payment from and protest to any Subsidiary of any of the Guaranteed Obligations, and also waives, other than as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notice of acceptance of its obligations and notice of protest for nonpayment. The obligations of the Guarantor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be affected by: (a) the failure of the Administrative Agent, any Issuing Bank or any Lender (or any of its Affiliates) to assert any claim or demand or to enforce any right or remedy against any Subsidiary under the provisions of this Agreement, any other Loan Document, any Hedging Agreement, any Banking Services Agreement or otherwise; (b) any extension or renewal of any of the Guaranteed Obligations; (c) any rescission, waiver, amendment or modification of, or release from, any of the terms or provisions of this Agreement, any other Loan Document, any Hedging Agreement, any Banking Services Agreement or any other agreement (other than to the extent provided for in any express, written release, amendment, modification or waiver with respect to any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made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(d) any default, failure or delay, willful or otherwise, in the performance of any of the Guaranteed Obligations; (e) the failure of the Administrative Agent (or any applicable Lender (or any of its Affiliates)) to take any steps to perfect and maintain any security interest in, or to preserve any rights to, any security or collateral for the Guaranteed Obligations, if any; (f) any change in the corporate, partnership or other existence, structure or ownership of any Subsidiary or any other guarantor of any of the Guaranteed Obligations; (g)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Subsidiary or any other guarantor of any of the Guaranteed Obligations, for any reason related to this Agreement, any other Loan Document, any Hedging Agreement, any Banking Services Agreement or any provision of applicable law, decree, order or regulation of any jurisdiction purporting to prohibit the payment by such Subsidiary or any other guarantor of the Guaranteed Obligations, of any of the Guaranteed Obligations or otherwise affecting any term of any of the Guaranteed Obligations; or (h) any other act, omission or delay to do any other act which may or might in any manner or to any extent vary the risk of the Guarantor or otherwise operate as a discharge of a guarantor as a matter of law or equity or which would impair or eliminate any right of the Guarantor to subrogation.</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Guarantor further agrees that its agreement hereunder constitutes a guarantee of payment when due (whether or not any bankruptcy or similar proceeding shall have stayed the accrual or collection of any of the Guaranteed Obligations or operated as a discharge thereof) and not merely of collection, and waives any right to require that any resort be had by the Administrative Agent, any Issuing Bank or any Lender (or any of its Affiliates) to any balance of any deposit account or credit on the books of the Administrative Agent, any Issuing Bank or any Lender in favor of any Subsidiary or any other Person.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Guarantor hereunder shall not be subject to any reduction, limitation, impairment or termination for any reason,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Guarantor further agrees that its obligations hereunder shall constitute a continuing and irrevocable guarantee of all Guaranteed Obligations now or hereafter existing and shall continue to be effective or be reinstated, as the case may be, if at any time payment, or any part thereof, of any Guaranteed Obligation (including a payment effected through exercise of a right of setoff) is rescinded, or is or must otherwise be restored or returned by the Administrative Agent, the Issuing Bank or any Lender (or any of its Affiliates) upon the insolvency, examinership, bankruptcy or reorganization of any Subsidiary or otherwise (including pursuant to any settlement entered into by a holder of Guaranteed Obligations in its discretion).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the Administrative Agent, any Issuing Bank or any Lender (or any of its Affiliates) may have at law or in equity against any Guarantor by virtue hereof, upon the failure of any Subsidiary to pay any Guaranteed Obligation when and as the same shall become due, whether at maturity, by acceleration, after notice of prepayment or otherwise, the Guarantor hereby promises to and will, promptly but in any event within two (2) Business Days following receipt of written demand by the Administrative Agent, any Issuing Bank or any Lender (or any of its Affiliates), forthwith pay, or cause to be paid, to the Administrative Agent, any Issuing Bank or any Lender (or any of its Affiliates) in cash an amount equal to the unpaid principal amount of the Guaranteed Obligations then due, together with accrued and unpaid interest thereon. The Guarantor further agrees that if payment in respect of any Guaranteed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similar event, payment of such Guaranteed Obligation in such currency or at such place of payment shall be impossible or, in the reasonable judgment of the Administrative Agent, any Issuing Bank or any Lender (or any of its Affiliates), disadvantageous to the Administrative Agent, any Issuing Bank or any Lender (or any of such Lender’s Affiliates) in any material respect, then, at the election of the Administrative Agent, the Guarantor shall make payment of such Guaranteed Obligation in Dollars (based upon the Dollar Amount of such Guaranteed Obligation on the date of payment) and/or in New York, Chicago or such other Foreign Currency Payment Office as is designated by the Administrative Agent or such Lender and, as a separate and independent obligation, shall indemnify the Administrative Agent, any Issuing Bank and any Lender (and such Lender’s Affiliates), as applicable, against any losses or reasonable out-of-pocket expenses that it shall sustain as a result of such alternative payment.</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payment by any Guarantor of any sums as provided above, all rights of the Guarantor against any Subsidiary arising as a result thereof by way of right of subrogation or otherwise shall in all respects be subordinated and junior in right of payment to the prior indefeasible payment in full in cash of all the Guaranteed Obligations owed by such Subsidiary.</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Nothing shall discharge or satisfy the liability of any Guarantor hereunder except the full performance and payment in cash of the Guaranteed Obligations.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Swiss Limitation Language for Swiss Loan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and to the extent that a payment in fulfilling the liabilities under Section X, under any joint and several liabilities or that the use of the proceeds from the enforcement of a security interest of any Swiss Loan Party would, at the time payment is due or the security interest is enforced, under Swiss law and practice (inter alia, prohibiting capital repayments or restricting profit distributions) not be permitted, in particular if and to the extent that such Swiss Loan Party guarantees obligations other than obligations of one of its direct or indirect subsidiaries (i.e. obligations of its direct or indirect parent companies (up-stream guarantee) or sister companies (cross-stream guarantee)) (“</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then such obligations, payment amounts and the use of the proceeds from the enforcement of such security interest shall from time to time be limited to the amount of the freely disposable equity in accordance with Swiss law; provided that such limited amount shall at no time be less than such Swiss Loan Party’s profits and reserves available for the distribution as dividends (being the balance sheet profits and any reserves available for this purpose, in each case in accordance with Swiss law and applicable Swiss accounting principles) at the time or times payment under or pursuant to the Loan Documents is requested from such Swiss Loan Party, and further provided that such limitation (as may apply from time to time or not) shall not (generally or definitively) free such Swiss Loan Party from payment obligations hereunder in excess thereof, but merely postpone the payment date therefor until such times as payment is again permitted notwithstanding such limitation. Any and all indemnities and guarantees contained in the Loan Documents shall be construed in a manner consistent with the provisos herein contained.</w:t>
      </w:r>
    </w:p>
    <w:p>
      <w:pPr>
        <w:spacing w:after="0" w:line="187"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Restricted Obligations, each Swiss Loan Party shall: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required by applicable law in force at the relevant time:</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(A)             subject to any applicable double taxation treaty, deduct Swiss Withholding Tax at the rate of 35% (or such other rate as in force from time to time) from any payment made by it in respect of Restricted Obligations;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pay any such deduction to the Swiss Federal Tax Administration; and</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(C)             notify (or ensure that the Company notifies) the Administrative Agent that such a deduction has been made and provide the Administrative Agent with evidence that such a deduction has been paid to the Swiss Federal Tax Administration, all in accordance with Section 2.13(e) of this Agreement;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to the extent such a deduction is made, not be obliged to either gross-up or indemnify each recipient in relation to any such payment made by it in respect of Restricted Obligations unless such gross-up or tax indemnity payment is permitted under the laws of Switzerland then in force.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If and to the extent requested by the Administrative Agent and if and to the extent this is from time to time required under Swiss law (restricting profit distributions), in order to allow the Administrative Agent to obtain a maximum benefit under the Loan Documents, each Swiss Loan Party undertakes to promptly implement all such measures and/or to promptly obtain the fulfillment of all prerequisites allowing it to promptly perform its obligations and make the requested payment(s) thereunder from time to time, including the following:</w:t>
      </w:r>
    </w:p>
    <w:p>
      <w:pPr>
        <w:spacing w:after="0" w:line="180" w:lineRule="exact"/>
        <w:rPr>
          <w:sz w:val="20"/>
          <w:szCs w:val="20"/>
          <w:color w:val="auto"/>
        </w:rPr>
      </w:pPr>
    </w:p>
    <w:p>
      <w:pPr>
        <w:ind w:left="5460" w:right="3940" w:hanging="4156"/>
        <w:spacing w:after="0" w:line="783" w:lineRule="auto"/>
        <w:tabs>
          <w:tab w:leader="none" w:pos="1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preparation of an up-to-date audited balance sheet of such Swiss Loan Party;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(ii)           confirmation of the auditors of such Swiss Loan Party that the relevant amount represents the maximum freely distributable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profits;</w:t>
      </w:r>
    </w:p>
    <w:p>
      <w:pPr>
        <w:spacing w:after="0" w:line="207"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approval by a shareholders’ or a quotaholders’ meeting (as applicable) of such Swiss Loan Party of the resulting profit distribution;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(iv)         all such other measures necessary or useful to allow such Swiss Loan Party to make the payments and perform the obligations agreed under the Loan Documents with a minimum of limitations.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lowerLetter"/>
      <w:start w:val="1"/>
    </w:lvl>
  </w:abstractNum>
  <w:abstractNum w:abstractNumId="2">
    <w:nsid w:val="2CD89A32"/>
    <w:multiLevelType w:val="hybridMultilevel"/>
    <w:lvl w:ilvl="0">
      <w:lvlJc w:val="left"/>
      <w:lvlText w:val="(%1)"/>
      <w:numFmt w:val="lowerRoman"/>
      <w:start w:val="2"/>
    </w:lvl>
  </w:abstractNum>
  <w:abstractNum w:abstractNumId="3">
    <w:nsid w:val="57E4CCAF"/>
    <w:multiLevelType w:val="hybridMultilevel"/>
    <w:lvl w:ilvl="0">
      <w:lvlJc w:val="left"/>
      <w:lvlText w:val="(%1)"/>
      <w:numFmt w:val="lowerRoman"/>
      <w:start w:val="6"/>
    </w:lvl>
  </w:abstractNum>
  <w:abstractNum w:abstractNumId="4">
    <w:nsid w:val="7A6D8D3C"/>
    <w:multiLevelType w:val="hybridMultilevel"/>
    <w:lvl w:ilvl="0">
      <w:lvlJc w:val="left"/>
      <w:lvlText w:val="\ldblquote"/>
      <w:numFmt w:val="bullet"/>
      <w:start w:val="1"/>
    </w:lvl>
  </w:abstractNum>
  <w:abstractNum w:abstractNumId="5">
    <w:nsid w:val="4B588F54"/>
    <w:multiLevelType w:val="hybridMultilevel"/>
    <w:lvl w:ilvl="0">
      <w:lvlJc w:val="left"/>
      <w:lvlText w:val="(%1)"/>
      <w:numFmt w:val="lowerLetter"/>
      <w:start w:val="3"/>
    </w:lvl>
  </w:abstractNum>
  <w:abstractNum w:abstractNumId="6">
    <w:nsid w:val="542289EC"/>
    <w:multiLevelType w:val="hybridMultilevel"/>
    <w:lvl w:ilvl="0">
      <w:lvlJc w:val="left"/>
      <w:lvlText w:val="(%1)"/>
      <w:numFmt w:val="decimal"/>
      <w:start w:val="2"/>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Roman"/>
      <w:start w:val="2"/>
    </w:lvl>
  </w:abstractNum>
  <w:abstractNum w:abstractNumId="9">
    <w:nsid w:val="7644A45C"/>
    <w:multiLevelType w:val="hybridMultilevel"/>
    <w:lvl w:ilvl="0">
      <w:lvlJc w:val="left"/>
      <w:lvlText w:val="(%1)"/>
      <w:numFmt w:val="lowerRoman"/>
      <w:start w:val="1"/>
    </w:lvl>
  </w:abstractNum>
  <w:abstractNum w:abstractNumId="10">
    <w:nsid w:val="32FFF902"/>
    <w:multiLevelType w:val="hybridMultilevel"/>
    <w:lvl w:ilvl="0">
      <w:lvlJc w:val="left"/>
      <w:lvlText w:val="%1"/>
      <w:numFmt w:val="lowerLetter"/>
      <w:start w:val="1"/>
    </w:lvl>
    <w:lvl w:ilvl="1">
      <w:lvlJc w:val="left"/>
      <w:lvlText w:val="(%2)"/>
      <w:numFmt w:val="lowerLetter"/>
      <w:start w:val="61"/>
    </w:lvl>
  </w:abstractNum>
  <w:abstractNum w:abstractNumId="11">
    <w:nsid w:val="684A481A"/>
    <w:multiLevelType w:val="hybridMultilevel"/>
    <w:lvl w:ilvl="0">
      <w:lvlJc w:val="left"/>
      <w:lvlText w:val="(%1)"/>
      <w:numFmt w:val="lowerLetter"/>
      <w:start w:val="2"/>
    </w:lvl>
    <w:lvl w:ilvl="1">
      <w:lvlJc w:val="left"/>
      <w:lvlText w:val="%2"/>
      <w:numFmt w:val="lowerLetter"/>
      <w:start w:val="1"/>
    </w:lvl>
  </w:abstractNum>
  <w:abstractNum w:abstractNumId="12">
    <w:nsid w:val="579478FE"/>
    <w:multiLevelType w:val="hybridMultilevel"/>
    <w:lvl w:ilvl="0">
      <w:lvlJc w:val="left"/>
      <w:lvlText w:val="(%1)"/>
      <w:numFmt w:val="lowerRoman"/>
      <w:start w:val="1"/>
    </w:lvl>
  </w:abstractNum>
  <w:abstractNum w:abstractNumId="13">
    <w:nsid w:val="749ABB43"/>
    <w:multiLevelType w:val="hybridMultilevel"/>
    <w:lvl w:ilvl="0">
      <w:lvlJc w:val="left"/>
      <w:lvlText w:val="(%1)"/>
      <w:numFmt w:val="lowerLetter"/>
      <w:start w:val="4"/>
    </w:lvl>
  </w:abstractNum>
  <w:abstractNum w:abstractNumId="14">
    <w:nsid w:val="3DC240FB"/>
    <w:multiLevelType w:val="hybridMultilevel"/>
    <w:lvl w:ilvl="0">
      <w:lvlJc w:val="left"/>
      <w:lvlText w:val="(%1)"/>
      <w:numFmt w:val="decimal"/>
      <w:start w:val="12"/>
    </w:lvl>
  </w:abstractNum>
  <w:abstractNum w:abstractNumId="15">
    <w:nsid w:val="1BA026FA"/>
    <w:multiLevelType w:val="hybridMultilevel"/>
    <w:lvl w:ilvl="0">
      <w:lvlJc w:val="left"/>
      <w:lvlText w:val="(%1)"/>
      <w:numFmt w:val="lowerLetter"/>
      <w:start w:val="1"/>
    </w:lvl>
  </w:abstractNum>
  <w:abstractNum w:abstractNumId="16">
    <w:nsid w:val="79A1DEAA"/>
    <w:multiLevelType w:val="hybridMultilevel"/>
    <w:lvl w:ilvl="0">
      <w:lvlJc w:val="left"/>
      <w:lvlText w:val="(%1)"/>
      <w:numFmt w:val="lowerLetter"/>
      <w:start w:val="2"/>
    </w:lvl>
  </w:abstractNum>
  <w:abstractNum w:abstractNumId="17">
    <w:nsid w:val="75C6C33A"/>
    <w:multiLevelType w:val="hybridMultilevel"/>
    <w:lvl w:ilvl="0">
      <w:lvlJc w:val="left"/>
      <w:lvlText w:val="(%1)"/>
      <w:numFmt w:val="lowerRoman"/>
      <w:start w:val="1"/>
    </w:lvl>
  </w:abstractNum>
  <w:abstractNum w:abstractNumId="18">
    <w:nsid w:val="12E685FB"/>
    <w:multiLevelType w:val="hybridMultilevel"/>
    <w:lvl w:ilvl="0">
      <w:lvlJc w:val="left"/>
      <w:lvlText w:val="(%1)"/>
      <w:numFmt w:val="upperLetter"/>
      <w:start w:val="1"/>
    </w:lvl>
  </w:abstractNum>
  <w:abstractNum w:abstractNumId="19">
    <w:nsid w:val="70C6A529"/>
    <w:multiLevelType w:val="hybridMultilevel"/>
    <w:lvl w:ilvl="0">
      <w:lvlJc w:val="left"/>
      <w:lvlText w:val="(%1)"/>
      <w:numFmt w:val="lowerRoman"/>
      <w:start w:val="3"/>
    </w:lvl>
  </w:abstractNum>
  <w:abstractNum w:abstractNumId="20">
    <w:nsid w:val="520EEDD1"/>
    <w:multiLevelType w:val="hybridMultilevel"/>
    <w:lvl w:ilvl="0">
      <w:lvlJc w:val="left"/>
      <w:lvlText w:val="(%1)"/>
      <w:numFmt w:val="lowerLetter"/>
      <w:start w:val="3"/>
    </w:lvl>
    <w:lvl w:ilvl="1">
      <w:lvlJc w:val="left"/>
      <w:lvlText w:val="(%2)"/>
      <w:numFmt w:val="lowerRoman"/>
      <w:start w:val="1"/>
    </w:lvl>
  </w:abstractNum>
  <w:abstractNum w:abstractNumId="21">
    <w:nsid w:val="374A3FE6"/>
    <w:multiLevelType w:val="hybridMultilevel"/>
    <w:lvl w:ilvl="0">
      <w:lvlJc w:val="left"/>
      <w:lvlText w:val="(%1)"/>
      <w:numFmt w:val="lowerLetter"/>
      <w:start w:val="4"/>
    </w:lvl>
  </w:abstractNum>
  <w:abstractNum w:abstractNumId="22">
    <w:nsid w:val="4F4EF005"/>
    <w:multiLevelType w:val="hybridMultilevel"/>
    <w:lvl w:ilvl="0">
      <w:lvlJc w:val="left"/>
      <w:lvlText w:val="(%1)"/>
      <w:numFmt w:val="lowerLetter"/>
      <w:start w:val="1"/>
    </w:lvl>
  </w:abstractNum>
  <w:abstractNum w:abstractNumId="23">
    <w:nsid w:val="23F9C13C"/>
    <w:multiLevelType w:val="hybridMultilevel"/>
    <w:lvl w:ilvl="0">
      <w:lvlJc w:val="left"/>
      <w:lvlText w:val="(%1)"/>
      <w:numFmt w:val="lowerLetter"/>
      <w:start w:val="2"/>
    </w:lvl>
  </w:abstractNum>
  <w:abstractNum w:abstractNumId="24">
    <w:nsid w:val="649BB77C"/>
    <w:multiLevelType w:val="hybridMultilevel"/>
    <w:lvl w:ilvl="0">
      <w:lvlJc w:val="left"/>
      <w:lvlText w:val="(%1)"/>
      <w:numFmt w:val="lowerLetter"/>
      <w:start w:val="25"/>
    </w:lvl>
  </w:abstractNum>
  <w:abstractNum w:abstractNumId="25">
    <w:nsid w:val="275AC794"/>
    <w:multiLevelType w:val="hybridMultilevel"/>
    <w:lvl w:ilvl="0">
      <w:lvlJc w:val="left"/>
      <w:lvlText w:val="(%1)"/>
      <w:numFmt w:val="lowerRoman"/>
      <w:start w:val="1"/>
    </w:lvl>
  </w:abstractNum>
  <w:abstractNum w:abstractNumId="26">
    <w:nsid w:val="39386575"/>
    <w:multiLevelType w:val="hybridMultilevel"/>
    <w:lvl w:ilvl="0">
      <w:lvlJc w:val="left"/>
      <w:lvlText w:val="(%1)"/>
      <w:numFmt w:val="lowerRoman"/>
      <w:start w:val="2"/>
    </w:lvl>
  </w:abstractNum>
  <w:abstractNum w:abstractNumId="27">
    <w:nsid w:val="1CF10FD8"/>
    <w:multiLevelType w:val="hybridMultilevel"/>
    <w:lvl w:ilvl="0">
      <w:lvlJc w:val="left"/>
      <w:lvlText w:val="(%1)"/>
      <w:numFmt w:val="lowerLetter"/>
      <w:start w:val="3"/>
    </w:lvl>
  </w:abstractNum>
  <w:abstractNum w:abstractNumId="28">
    <w:nsid w:val="180115BE"/>
    <w:multiLevelType w:val="hybridMultilevel"/>
    <w:lvl w:ilvl="0">
      <w:lvlJc w:val="left"/>
      <w:lvlText w:val="(%1)"/>
      <w:numFmt w:val="lowerLetter"/>
      <w:start w:val="9"/>
    </w:lvl>
  </w:abstractNum>
  <w:abstractNum w:abstractNumId="29">
    <w:nsid w:val="235BA861"/>
    <w:multiLevelType w:val="hybridMultilevel"/>
    <w:lvl w:ilvl="0">
      <w:lvlJc w:val="left"/>
      <w:lvlText w:val="(%1)"/>
      <w:numFmt w:val="lowerRoman"/>
      <w:start w:val="1"/>
    </w:lvl>
  </w:abstractNum>
  <w:abstractNum w:abstractNumId="30">
    <w:nsid w:val="47398C89"/>
    <w:multiLevelType w:val="hybridMultilevel"/>
    <w:lvl w:ilvl="0">
      <w:lvlJc w:val="left"/>
      <w:lvlText w:val="(%1)"/>
      <w:numFmt w:val="upperLetter"/>
      <w:start w:val="2"/>
    </w:lvl>
  </w:abstractNum>
  <w:abstractNum w:abstractNumId="31">
    <w:nsid w:val="354FE9F9"/>
    <w:multiLevelType w:val="hybridMultilevel"/>
    <w:lvl w:ilvl="0">
      <w:lvlJc w:val="left"/>
      <w:lvlText w:val="(%1)"/>
      <w:numFmt w:val="lowerLetter"/>
      <w:start w:val="3"/>
    </w:lvl>
    <w:lvl w:ilvl="1">
      <w:lvlJc w:val="left"/>
      <w:lvlText w:val="(%2)"/>
      <w:numFmt w:val="lowerLetter"/>
      <w:start w:val="9"/>
    </w:lvl>
  </w:abstractNum>
  <w:abstractNum w:abstractNumId="32">
    <w:nsid w:val="15B5AF5C"/>
    <w:multiLevelType w:val="hybridMultilevel"/>
    <w:lvl w:ilvl="0">
      <w:lvlJc w:val="left"/>
      <w:lvlText w:val="(%1)"/>
      <w:numFmt w:val="lowerLetter"/>
      <w:start w:val="4"/>
    </w:lvl>
  </w:abstractNum>
  <w:abstractNum w:abstractNumId="33">
    <w:nsid w:val="741226BB"/>
    <w:multiLevelType w:val="hybridMultilevel"/>
    <w:lvl w:ilvl="0">
      <w:lvlJc w:val="left"/>
      <w:lvlText w:val="(%1)"/>
      <w:numFmt w:val="lowerRoman"/>
      <w:start w:val="2"/>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1)"/>
      <w:numFmt w:val="lowerLetter"/>
      <w:start w:val="2"/>
    </w:lvl>
  </w:abstractNum>
  <w:abstractNum w:abstractNumId="36">
    <w:nsid w:val="3F6AB60F"/>
    <w:multiLevelType w:val="hybridMultilevel"/>
    <w:lvl w:ilvl="0">
      <w:lvlJc w:val="left"/>
      <w:lvlText w:val="(%1)"/>
      <w:numFmt w:val="lowerLetter"/>
      <w:start w:val="2"/>
    </w:lvl>
  </w:abstractNum>
  <w:abstractNum w:abstractNumId="37">
    <w:nsid w:val="61574095"/>
    <w:multiLevelType w:val="hybridMultilevel"/>
    <w:lvl w:ilvl="0">
      <w:lvlJc w:val="left"/>
      <w:lvlText w:val="(%1)"/>
      <w:numFmt w:val="lowerLetter"/>
      <w:start w:val="5"/>
    </w:lvl>
  </w:abstractNum>
  <w:abstractNum w:abstractNumId="38">
    <w:nsid w:val="7E0C57B1"/>
    <w:multiLevelType w:val="hybridMultilevel"/>
    <w:lvl w:ilvl="0">
      <w:lvlJc w:val="left"/>
      <w:lvlText w:val="(%1)"/>
      <w:numFmt w:val="lowerRoman"/>
      <w:start w:val="2"/>
    </w:lvl>
  </w:abstractNum>
  <w:abstractNum w:abstractNumId="39">
    <w:nsid w:val="77AE35EB"/>
    <w:multiLevelType w:val="hybridMultilevel"/>
    <w:lvl w:ilvl="0">
      <w:lvlJc w:val="left"/>
      <w:lvlText w:val="(%1)"/>
      <w:numFmt w:val="lowerLetter"/>
      <w:start w:val="6"/>
    </w:lvl>
  </w:abstractNum>
  <w:abstractNum w:abstractNumId="40">
    <w:nsid w:val="579BE4F1"/>
    <w:multiLevelType w:val="hybridMultilevel"/>
    <w:lvl w:ilvl="0">
      <w:lvlJc w:val="left"/>
      <w:lvlText w:val="(%1)"/>
      <w:numFmt w:val="upperLetter"/>
      <w:start w:val="2"/>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lowerLetter"/>
      <w:start w:val="2"/>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2"/>
    </w:lvl>
  </w:abstractNum>
  <w:abstractNum w:abstractNumId="45">
    <w:nsid w:val="1DBABF00"/>
    <w:multiLevelType w:val="hybridMultilevel"/>
    <w:lvl w:ilvl="0">
      <w:lvlJc w:val="left"/>
      <w:lvlText w:val="(%1)"/>
      <w:numFmt w:val="lowerRoman"/>
      <w:start w:val="2"/>
    </w:lvl>
    <w:lvl w:ilvl="1">
      <w:lvlJc w:val="left"/>
      <w:lvlText w:val="(%2)"/>
      <w:numFmt w:val="upperLetter"/>
      <w:start w:val="1"/>
    </w:lvl>
  </w:abstractNum>
  <w:abstractNum w:abstractNumId="46">
    <w:nsid w:val="4AD084E9"/>
    <w:multiLevelType w:val="hybridMultilevel"/>
    <w:lvl w:ilvl="0">
      <w:lvlJc w:val="left"/>
      <w:lvlText w:val="(%1)"/>
      <w:numFmt w:val="upperLetter"/>
      <w:start w:val="2"/>
    </w:lvl>
  </w:abstractNum>
  <w:abstractNum w:abstractNumId="47">
    <w:nsid w:val="1F48EAA1"/>
    <w:multiLevelType w:val="hybridMultilevel"/>
    <w:lvl w:ilvl="0">
      <w:lvlJc w:val="left"/>
      <w:lvlText w:val="(%1)"/>
      <w:numFmt w:val="lowerRoman"/>
      <w:start w:val="10"/>
    </w:lvl>
  </w:abstractNum>
  <w:abstractNum w:abstractNumId="48">
    <w:nsid w:val="1381823A"/>
    <w:multiLevelType w:val="hybridMultilevel"/>
    <w:lvl w:ilvl="0">
      <w:lvlJc w:val="left"/>
      <w:lvlText w:val="(%1)"/>
      <w:numFmt w:val="upperLetter"/>
      <w:start w:val="3"/>
    </w:lvl>
  </w:abstractNum>
  <w:abstractNum w:abstractNumId="49">
    <w:nsid w:val="5DB70AE5"/>
    <w:multiLevelType w:val="hybridMultilevel"/>
    <w:lvl w:ilvl="0">
      <w:lvlJc w:val="left"/>
      <w:lvlText w:val="(%1)"/>
      <w:numFmt w:val="lowerRoman"/>
      <w:start w:val="1"/>
    </w:lvl>
  </w:abstractNum>
  <w:abstractNum w:abstractNumId="50">
    <w:nsid w:val="100F8FCA"/>
    <w:multiLevelType w:val="hybridMultilevel"/>
    <w:lvl w:ilvl="0">
      <w:lvlJc w:val="left"/>
      <w:lvlText w:val="(%1)"/>
      <w:numFmt w:val="lowerLetter"/>
      <w:start w:val="13"/>
    </w:lvl>
  </w:abstractNum>
  <w:abstractNum w:abstractNumId="51">
    <w:nsid w:val="6590700B"/>
    <w:multiLevelType w:val="hybridMultilevel"/>
    <w:lvl w:ilvl="0">
      <w:lvlJc w:val="left"/>
      <w:lvlText w:val="(%1)"/>
      <w:numFmt w:val="upperLetter"/>
      <w:start w:val="2"/>
    </w:lvl>
    <w:lvl w:ilvl="1">
      <w:lvlJc w:val="left"/>
      <w:lvlText w:val="(%2)"/>
      <w:numFmt w:val="lowerRoman"/>
      <w:start w:val="4"/>
    </w:lvl>
  </w:abstractNum>
  <w:abstractNum w:abstractNumId="52">
    <w:nsid w:val="15014ACB"/>
    <w:multiLevelType w:val="hybridMultilevel"/>
    <w:lvl w:ilvl="0">
      <w:lvlJc w:val="left"/>
      <w:lvlText w:val="(%1)"/>
      <w:numFmt w:val="lowerRoman"/>
      <w:start w:val="6"/>
    </w:lvl>
  </w:abstractNum>
  <w:abstractNum w:abstractNumId="53">
    <w:nsid w:val="5F5E7FD0"/>
    <w:multiLevelType w:val="hybridMultilevel"/>
    <w:lvl w:ilvl="0">
      <w:lvlJc w:val="left"/>
      <w:lvlText w:val="(%1)"/>
      <w:numFmt w:val="decimal"/>
      <w:start w:val="2"/>
    </w:lvl>
  </w:abstractNum>
  <w:abstractNum w:abstractNumId="54">
    <w:nsid w:val="98A3148"/>
    <w:multiLevelType w:val="hybridMultilevel"/>
    <w:lvl w:ilvl="0">
      <w:lvlJc w:val="left"/>
      <w:lvlText w:val="(%1)"/>
      <w:numFmt w:val="lowerRoman"/>
      <w:start w:val="7"/>
    </w:lvl>
    <w:lvl w:ilvl="1">
      <w:lvlJc w:val="left"/>
      <w:lvlText w:val="(%2)"/>
      <w:numFmt w:val="upperLetter"/>
      <w:start w:val="1"/>
    </w:lvl>
  </w:abstractNum>
  <w:abstractNum w:abstractNumId="55">
    <w:nsid w:val="799D0247"/>
    <w:multiLevelType w:val="hybridMultilevel"/>
    <w:lvl w:ilvl="0">
      <w:lvlJc w:val="left"/>
      <w:lvlText w:val="%1"/>
      <w:numFmt w:val="lowerRoman"/>
      <w:start w:val="1"/>
    </w:lvl>
    <w:lvl w:ilvl="1">
      <w:lvlJc w:val="left"/>
      <w:lvlText w:val="(%2)"/>
      <w:numFmt w:val="lowerRoman"/>
      <w:start w:val="9"/>
    </w:lvl>
  </w:abstractNum>
  <w:abstractNum w:abstractNumId="56">
    <w:nsid w:val="6B94764"/>
    <w:multiLevelType w:val="hybridMultilevel"/>
    <w:lvl w:ilvl="0">
      <w:lvlJc w:val="left"/>
      <w:lvlText w:val="(%1)"/>
      <w:numFmt w:val="lowerRoman"/>
      <w:start w:val="2"/>
    </w:lvl>
    <w:lvl w:ilvl="1">
      <w:lvlJc w:val="left"/>
      <w:lvlText w:val="%2"/>
      <w:numFmt w:val="lowerRoman"/>
      <w:start w:val="1"/>
    </w:lvl>
  </w:abstractNum>
  <w:abstractNum w:abstractNumId="57">
    <w:nsid w:val="42C296BD"/>
    <w:multiLevelType w:val="hybridMultilevel"/>
    <w:lvl w:ilvl="0">
      <w:lvlJc w:val="left"/>
      <w:lvlText w:val="(%1)"/>
      <w:numFmt w:val="lowerRoman"/>
      <w:start w:val="10"/>
    </w:lvl>
  </w:abstractNum>
  <w:abstractNum w:abstractNumId="58">
    <w:nsid w:val="168E121F"/>
    <w:multiLevelType w:val="hybridMultilevel"/>
    <w:lvl w:ilvl="0">
      <w:lvlJc w:val="left"/>
      <w:lvlText w:val="(%1)"/>
      <w:numFmt w:val="lowerRoman"/>
      <w:start w:val="1"/>
    </w:lvl>
  </w:abstractNum>
  <w:abstractNum w:abstractNumId="59">
    <w:nsid w:val="1EBA5D23"/>
    <w:multiLevelType w:val="hybridMultilevel"/>
    <w:lvl w:ilvl="0">
      <w:lvlJc w:val="left"/>
      <w:lvlText w:val="(%1)"/>
      <w:numFmt w:val="lowerRoman"/>
      <w:start w:val="3"/>
    </w:lvl>
  </w:abstractNum>
  <w:abstractNum w:abstractNumId="60">
    <w:nsid w:val="661E3F1E"/>
    <w:multiLevelType w:val="hybridMultilevel"/>
    <w:lvl w:ilvl="0">
      <w:lvlJc w:val="left"/>
      <w:lvlText w:val="(%1)"/>
      <w:numFmt w:val="lowerLetter"/>
      <w:start w:val="2"/>
    </w:lvl>
  </w:abstractNum>
  <w:abstractNum w:abstractNumId="61">
    <w:nsid w:val="5DC79EA8"/>
    <w:multiLevelType w:val="hybridMultilevel"/>
    <w:lvl w:ilvl="0">
      <w:lvlJc w:val="left"/>
      <w:lvlText w:val="(%1)"/>
      <w:numFmt w:val="lowerLetter"/>
      <w:start w:val="13"/>
    </w:lvl>
  </w:abstractNum>
  <w:abstractNum w:abstractNumId="62">
    <w:nsid w:val="540A471C"/>
    <w:multiLevelType w:val="hybridMultilevel"/>
    <w:lvl w:ilvl="0">
      <w:lvlJc w:val="left"/>
      <w:lvlText w:val="(%1)"/>
      <w:numFmt w:val="lowerLetter"/>
      <w:start w:val="4"/>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lowerRoman"/>
      <w:start w:val="1"/>
    </w:lvl>
  </w:abstractNum>
  <w:abstractNum w:abstractNumId="65">
    <w:nsid w:val="613EFDC5"/>
    <w:multiLevelType w:val="hybridMultilevel"/>
    <w:lvl w:ilvl="0">
      <w:lvlJc w:val="left"/>
      <w:lvlText w:val="(%1)"/>
      <w:numFmt w:val="lowerLetter"/>
      <w:start w:val="5"/>
    </w:lvl>
  </w:abstractNum>
  <w:abstractNum w:abstractNumId="66">
    <w:nsid w:val="BF72B14"/>
    <w:multiLevelType w:val="hybridMultilevel"/>
    <w:lvl w:ilvl="0">
      <w:lvlJc w:val="left"/>
      <w:lvlText w:val="(%1)"/>
      <w:numFmt w:val="lowerLetter"/>
      <w:start w:val="10"/>
    </w:lvl>
  </w:abstractNum>
  <w:abstractNum w:abstractNumId="67">
    <w:nsid w:val="11447B73"/>
    <w:multiLevelType w:val="hybridMultilevel"/>
    <w:lvl w:ilvl="0">
      <w:lvlJc w:val="left"/>
      <w:lvlText w:val="(%1)"/>
      <w:numFmt w:val="lowerRoman"/>
      <w:start w:val="2"/>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2"/>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5"/>
    </w:lvl>
  </w:abstractNum>
  <w:abstractNum w:abstractNumId="72">
    <w:nsid w:val="3B0FD379"/>
    <w:multiLevelType w:val="hybridMultilevel"/>
    <w:lvl w:ilvl="0">
      <w:lvlJc w:val="left"/>
      <w:lvlText w:val="(%1)"/>
      <w:numFmt w:val="lowerLetter"/>
      <w:start w:val="2"/>
    </w:lvl>
  </w:abstractNum>
  <w:abstractNum w:abstractNumId="73">
    <w:nsid w:val="68EB2F63"/>
    <w:multiLevelType w:val="hybridMultilevel"/>
    <w:lvl w:ilvl="0">
      <w:lvlJc w:val="left"/>
      <w:lvlText w:val="(%1)"/>
      <w:numFmt w:val="lowerLetter"/>
      <w:start w:val="5"/>
    </w:lvl>
    <w:lvl w:ilvl="1">
      <w:lvlJc w:val="left"/>
      <w:lvlText w:val="(%2)"/>
      <w:numFmt w:val="lowerLetter"/>
      <w:start w:val="2"/>
    </w:lvl>
  </w:abstractNum>
  <w:abstractNum w:abstractNumId="74">
    <w:nsid w:val="4962813B"/>
    <w:multiLevelType w:val="hybridMultilevel"/>
    <w:lvl w:ilvl="0">
      <w:lvlJc w:val="left"/>
      <w:lvlText w:val="(%1)"/>
      <w:numFmt w:val="upperLetter"/>
      <w:start w:val="4"/>
    </w:lvl>
  </w:abstractNum>
  <w:abstractNum w:abstractNumId="75">
    <w:nsid w:val="60B6DF70"/>
    <w:multiLevelType w:val="hybridMultilevel"/>
    <w:lvl w:ilvl="0">
      <w:lvlJc w:val="left"/>
      <w:lvlText w:val="(%1)"/>
      <w:numFmt w:val="lowerRoman"/>
      <w:start w:val="3"/>
    </w:lvl>
  </w:abstractNum>
  <w:abstractNum w:abstractNumId="76">
    <w:nsid w:val="6A5EE64"/>
    <w:multiLevelType w:val="hybridMultilevel"/>
    <w:lvl w:ilvl="0">
      <w:lvlJc w:val="left"/>
      <w:lvlText w:val="%1"/>
      <w:numFmt w:val="upperLetter"/>
      <w:start w:val="1"/>
    </w:lvl>
    <w:lvl w:ilvl="1">
      <w:lvlJc w:val="left"/>
      <w:lvlText w:val="(%2)"/>
      <w:numFmt w:val="lowerLetter"/>
      <w:start w:val="3"/>
    </w:lvl>
  </w:abstractNum>
  <w:abstractNum w:abstractNumId="77">
    <w:nsid w:val="14330624"/>
    <w:multiLevelType w:val="hybridMultilevel"/>
    <w:lvl w:ilvl="0">
      <w:lvlJc w:val="left"/>
      <w:lvlText w:val="(%1)"/>
      <w:numFmt w:val="upperLetter"/>
      <w:start w:val="5"/>
    </w:lvl>
    <w:lvl w:ilvl="1">
      <w:lvlJc w:val="left"/>
      <w:lvlText w:val="%2"/>
      <w:numFmt w:val="lowerLetter"/>
      <w:start w:val="1"/>
    </w:lvl>
  </w:abstractNum>
  <w:abstractNum w:abstractNumId="78">
    <w:nsid w:val="7FFFCA11"/>
    <w:multiLevelType w:val="hybridMultilevel"/>
    <w:lvl w:ilvl="0">
      <w:lvlJc w:val="left"/>
      <w:lvlText w:val="(%1)"/>
      <w:numFmt w:val="lowerLetter"/>
      <w:start w:val="5"/>
    </w:lvl>
  </w:abstractNum>
  <w:abstractNum w:abstractNumId="79">
    <w:nsid w:val="1A27709E"/>
    <w:multiLevelType w:val="hybridMultilevel"/>
    <w:lvl w:ilvl="0">
      <w:lvlJc w:val="left"/>
      <w:lvlText w:val="(%1)"/>
      <w:numFmt w:val="lowerRoman"/>
      <w:start w:val="5"/>
    </w:lvl>
  </w:abstractNum>
  <w:abstractNum w:abstractNumId="80">
    <w:nsid w:val="71EA1109"/>
    <w:multiLevelType w:val="hybridMultilevel"/>
    <w:lvl w:ilvl="0">
      <w:lvlJc w:val="left"/>
      <w:lvlText w:val="(%1)"/>
      <w:numFmt w:val="lowerRoman"/>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lowerLetter"/>
      <w:start w:val="2"/>
    </w:lvl>
  </w:abstractNum>
  <w:abstractNum w:abstractNumId="83">
    <w:nsid w:val="6EB5BD4"/>
    <w:multiLevelType w:val="hybridMultilevel"/>
    <w:lvl w:ilvl="0">
      <w:lvlJc w:val="left"/>
      <w:lvlText w:val="(%1)"/>
      <w:numFmt w:val="lowerLetter"/>
      <w:start w:val="2"/>
    </w:lvl>
    <w:lvl w:ilvl="1">
      <w:lvlJc w:val="left"/>
      <w:lvlText w:val="(%2)"/>
      <w:numFmt w:val="lowerLetter"/>
      <w:start w:val="9"/>
    </w:lvl>
  </w:abstractNum>
  <w:abstractNum w:abstractNumId="84">
    <w:nsid w:val="6F6DD9AC"/>
    <w:multiLevelType w:val="hybridMultilevel"/>
    <w:lvl w:ilvl="0">
      <w:lvlJc w:val="left"/>
      <w:lvlText w:val="(%1)"/>
      <w:numFmt w:val="lowerLetter"/>
      <w:start w:val="1"/>
    </w:lvl>
    <w:lvl w:ilvl="1">
      <w:lvlJc w:val="left"/>
      <w:lvlText w:val="(%2)"/>
      <w:numFmt w:val="lowerLetter"/>
      <w:start w:val="9"/>
    </w:lvl>
  </w:abstractNum>
  <w:abstractNum w:abstractNumId="85">
    <w:nsid w:val="94211F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2026-05-06T15:18:29Z</dcterms:created>
  <dcterms:modified xsi:type="dcterms:W3CDTF">2026-05-06T15:18:29Z</dcterms:modified>
</cp:coreProperties>
</file>