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578485</wp:posOffset>
            </wp:positionV>
            <wp:extent cx="711517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337" w:lineRule="exact"/>
        <w:rPr>
          <w:sz w:val="24"/>
          <w:szCs w:val="24"/>
          <w:color w:val="auto"/>
        </w:rPr>
      </w:pPr>
    </w:p>
    <w:p>
      <w:pPr>
        <w:ind w:left="1120" w:hanging="1094"/>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167" w:lineRule="exact"/>
        <w:rPr>
          <w:rFonts w:ascii="MS PGothic" w:cs="MS PGothic" w:eastAsia="MS PGothic" w:hAnsi="MS PGothic"/>
          <w:sz w:val="18"/>
          <w:szCs w:val="18"/>
          <w:color w:val="auto"/>
        </w:rPr>
      </w:pPr>
    </w:p>
    <w:p>
      <w:pPr>
        <w:ind w:left="112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Quarterly Period Ended September 30, 2020</w:t>
      </w:r>
    </w:p>
    <w:p>
      <w:pPr>
        <w:spacing w:after="0" w:line="135"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OR</w:t>
      </w:r>
    </w:p>
    <w:p>
      <w:pPr>
        <w:spacing w:after="0" w:line="158" w:lineRule="exact"/>
        <w:rPr>
          <w:sz w:val="24"/>
          <w:szCs w:val="24"/>
          <w:color w:val="auto"/>
        </w:rPr>
      </w:pPr>
    </w:p>
    <w:p>
      <w:pPr>
        <w:ind w:left="1120" w:hanging="1094"/>
        <w:spacing w:after="0"/>
        <w:tabs>
          <w:tab w:leader="none" w:pos="11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11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001-11625</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Pentair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119380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7740" w:type="dxa"/>
            <w:vAlign w:val="bottom"/>
            <w:gridSpan w:val="3"/>
          </w:tcPr>
          <w:p>
            <w:pPr>
              <w:ind w:left="3620"/>
              <w:spacing w:after="0"/>
              <w:rPr>
                <w:sz w:val="20"/>
                <w:szCs w:val="20"/>
                <w:color w:val="auto"/>
              </w:rPr>
            </w:pPr>
            <w:r>
              <w:rPr>
                <w:rFonts w:ascii="Arial" w:cs="Arial" w:eastAsia="Arial" w:hAnsi="Arial"/>
                <w:sz w:val="18"/>
                <w:szCs w:val="18"/>
                <w:b w:val="1"/>
                <w:bCs w:val="1"/>
                <w:color w:val="auto"/>
                <w:w w:val="91"/>
              </w:rPr>
              <w:t>(Exact name of Registrant as specified in its charter)</w:t>
            </w:r>
          </w:p>
        </w:tc>
        <w:tc>
          <w:tcPr>
            <w:tcW w:w="3300" w:type="dxa"/>
            <w:vAlign w:val="bottom"/>
          </w:tcPr>
          <w:p>
            <w:pPr>
              <w:spacing w:after="0"/>
              <w:rPr>
                <w:sz w:val="20"/>
                <w:szCs w:val="20"/>
                <w:color w:val="auto"/>
              </w:rPr>
            </w:pPr>
          </w:p>
        </w:tc>
      </w:tr>
      <w:tr>
        <w:trPr>
          <w:trHeight w:val="351"/>
        </w:trPr>
        <w:tc>
          <w:tcPr>
            <w:tcW w:w="4340" w:type="dxa"/>
            <w:vAlign w:val="bottom"/>
          </w:tcPr>
          <w:p>
            <w:pPr>
              <w:jc w:val="center"/>
              <w:ind w:left="1410"/>
              <w:spacing w:after="0"/>
              <w:rPr>
                <w:sz w:val="20"/>
                <w:szCs w:val="20"/>
                <w:color w:val="auto"/>
              </w:rPr>
            </w:pPr>
            <w:r>
              <w:rPr>
                <w:rFonts w:ascii="Arial" w:cs="Arial" w:eastAsia="Arial" w:hAnsi="Arial"/>
                <w:sz w:val="18"/>
                <w:szCs w:val="18"/>
                <w:b w:val="1"/>
                <w:bCs w:val="1"/>
                <w:color w:val="auto"/>
                <w:w w:val="94"/>
              </w:rPr>
              <w:t>Ireland</w:t>
            </w:r>
          </w:p>
        </w:tc>
        <w:tc>
          <w:tcPr>
            <w:tcW w:w="14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300" w:type="dxa"/>
            <w:vAlign w:val="bottom"/>
          </w:tcPr>
          <w:p>
            <w:pPr>
              <w:jc w:val="right"/>
              <w:ind w:right="2090"/>
              <w:spacing w:after="0"/>
              <w:rPr>
                <w:sz w:val="20"/>
                <w:szCs w:val="20"/>
                <w:color w:val="auto"/>
              </w:rPr>
            </w:pPr>
            <w:r>
              <w:rPr>
                <w:rFonts w:ascii="Arial" w:cs="Arial" w:eastAsia="Arial" w:hAnsi="Arial"/>
                <w:sz w:val="18"/>
                <w:szCs w:val="18"/>
                <w:b w:val="1"/>
                <w:bCs w:val="1"/>
                <w:color w:val="auto"/>
              </w:rPr>
              <w:t>98-1141328</w:t>
            </w:r>
          </w:p>
        </w:tc>
      </w:tr>
      <w:tr>
        <w:trPr>
          <w:trHeight w:val="27"/>
        </w:trPr>
        <w:tc>
          <w:tcPr>
            <w:tcW w:w="5820" w:type="dxa"/>
            <w:vAlign w:val="bottom"/>
            <w:tcBorders>
              <w:bottom w:val="single" w:sz="8" w:color="auto"/>
            </w:tcBorders>
            <w:gridSpan w:val="2"/>
          </w:tcPr>
          <w:p>
            <w:pPr>
              <w:spacing w:after="0"/>
              <w:rPr>
                <w:sz w:val="2"/>
                <w:szCs w:val="2"/>
                <w:color w:val="auto"/>
              </w:rPr>
            </w:pPr>
          </w:p>
        </w:tc>
        <w:tc>
          <w:tcPr>
            <w:tcW w:w="5220" w:type="dxa"/>
            <w:vAlign w:val="bottom"/>
            <w:tcBorders>
              <w:bottom w:val="single" w:sz="8" w:color="auto"/>
            </w:tcBorders>
            <w:gridSpan w:val="2"/>
          </w:tcPr>
          <w:p>
            <w:pPr>
              <w:spacing w:after="0"/>
              <w:rPr>
                <w:sz w:val="2"/>
                <w:szCs w:val="2"/>
                <w:color w:val="auto"/>
              </w:rPr>
            </w:pPr>
          </w:p>
        </w:tc>
      </w:tr>
      <w:tr>
        <w:trPr>
          <w:trHeight w:val="236"/>
        </w:trPr>
        <w:tc>
          <w:tcPr>
            <w:tcW w:w="5820" w:type="dxa"/>
            <w:vAlign w:val="bottom"/>
            <w:gridSpan w:val="2"/>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5220" w:type="dxa"/>
            <w:vAlign w:val="bottom"/>
            <w:gridSpan w:val="2"/>
          </w:tcPr>
          <w:p>
            <w:pPr>
              <w:jc w:val="right"/>
              <w:ind w:right="1350"/>
              <w:spacing w:after="0"/>
              <w:rPr>
                <w:sz w:val="20"/>
                <w:szCs w:val="20"/>
                <w:color w:val="auto"/>
              </w:rPr>
            </w:pPr>
            <w:r>
              <w:rPr>
                <w:rFonts w:ascii="Arial" w:cs="Arial" w:eastAsia="Arial" w:hAnsi="Arial"/>
                <w:sz w:val="18"/>
                <w:szCs w:val="18"/>
                <w:color w:val="auto"/>
              </w:rPr>
              <w:t>(I.R.S. Employer Identification No.)</w:t>
            </w:r>
          </w:p>
        </w:tc>
      </w:tr>
      <w:tr>
        <w:trPr>
          <w:trHeight w:val="324"/>
        </w:trPr>
        <w:tc>
          <w:tcPr>
            <w:tcW w:w="4340" w:type="dxa"/>
            <w:vAlign w:val="bottom"/>
          </w:tcPr>
          <w:p>
            <w:pPr>
              <w:ind w:left="1680"/>
              <w:spacing w:after="0"/>
              <w:rPr>
                <w:sz w:val="20"/>
                <w:szCs w:val="20"/>
                <w:color w:val="auto"/>
              </w:rPr>
            </w:pPr>
            <w:r>
              <w:rPr>
                <w:rFonts w:ascii="Arial" w:cs="Arial" w:eastAsia="Arial" w:hAnsi="Arial"/>
                <w:sz w:val="18"/>
                <w:szCs w:val="18"/>
                <w:b w:val="1"/>
                <w:bCs w:val="1"/>
                <w:color w:val="auto"/>
                <w:w w:val="99"/>
              </w:rPr>
              <w:t>Regal House, 70 London Road,</w:t>
            </w:r>
          </w:p>
        </w:tc>
        <w:tc>
          <w:tcPr>
            <w:tcW w:w="1480" w:type="dxa"/>
            <w:vAlign w:val="bottom"/>
          </w:tcPr>
          <w:p>
            <w:pPr>
              <w:ind w:left="280"/>
              <w:spacing w:after="0"/>
              <w:rPr>
                <w:sz w:val="20"/>
                <w:szCs w:val="20"/>
                <w:color w:val="auto"/>
              </w:rPr>
            </w:pPr>
            <w:r>
              <w:rPr>
                <w:rFonts w:ascii="Arial" w:cs="Arial" w:eastAsia="Arial" w:hAnsi="Arial"/>
                <w:sz w:val="18"/>
                <w:szCs w:val="18"/>
                <w:b w:val="1"/>
                <w:bCs w:val="1"/>
                <w:color w:val="auto"/>
              </w:rPr>
              <w:t>Twickenham,</w:t>
            </w:r>
          </w:p>
        </w:tc>
        <w:tc>
          <w:tcPr>
            <w:tcW w:w="1920" w:type="dxa"/>
            <w:vAlign w:val="bottom"/>
          </w:tcPr>
          <w:p>
            <w:pPr>
              <w:ind w:left="160"/>
              <w:spacing w:after="0"/>
              <w:rPr>
                <w:sz w:val="20"/>
                <w:szCs w:val="20"/>
                <w:color w:val="auto"/>
              </w:rPr>
            </w:pPr>
            <w:r>
              <w:rPr>
                <w:rFonts w:ascii="Arial" w:cs="Arial" w:eastAsia="Arial" w:hAnsi="Arial"/>
                <w:sz w:val="18"/>
                <w:szCs w:val="18"/>
                <w:b w:val="1"/>
                <w:bCs w:val="1"/>
                <w:color w:val="auto"/>
              </w:rPr>
              <w:t>London,  TW13QS</w:t>
            </w:r>
          </w:p>
        </w:tc>
        <w:tc>
          <w:tcPr>
            <w:tcW w:w="3300" w:type="dxa"/>
            <w:vAlign w:val="bottom"/>
          </w:tcPr>
          <w:p>
            <w:pPr>
              <w:jc w:val="right"/>
              <w:ind w:right="1830"/>
              <w:spacing w:after="0"/>
              <w:rPr>
                <w:sz w:val="20"/>
                <w:szCs w:val="20"/>
                <w:color w:val="auto"/>
              </w:rPr>
            </w:pPr>
            <w:r>
              <w:rPr>
                <w:rFonts w:ascii="Arial" w:cs="Arial" w:eastAsia="Arial" w:hAnsi="Arial"/>
                <w:sz w:val="18"/>
                <w:szCs w:val="18"/>
                <w:b w:val="1"/>
                <w:bCs w:val="1"/>
                <w:color w:val="auto"/>
                <w:w w:val="97"/>
              </w:rPr>
              <w:t>United Kingdom</w:t>
            </w:r>
          </w:p>
        </w:tc>
      </w:tr>
      <w:tr>
        <w:trPr>
          <w:trHeight w:val="27"/>
        </w:trPr>
        <w:tc>
          <w:tcPr>
            <w:tcW w:w="7740" w:type="dxa"/>
            <w:vAlign w:val="bottom"/>
            <w:tcBorders>
              <w:bottom w:val="single" w:sz="8" w:color="auto"/>
            </w:tcBorders>
            <w:gridSpan w:val="3"/>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r>
      <w:tr>
        <w:trPr>
          <w:trHeight w:val="237"/>
        </w:trPr>
        <w:tc>
          <w:tcPr>
            <w:tcW w:w="7740" w:type="dxa"/>
            <w:vAlign w:val="bottom"/>
            <w:gridSpan w:val="3"/>
          </w:tcPr>
          <w:p>
            <w:pPr>
              <w:ind w:left="3960"/>
              <w:spacing w:after="0"/>
              <w:rPr>
                <w:sz w:val="20"/>
                <w:szCs w:val="20"/>
                <w:color w:val="auto"/>
              </w:rPr>
            </w:pPr>
            <w:r>
              <w:rPr>
                <w:rFonts w:ascii="Arial" w:cs="Arial" w:eastAsia="Arial" w:hAnsi="Arial"/>
                <w:sz w:val="18"/>
                <w:szCs w:val="18"/>
                <w:color w:val="auto"/>
              </w:rPr>
              <w:t>(Address of principal executive offices)</w:t>
            </w:r>
          </w:p>
        </w:tc>
        <w:tc>
          <w:tcPr>
            <w:tcW w:w="3300" w:type="dxa"/>
            <w:vAlign w:val="bottom"/>
          </w:tcPr>
          <w:p>
            <w:pPr>
              <w:spacing w:after="0"/>
              <w:rPr>
                <w:sz w:val="20"/>
                <w:szCs w:val="20"/>
                <w:color w:val="auto"/>
              </w:rPr>
            </w:pPr>
          </w:p>
        </w:tc>
      </w:tr>
    </w:tbl>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44-74-9421-6154</w:t>
      </w:r>
    </w:p>
    <w:p>
      <w:pPr>
        <w:spacing w:after="0" w:line="25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80" w:type="dxa"/>
            <w:vAlign w:val="bottom"/>
            <w:gridSpan w:val="2"/>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400" w:type="dxa"/>
            <w:vAlign w:val="bottom"/>
          </w:tcPr>
          <w:p>
            <w:pPr>
              <w:spacing w:after="0"/>
              <w:rPr>
                <w:sz w:val="20"/>
                <w:szCs w:val="20"/>
                <w:color w:val="auto"/>
              </w:rPr>
            </w:pPr>
          </w:p>
        </w:tc>
        <w:tc>
          <w:tcPr>
            <w:tcW w:w="4040" w:type="dxa"/>
            <w:vAlign w:val="bottom"/>
          </w:tcPr>
          <w:p>
            <w:pPr>
              <w:spacing w:after="0"/>
              <w:rPr>
                <w:sz w:val="20"/>
                <w:szCs w:val="20"/>
                <w:color w:val="auto"/>
              </w:rPr>
            </w:pPr>
          </w:p>
        </w:tc>
      </w:tr>
      <w:tr>
        <w:trPr>
          <w:trHeight w:val="365"/>
        </w:trPr>
        <w:tc>
          <w:tcPr>
            <w:tcW w:w="20" w:type="dxa"/>
            <w:vAlign w:val="bottom"/>
          </w:tcPr>
          <w:p>
            <w:pPr>
              <w:spacing w:after="0"/>
              <w:rPr>
                <w:sz w:val="24"/>
                <w:szCs w:val="24"/>
                <w:color w:val="auto"/>
              </w:rPr>
            </w:pPr>
          </w:p>
        </w:tc>
        <w:tc>
          <w:tcPr>
            <w:tcW w:w="4760" w:type="dxa"/>
            <w:vAlign w:val="bottom"/>
          </w:tcPr>
          <w:p>
            <w:pPr>
              <w:jc w:val="center"/>
              <w:ind w:left="50"/>
              <w:spacing w:after="0"/>
              <w:rPr>
                <w:sz w:val="20"/>
                <w:szCs w:val="20"/>
                <w:color w:val="auto"/>
              </w:rPr>
            </w:pPr>
            <w:r>
              <w:rPr>
                <w:rFonts w:ascii="Arial" w:cs="Arial" w:eastAsia="Arial" w:hAnsi="Arial"/>
                <w:sz w:val="18"/>
                <w:szCs w:val="18"/>
                <w:color w:val="auto"/>
                <w:w w:val="90"/>
              </w:rPr>
              <w:t>Title of each class</w:t>
            </w:r>
          </w:p>
        </w:tc>
        <w:tc>
          <w:tcPr>
            <w:tcW w:w="2400" w:type="dxa"/>
            <w:vAlign w:val="bottom"/>
          </w:tcPr>
          <w:p>
            <w:pPr>
              <w:jc w:val="center"/>
              <w:ind w:left="70"/>
              <w:spacing w:after="0"/>
              <w:rPr>
                <w:sz w:val="20"/>
                <w:szCs w:val="20"/>
                <w:color w:val="auto"/>
              </w:rPr>
            </w:pPr>
            <w:r>
              <w:rPr>
                <w:rFonts w:ascii="Arial" w:cs="Arial" w:eastAsia="Arial" w:hAnsi="Arial"/>
                <w:sz w:val="18"/>
                <w:szCs w:val="18"/>
                <w:color w:val="auto"/>
                <w:w w:val="92"/>
              </w:rPr>
              <w:t>Trading Symbol(s)</w:t>
            </w:r>
          </w:p>
        </w:tc>
        <w:tc>
          <w:tcPr>
            <w:tcW w:w="404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7"/>
        </w:trPr>
        <w:tc>
          <w:tcPr>
            <w:tcW w:w="20" w:type="dxa"/>
            <w:vAlign w:val="bottom"/>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4760" w:type="dxa"/>
            <w:vAlign w:val="bottom"/>
          </w:tcPr>
          <w:p>
            <w:pPr>
              <w:jc w:val="center"/>
              <w:ind w:left="70"/>
              <w:spacing w:after="0"/>
              <w:rPr>
                <w:sz w:val="20"/>
                <w:szCs w:val="20"/>
                <w:color w:val="auto"/>
              </w:rPr>
            </w:pPr>
            <w:r>
              <w:rPr>
                <w:rFonts w:ascii="Arial" w:cs="Arial" w:eastAsia="Arial" w:hAnsi="Arial"/>
                <w:sz w:val="18"/>
                <w:szCs w:val="18"/>
                <w:color w:val="auto"/>
                <w:w w:val="89"/>
              </w:rPr>
              <w:t>Ordinary Shares, nominal value $0.01 per share</w:t>
            </w:r>
          </w:p>
        </w:tc>
        <w:tc>
          <w:tcPr>
            <w:tcW w:w="2400" w:type="dxa"/>
            <w:vAlign w:val="bottom"/>
          </w:tcPr>
          <w:p>
            <w:pPr>
              <w:jc w:val="center"/>
              <w:ind w:left="70"/>
              <w:spacing w:after="0"/>
              <w:rPr>
                <w:sz w:val="20"/>
                <w:szCs w:val="20"/>
                <w:color w:val="auto"/>
              </w:rPr>
            </w:pPr>
            <w:r>
              <w:rPr>
                <w:rFonts w:ascii="Arial" w:cs="Arial" w:eastAsia="Arial" w:hAnsi="Arial"/>
                <w:sz w:val="18"/>
                <w:szCs w:val="18"/>
                <w:color w:val="auto"/>
                <w:w w:val="94"/>
              </w:rPr>
              <w:t>PNR</w:t>
            </w:r>
          </w:p>
        </w:tc>
        <w:tc>
          <w:tcPr>
            <w:tcW w:w="404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75" w:lineRule="exact"/>
        <w:rPr>
          <w:sz w:val="24"/>
          <w:szCs w:val="24"/>
          <w:color w:val="auto"/>
        </w:rPr>
      </w:pPr>
    </w:p>
    <w:p>
      <w:pPr>
        <w:ind w:right="2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30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(§223.405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1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pacing w:after="0" w:line="116"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1820" w:type="dxa"/>
            <w:vAlign w:val="bottom"/>
          </w:tcPr>
          <w:p>
            <w:pPr>
              <w:spacing w:after="0"/>
              <w:rPr>
                <w:sz w:val="18"/>
                <w:szCs w:val="18"/>
                <w:color w:val="auto"/>
              </w:rPr>
            </w:pPr>
          </w:p>
        </w:tc>
        <w:tc>
          <w:tcPr>
            <w:tcW w:w="540" w:type="dxa"/>
            <w:vAlign w:val="bottom"/>
            <w:vMerge w:val="restart"/>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1980" w:type="dxa"/>
            <w:vAlign w:val="bottom"/>
            <w:vMerge w:val="restart"/>
          </w:tcPr>
          <w:p>
            <w:pPr>
              <w:ind w:left="18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1820" w:type="dxa"/>
            <w:vAlign w:val="bottom"/>
          </w:tcPr>
          <w:p>
            <w:pPr>
              <w:spacing w:after="0"/>
              <w:rPr>
                <w:sz w:val="18"/>
                <w:szCs w:val="18"/>
                <w:color w:val="auto"/>
              </w:rPr>
            </w:pPr>
          </w:p>
        </w:tc>
        <w:tc>
          <w:tcPr>
            <w:tcW w:w="460" w:type="dxa"/>
            <w:vAlign w:val="bottom"/>
            <w:vMerge w:val="restart"/>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Smaller reporting</w:t>
            </w:r>
          </w:p>
        </w:tc>
        <w:tc>
          <w:tcPr>
            <w:tcW w:w="460" w:type="dxa"/>
            <w:vAlign w:val="bottom"/>
            <w:vMerge w:val="restart"/>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560" w:type="dxa"/>
            <w:vAlign w:val="bottom"/>
          </w:tcPr>
          <w:p>
            <w:pPr>
              <w:jc w:val="center"/>
              <w:spacing w:after="0"/>
              <w:rPr>
                <w:sz w:val="20"/>
                <w:szCs w:val="20"/>
                <w:color w:val="auto"/>
              </w:rPr>
            </w:pPr>
            <w:r>
              <w:rPr>
                <w:rFonts w:ascii="Arial" w:cs="Arial" w:eastAsia="Arial" w:hAnsi="Arial"/>
                <w:sz w:val="18"/>
                <w:szCs w:val="18"/>
                <w:color w:val="auto"/>
                <w:w w:val="92"/>
              </w:rPr>
              <w:t>Emerging growth</w:t>
            </w:r>
          </w:p>
        </w:tc>
        <w:tc>
          <w:tcPr>
            <w:tcW w:w="320" w:type="dxa"/>
            <w:vAlign w:val="bottom"/>
            <w:vMerge w:val="restart"/>
          </w:tcPr>
          <w:p>
            <w:pPr>
              <w:ind w:left="14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64"/>
        </w:trPr>
        <w:tc>
          <w:tcPr>
            <w:tcW w:w="18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40" w:type="dxa"/>
            <w:vAlign w:val="bottom"/>
            <w:vMerge w:val="continue"/>
          </w:tcPr>
          <w:p>
            <w:pPr>
              <w:spacing w:after="0"/>
              <w:rPr>
                <w:sz w:val="22"/>
                <w:szCs w:val="22"/>
                <w:color w:val="auto"/>
              </w:rPr>
            </w:pPr>
          </w:p>
        </w:tc>
        <w:tc>
          <w:tcPr>
            <w:tcW w:w="1980" w:type="dxa"/>
            <w:vAlign w:val="bottom"/>
            <w:vMerge w:val="continue"/>
          </w:tcPr>
          <w:p>
            <w:pPr>
              <w:spacing w:after="0"/>
              <w:rPr>
                <w:sz w:val="22"/>
                <w:szCs w:val="22"/>
                <w:color w:val="auto"/>
              </w:rPr>
            </w:pPr>
          </w:p>
        </w:tc>
        <w:tc>
          <w:tcPr>
            <w:tcW w:w="1820" w:type="dxa"/>
            <w:vAlign w:val="bottom"/>
          </w:tcPr>
          <w:p>
            <w:pPr>
              <w:ind w:left="140"/>
              <w:spacing w:after="0"/>
              <w:rPr>
                <w:sz w:val="20"/>
                <w:szCs w:val="20"/>
                <w:color w:val="auto"/>
              </w:rPr>
            </w:pPr>
            <w:r>
              <w:rPr>
                <w:rFonts w:ascii="Arial" w:cs="Arial" w:eastAsia="Arial" w:hAnsi="Arial"/>
                <w:sz w:val="18"/>
                <w:szCs w:val="18"/>
                <w:color w:val="auto"/>
                <w:w w:val="99"/>
              </w:rPr>
              <w:t>Non-accelerated filer</w:t>
            </w:r>
          </w:p>
        </w:tc>
        <w:tc>
          <w:tcPr>
            <w:tcW w:w="460" w:type="dxa"/>
            <w:vAlign w:val="bottom"/>
            <w:vMerge w:val="continue"/>
          </w:tcPr>
          <w:p>
            <w:pPr>
              <w:spacing w:after="0"/>
              <w:rPr>
                <w:sz w:val="22"/>
                <w:szCs w:val="22"/>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company</w:t>
            </w:r>
          </w:p>
        </w:tc>
        <w:tc>
          <w:tcPr>
            <w:tcW w:w="460" w:type="dxa"/>
            <w:vAlign w:val="bottom"/>
            <w:vMerge w:val="continue"/>
          </w:tcPr>
          <w:p>
            <w:pPr>
              <w:spacing w:after="0"/>
              <w:rPr>
                <w:sz w:val="22"/>
                <w:szCs w:val="22"/>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company</w:t>
            </w:r>
          </w:p>
        </w:tc>
        <w:tc>
          <w:tcPr>
            <w:tcW w:w="3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141"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85" w:lineRule="exact"/>
        <w:rPr>
          <w:sz w:val="24"/>
          <w:szCs w:val="24"/>
          <w:color w:val="auto"/>
        </w:rPr>
      </w:pPr>
    </w:p>
    <w:p>
      <w:pPr>
        <w:spacing w:after="0"/>
        <w:rPr>
          <w:sz w:val="20"/>
          <w:szCs w:val="20"/>
          <w:color w:val="auto"/>
        </w:rPr>
      </w:pPr>
      <w:r>
        <w:rPr>
          <w:rFonts w:ascii="Arial" w:cs="Arial" w:eastAsia="Arial" w:hAnsi="Arial"/>
          <w:sz w:val="18"/>
          <w:szCs w:val="18"/>
          <w:color w:val="auto"/>
        </w:rPr>
        <w:t>On September 30, 2020, 166,346,297 shares of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572135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 w:name="page2"/>
    <w:bookmarkEnd w:id="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Pentair plc and Subsidiaries</w:t>
      </w:r>
    </w:p>
    <w:p>
      <w:pPr>
        <w:spacing w:after="0" w:line="34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6511290</wp:posOffset>
            </wp:positionH>
            <wp:positionV relativeFrom="paragraph">
              <wp:posOffset>34290</wp:posOffset>
            </wp:positionV>
            <wp:extent cx="6000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30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9380" w:type="dxa"/>
            <w:vAlign w:val="bottom"/>
            <w:gridSpan w:val="4"/>
          </w:tcPr>
          <w:p>
            <w:pPr>
              <w:spacing w:after="0"/>
              <w:rPr>
                <w:sz w:val="20"/>
                <w:szCs w:val="20"/>
                <w:color w:val="auto"/>
              </w:rPr>
            </w:pPr>
            <w:r>
              <w:rPr>
                <w:rFonts w:ascii="Arial" w:cs="Arial" w:eastAsia="Arial" w:hAnsi="Arial"/>
                <w:sz w:val="18"/>
                <w:szCs w:val="18"/>
                <w:b w:val="1"/>
                <w:bCs w:val="1"/>
                <w:color w:val="auto"/>
              </w:rPr>
              <w:t>PART I FINANCIAL INFORMATION</w:t>
            </w:r>
          </w:p>
        </w:tc>
        <w:tc>
          <w:tcPr>
            <w:tcW w:w="1060" w:type="dxa"/>
            <w:vAlign w:val="bottom"/>
          </w:tcPr>
          <w:p>
            <w:pPr>
              <w:spacing w:after="0"/>
              <w:rPr>
                <w:sz w:val="17"/>
                <w:szCs w:val="17"/>
                <w:color w:val="auto"/>
              </w:rPr>
            </w:pPr>
          </w:p>
        </w:tc>
      </w:tr>
      <w:tr>
        <w:trPr>
          <w:trHeight w:val="20"/>
        </w:trPr>
        <w:tc>
          <w:tcPr>
            <w:tcW w:w="14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ITEM 1.</w:t>
            </w:r>
          </w:p>
        </w:tc>
        <w:tc>
          <w:tcPr>
            <w:tcW w:w="7980" w:type="dxa"/>
            <w:vAlign w:val="bottom"/>
            <w:gridSpan w:val="3"/>
          </w:tcPr>
          <w:p>
            <w:pPr>
              <w:ind w:left="6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Financial Statements (unaudited)</w:t>
              </w:r>
            </w:hyperlink>
          </w:p>
        </w:tc>
        <w:tc>
          <w:tcPr>
            <w:tcW w:w="1060" w:type="dxa"/>
            <w:vAlign w:val="bottom"/>
          </w:tcPr>
          <w:p>
            <w:pPr>
              <w:spacing w:after="0"/>
              <w:rPr>
                <w:sz w:val="24"/>
                <w:szCs w:val="24"/>
                <w:color w:val="auto"/>
              </w:rPr>
            </w:pPr>
          </w:p>
        </w:tc>
      </w:tr>
      <w:tr>
        <w:trPr>
          <w:trHeight w:val="310"/>
        </w:trPr>
        <w:tc>
          <w:tcPr>
            <w:tcW w:w="1400" w:type="dxa"/>
            <w:vAlign w:val="bottom"/>
          </w:tcPr>
          <w:p>
            <w:pPr>
              <w:spacing w:after="0"/>
              <w:rPr>
                <w:sz w:val="24"/>
                <w:szCs w:val="24"/>
                <w:color w:val="auto"/>
              </w:rPr>
            </w:pPr>
          </w:p>
        </w:tc>
        <w:tc>
          <w:tcPr>
            <w:tcW w:w="7980" w:type="dxa"/>
            <w:vAlign w:val="bottom"/>
            <w:gridSpan w:val="3"/>
          </w:tcPr>
          <w:p>
            <w:pPr>
              <w:ind w:left="64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Condensed Consolidated Statements of Operations and Comprehensive Income</w:t>
              </w:r>
            </w:hyperlink>
          </w:p>
        </w:tc>
        <w:tc>
          <w:tcPr>
            <w:tcW w:w="1060" w:type="dxa"/>
            <w:vAlign w:val="bottom"/>
          </w:tcPr>
          <w:p>
            <w:pPr>
              <w:ind w:left="88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3</w:t>
              </w:r>
            </w:hyperlink>
          </w:p>
        </w:tc>
      </w:tr>
      <w:tr>
        <w:trPr>
          <w:trHeight w:val="283"/>
        </w:trPr>
        <w:tc>
          <w:tcPr>
            <w:tcW w:w="1400" w:type="dxa"/>
            <w:vAlign w:val="bottom"/>
          </w:tcPr>
          <w:p>
            <w:pPr>
              <w:spacing w:after="0"/>
              <w:rPr>
                <w:sz w:val="24"/>
                <w:szCs w:val="24"/>
                <w:color w:val="auto"/>
              </w:rPr>
            </w:pPr>
          </w:p>
        </w:tc>
        <w:tc>
          <w:tcPr>
            <w:tcW w:w="7980" w:type="dxa"/>
            <w:vAlign w:val="bottom"/>
            <w:gridSpan w:val="3"/>
          </w:tcPr>
          <w:p>
            <w:pPr>
              <w:ind w:left="64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Condensed Consolidated Balance Sheets</w:t>
              </w:r>
            </w:hyperlink>
          </w:p>
        </w:tc>
        <w:tc>
          <w:tcPr>
            <w:tcW w:w="1060" w:type="dxa"/>
            <w:vAlign w:val="bottom"/>
          </w:tcPr>
          <w:p>
            <w:pPr>
              <w:ind w:left="88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4</w:t>
              </w:r>
            </w:hyperlink>
          </w:p>
        </w:tc>
      </w:tr>
      <w:tr>
        <w:trPr>
          <w:trHeight w:val="284"/>
        </w:trPr>
        <w:tc>
          <w:tcPr>
            <w:tcW w:w="1400" w:type="dxa"/>
            <w:vAlign w:val="bottom"/>
          </w:tcPr>
          <w:p>
            <w:pPr>
              <w:spacing w:after="0"/>
              <w:rPr>
                <w:sz w:val="24"/>
                <w:szCs w:val="24"/>
                <w:color w:val="auto"/>
              </w:rPr>
            </w:pPr>
          </w:p>
        </w:tc>
        <w:tc>
          <w:tcPr>
            <w:tcW w:w="7980" w:type="dxa"/>
            <w:vAlign w:val="bottom"/>
            <w:gridSpan w:val="3"/>
          </w:tcPr>
          <w:p>
            <w:pPr>
              <w:ind w:left="64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Condensed Consolidated Statements of Cash Flows</w:t>
              </w:r>
            </w:hyperlink>
          </w:p>
        </w:tc>
        <w:tc>
          <w:tcPr>
            <w:tcW w:w="1060" w:type="dxa"/>
            <w:vAlign w:val="bottom"/>
          </w:tcPr>
          <w:p>
            <w:pPr>
              <w:ind w:left="88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5</w:t>
              </w:r>
            </w:hyperlink>
          </w:p>
        </w:tc>
      </w:tr>
      <w:tr>
        <w:trPr>
          <w:trHeight w:val="283"/>
        </w:trPr>
        <w:tc>
          <w:tcPr>
            <w:tcW w:w="1400" w:type="dxa"/>
            <w:vAlign w:val="bottom"/>
          </w:tcPr>
          <w:p>
            <w:pPr>
              <w:spacing w:after="0"/>
              <w:rPr>
                <w:sz w:val="24"/>
                <w:szCs w:val="24"/>
                <w:color w:val="auto"/>
              </w:rPr>
            </w:pPr>
          </w:p>
        </w:tc>
        <w:tc>
          <w:tcPr>
            <w:tcW w:w="7980" w:type="dxa"/>
            <w:vAlign w:val="bottom"/>
            <w:gridSpan w:val="3"/>
          </w:tcPr>
          <w:p>
            <w:pPr>
              <w:ind w:left="64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Condensed Consolidated Statements of Changes in Equity</w:t>
              </w:r>
            </w:hyperlink>
          </w:p>
        </w:tc>
        <w:tc>
          <w:tcPr>
            <w:tcW w:w="1060" w:type="dxa"/>
            <w:vAlign w:val="bottom"/>
          </w:tcPr>
          <w:p>
            <w:pPr>
              <w:ind w:left="88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6</w:t>
              </w:r>
            </w:hyperlink>
          </w:p>
        </w:tc>
      </w:tr>
      <w:tr>
        <w:trPr>
          <w:trHeight w:val="283"/>
        </w:trPr>
        <w:tc>
          <w:tcPr>
            <w:tcW w:w="1400" w:type="dxa"/>
            <w:vAlign w:val="bottom"/>
          </w:tcPr>
          <w:p>
            <w:pPr>
              <w:spacing w:after="0"/>
              <w:rPr>
                <w:sz w:val="24"/>
                <w:szCs w:val="24"/>
                <w:color w:val="auto"/>
              </w:rPr>
            </w:pPr>
          </w:p>
        </w:tc>
        <w:tc>
          <w:tcPr>
            <w:tcW w:w="7980" w:type="dxa"/>
            <w:vAlign w:val="bottom"/>
            <w:gridSpan w:val="3"/>
          </w:tcPr>
          <w:p>
            <w:pPr>
              <w:ind w:left="640"/>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Notes to Condensed Consolidated Financial Statements</w:t>
              </w:r>
            </w:hyperlink>
          </w:p>
        </w:tc>
        <w:tc>
          <w:tcPr>
            <w:tcW w:w="1060" w:type="dxa"/>
            <w:vAlign w:val="bottom"/>
          </w:tcPr>
          <w:p>
            <w:pPr>
              <w:ind w:left="880"/>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8</w:t>
              </w:r>
            </w:hyperlink>
          </w:p>
        </w:tc>
      </w:tr>
      <w:tr>
        <w:trPr>
          <w:trHeight w:val="297"/>
        </w:trPr>
        <w:tc>
          <w:tcPr>
            <w:tcW w:w="1400" w:type="dxa"/>
            <w:vAlign w:val="bottom"/>
          </w:tcPr>
          <w:p>
            <w:pPr>
              <w:spacing w:after="0"/>
              <w:rPr>
                <w:sz w:val="20"/>
                <w:szCs w:val="20"/>
                <w:color w:val="auto"/>
              </w:rPr>
            </w:pPr>
            <w:r>
              <w:rPr>
                <w:rFonts w:ascii="Arial" w:cs="Arial" w:eastAsia="Arial" w:hAnsi="Arial"/>
                <w:sz w:val="18"/>
                <w:szCs w:val="18"/>
                <w:color w:val="auto"/>
              </w:rPr>
              <w:t>ITEM 2.</w:t>
            </w:r>
          </w:p>
        </w:tc>
        <w:tc>
          <w:tcPr>
            <w:tcW w:w="7980" w:type="dxa"/>
            <w:vAlign w:val="bottom"/>
            <w:gridSpan w:val="3"/>
          </w:tcPr>
          <w:p>
            <w:pPr>
              <w:ind w:left="640"/>
              <w:spacing w:after="0"/>
              <w:rPr>
                <w:rFonts w:ascii="Arial" w:cs="Arial" w:eastAsia="Arial" w:hAnsi="Arial"/>
                <w:sz w:val="18"/>
                <w:szCs w:val="18"/>
                <w:u w:val="single" w:color="auto"/>
                <w:color w:val="0000FF"/>
              </w:rPr>
            </w:pPr>
            <w:hyperlink w:anchor="page21">
              <w:r>
                <w:rPr>
                  <w:rFonts w:ascii="Arial" w:cs="Arial" w:eastAsia="Arial" w:hAnsi="Arial"/>
                  <w:sz w:val="18"/>
                  <w:szCs w:val="18"/>
                  <w:u w:val="single" w:color="auto"/>
                  <w:color w:val="0000FF"/>
                </w:rPr>
                <w:t>Management’s Discussion and Analysis of Financial Condition and Results of Operations</w:t>
              </w:r>
            </w:hyperlink>
          </w:p>
        </w:tc>
        <w:tc>
          <w:tcPr>
            <w:tcW w:w="1060" w:type="dxa"/>
            <w:vAlign w:val="bottom"/>
          </w:tcPr>
          <w:p>
            <w:pPr>
              <w:ind w:left="880"/>
              <w:spacing w:after="0"/>
              <w:rPr>
                <w:rFonts w:ascii="Arial" w:cs="Arial" w:eastAsia="Arial" w:hAnsi="Arial"/>
                <w:sz w:val="18"/>
                <w:szCs w:val="18"/>
                <w:u w:val="single" w:color="auto"/>
                <w:color w:val="0000FF"/>
                <w:w w:val="79"/>
              </w:rPr>
            </w:pPr>
            <w:hyperlink w:anchor="page21">
              <w:r>
                <w:rPr>
                  <w:rFonts w:ascii="Arial" w:cs="Arial" w:eastAsia="Arial" w:hAnsi="Arial"/>
                  <w:sz w:val="18"/>
                  <w:szCs w:val="18"/>
                  <w:u w:val="single" w:color="auto"/>
                  <w:color w:val="0000FF"/>
                  <w:w w:val="79"/>
                </w:rPr>
                <w:t>22</w:t>
              </w:r>
            </w:hyperlink>
          </w:p>
        </w:tc>
      </w:tr>
      <w:tr>
        <w:trPr>
          <w:trHeight w:val="324"/>
        </w:trPr>
        <w:tc>
          <w:tcPr>
            <w:tcW w:w="1400" w:type="dxa"/>
            <w:vAlign w:val="bottom"/>
          </w:tcPr>
          <w:p>
            <w:pPr>
              <w:spacing w:after="0"/>
              <w:rPr>
                <w:sz w:val="20"/>
                <w:szCs w:val="20"/>
                <w:color w:val="auto"/>
              </w:rPr>
            </w:pPr>
            <w:r>
              <w:rPr>
                <w:rFonts w:ascii="Arial" w:cs="Arial" w:eastAsia="Arial" w:hAnsi="Arial"/>
                <w:sz w:val="18"/>
                <w:szCs w:val="18"/>
                <w:color w:val="auto"/>
              </w:rPr>
              <w:t>ITEM 3.</w:t>
            </w:r>
          </w:p>
        </w:tc>
        <w:tc>
          <w:tcPr>
            <w:tcW w:w="7980" w:type="dxa"/>
            <w:vAlign w:val="bottom"/>
            <w:gridSpan w:val="3"/>
          </w:tcPr>
          <w:p>
            <w:pPr>
              <w:ind w:left="640"/>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Quantitative and Qualitative Disclosures about Market Risk</w:t>
              </w:r>
            </w:hyperlink>
          </w:p>
        </w:tc>
        <w:tc>
          <w:tcPr>
            <w:tcW w:w="1060" w:type="dxa"/>
            <w:vAlign w:val="bottom"/>
          </w:tcPr>
          <w:p>
            <w:pPr>
              <w:ind w:left="880"/>
              <w:spacing w:after="0"/>
              <w:rPr>
                <w:rFonts w:ascii="Arial" w:cs="Arial" w:eastAsia="Arial" w:hAnsi="Arial"/>
                <w:sz w:val="18"/>
                <w:szCs w:val="18"/>
                <w:u w:val="single" w:color="auto"/>
                <w:color w:val="0000FF"/>
                <w:w w:val="79"/>
              </w:rPr>
            </w:pPr>
            <w:hyperlink w:anchor="page35">
              <w:r>
                <w:rPr>
                  <w:rFonts w:ascii="Arial" w:cs="Arial" w:eastAsia="Arial" w:hAnsi="Arial"/>
                  <w:sz w:val="18"/>
                  <w:szCs w:val="18"/>
                  <w:u w:val="single" w:color="auto"/>
                  <w:color w:val="0000FF"/>
                  <w:w w:val="79"/>
                </w:rPr>
                <w:t>35</w:t>
              </w:r>
            </w:hyperlink>
          </w:p>
        </w:tc>
      </w:tr>
      <w:tr>
        <w:trPr>
          <w:trHeight w:val="324"/>
        </w:trPr>
        <w:tc>
          <w:tcPr>
            <w:tcW w:w="1400" w:type="dxa"/>
            <w:vAlign w:val="bottom"/>
          </w:tcPr>
          <w:p>
            <w:pPr>
              <w:spacing w:after="0"/>
              <w:rPr>
                <w:sz w:val="20"/>
                <w:szCs w:val="20"/>
                <w:color w:val="auto"/>
              </w:rPr>
            </w:pPr>
            <w:r>
              <w:rPr>
                <w:rFonts w:ascii="Arial" w:cs="Arial" w:eastAsia="Arial" w:hAnsi="Arial"/>
                <w:sz w:val="18"/>
                <w:szCs w:val="18"/>
                <w:color w:val="auto"/>
              </w:rPr>
              <w:t>ITEM 4.</w:t>
            </w:r>
          </w:p>
        </w:tc>
        <w:tc>
          <w:tcPr>
            <w:tcW w:w="7980" w:type="dxa"/>
            <w:vAlign w:val="bottom"/>
            <w:gridSpan w:val="3"/>
          </w:tcPr>
          <w:p>
            <w:pPr>
              <w:ind w:left="640"/>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Controls and Procedures</w:t>
              </w:r>
            </w:hyperlink>
          </w:p>
        </w:tc>
        <w:tc>
          <w:tcPr>
            <w:tcW w:w="1060" w:type="dxa"/>
            <w:vAlign w:val="bottom"/>
          </w:tcPr>
          <w:p>
            <w:pPr>
              <w:ind w:left="880"/>
              <w:spacing w:after="0"/>
              <w:rPr>
                <w:rFonts w:ascii="Arial" w:cs="Arial" w:eastAsia="Arial" w:hAnsi="Arial"/>
                <w:sz w:val="18"/>
                <w:szCs w:val="18"/>
                <w:u w:val="single" w:color="auto"/>
                <w:color w:val="0000FF"/>
                <w:w w:val="79"/>
              </w:rPr>
            </w:pPr>
            <w:hyperlink w:anchor="page36">
              <w:r>
                <w:rPr>
                  <w:rFonts w:ascii="Arial" w:cs="Arial" w:eastAsia="Arial" w:hAnsi="Arial"/>
                  <w:sz w:val="18"/>
                  <w:szCs w:val="18"/>
                  <w:u w:val="single" w:color="auto"/>
                  <w:color w:val="0000FF"/>
                  <w:w w:val="79"/>
                </w:rPr>
                <w:t>36</w:t>
              </w:r>
            </w:hyperlink>
          </w:p>
        </w:tc>
      </w:tr>
      <w:tr>
        <w:trPr>
          <w:trHeight w:val="283"/>
        </w:trPr>
        <w:tc>
          <w:tcPr>
            <w:tcW w:w="9380" w:type="dxa"/>
            <w:vAlign w:val="bottom"/>
            <w:gridSpan w:val="4"/>
          </w:tcPr>
          <w:p>
            <w:pPr>
              <w:spacing w:after="0"/>
              <w:rPr>
                <w:sz w:val="20"/>
                <w:szCs w:val="20"/>
                <w:color w:val="auto"/>
              </w:rPr>
            </w:pPr>
            <w:r>
              <w:rPr>
                <w:rFonts w:ascii="Arial" w:cs="Arial" w:eastAsia="Arial" w:hAnsi="Arial"/>
                <w:sz w:val="18"/>
                <w:szCs w:val="18"/>
                <w:b w:val="1"/>
                <w:bCs w:val="1"/>
                <w:color w:val="auto"/>
              </w:rPr>
              <w:t>PART II OTHER INFORMATION</w:t>
            </w:r>
          </w:p>
        </w:tc>
        <w:tc>
          <w:tcPr>
            <w:tcW w:w="1060" w:type="dxa"/>
            <w:vAlign w:val="bottom"/>
          </w:tcPr>
          <w:p>
            <w:pPr>
              <w:spacing w:after="0"/>
              <w:rPr>
                <w:sz w:val="24"/>
                <w:szCs w:val="24"/>
                <w:color w:val="auto"/>
              </w:rPr>
            </w:pPr>
          </w:p>
        </w:tc>
      </w:tr>
      <w:tr>
        <w:trPr>
          <w:trHeight w:val="20"/>
        </w:trPr>
        <w:tc>
          <w:tcPr>
            <w:tcW w:w="14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66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44"/>
        </w:trPr>
        <w:tc>
          <w:tcPr>
            <w:tcW w:w="1400" w:type="dxa"/>
            <w:vAlign w:val="bottom"/>
          </w:tcPr>
          <w:p>
            <w:pPr>
              <w:spacing w:after="0"/>
              <w:rPr>
                <w:sz w:val="20"/>
                <w:szCs w:val="20"/>
                <w:color w:val="auto"/>
              </w:rPr>
            </w:pPr>
            <w:r>
              <w:rPr>
                <w:rFonts w:ascii="Arial" w:cs="Arial" w:eastAsia="Arial" w:hAnsi="Arial"/>
                <w:sz w:val="18"/>
                <w:szCs w:val="18"/>
                <w:color w:val="auto"/>
              </w:rPr>
              <w:t>ITEM 1.</w:t>
            </w:r>
          </w:p>
        </w:tc>
        <w:tc>
          <w:tcPr>
            <w:tcW w:w="7980" w:type="dxa"/>
            <w:vAlign w:val="bottom"/>
            <w:gridSpan w:val="3"/>
          </w:tcPr>
          <w:p>
            <w:pPr>
              <w:ind w:left="640"/>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Legal Proceedings</w:t>
              </w:r>
            </w:hyperlink>
          </w:p>
        </w:tc>
        <w:tc>
          <w:tcPr>
            <w:tcW w:w="1060" w:type="dxa"/>
            <w:vAlign w:val="bottom"/>
          </w:tcPr>
          <w:p>
            <w:pPr>
              <w:ind w:left="880"/>
              <w:spacing w:after="0"/>
              <w:rPr>
                <w:rFonts w:ascii="Arial" w:cs="Arial" w:eastAsia="Arial" w:hAnsi="Arial"/>
                <w:sz w:val="18"/>
                <w:szCs w:val="18"/>
                <w:u w:val="single" w:color="auto"/>
                <w:color w:val="0000FF"/>
                <w:w w:val="79"/>
              </w:rPr>
            </w:pPr>
            <w:hyperlink w:anchor="page36">
              <w:r>
                <w:rPr>
                  <w:rFonts w:ascii="Arial" w:cs="Arial" w:eastAsia="Arial" w:hAnsi="Arial"/>
                  <w:sz w:val="18"/>
                  <w:szCs w:val="18"/>
                  <w:u w:val="single" w:color="auto"/>
                  <w:color w:val="0000FF"/>
                  <w:w w:val="79"/>
                </w:rPr>
                <w:t>36</w:t>
              </w:r>
            </w:hyperlink>
          </w:p>
        </w:tc>
      </w:tr>
      <w:tr>
        <w:trPr>
          <w:trHeight w:val="324"/>
        </w:trPr>
        <w:tc>
          <w:tcPr>
            <w:tcW w:w="1400" w:type="dxa"/>
            <w:vAlign w:val="bottom"/>
          </w:tcPr>
          <w:p>
            <w:pPr>
              <w:spacing w:after="0"/>
              <w:rPr>
                <w:sz w:val="20"/>
                <w:szCs w:val="20"/>
                <w:color w:val="auto"/>
              </w:rPr>
            </w:pPr>
            <w:r>
              <w:rPr>
                <w:rFonts w:ascii="Arial" w:cs="Arial" w:eastAsia="Arial" w:hAnsi="Arial"/>
                <w:sz w:val="18"/>
                <w:szCs w:val="18"/>
                <w:color w:val="auto"/>
              </w:rPr>
              <w:t>ITEM 1A.</w:t>
            </w:r>
          </w:p>
        </w:tc>
        <w:tc>
          <w:tcPr>
            <w:tcW w:w="7980" w:type="dxa"/>
            <w:vAlign w:val="bottom"/>
            <w:gridSpan w:val="3"/>
          </w:tcPr>
          <w:p>
            <w:pPr>
              <w:ind w:left="640"/>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Risk Factors</w:t>
              </w:r>
            </w:hyperlink>
          </w:p>
        </w:tc>
        <w:tc>
          <w:tcPr>
            <w:tcW w:w="1060" w:type="dxa"/>
            <w:vAlign w:val="bottom"/>
          </w:tcPr>
          <w:p>
            <w:pPr>
              <w:ind w:left="880"/>
              <w:spacing w:after="0"/>
              <w:rPr>
                <w:rFonts w:ascii="Arial" w:cs="Arial" w:eastAsia="Arial" w:hAnsi="Arial"/>
                <w:sz w:val="18"/>
                <w:szCs w:val="18"/>
                <w:u w:val="single" w:color="auto"/>
                <w:color w:val="0000FF"/>
                <w:w w:val="79"/>
              </w:rPr>
            </w:pPr>
            <w:hyperlink w:anchor="page37">
              <w:r>
                <w:rPr>
                  <w:rFonts w:ascii="Arial" w:cs="Arial" w:eastAsia="Arial" w:hAnsi="Arial"/>
                  <w:sz w:val="18"/>
                  <w:szCs w:val="18"/>
                  <w:u w:val="single" w:color="auto"/>
                  <w:color w:val="0000FF"/>
                  <w:w w:val="79"/>
                </w:rPr>
                <w:t>37</w:t>
              </w:r>
            </w:hyperlink>
          </w:p>
        </w:tc>
      </w:tr>
      <w:tr>
        <w:trPr>
          <w:trHeight w:val="324"/>
        </w:trPr>
        <w:tc>
          <w:tcPr>
            <w:tcW w:w="1400" w:type="dxa"/>
            <w:vAlign w:val="bottom"/>
          </w:tcPr>
          <w:p>
            <w:pPr>
              <w:spacing w:after="0"/>
              <w:rPr>
                <w:sz w:val="20"/>
                <w:szCs w:val="20"/>
                <w:color w:val="auto"/>
              </w:rPr>
            </w:pPr>
            <w:r>
              <w:rPr>
                <w:rFonts w:ascii="Arial" w:cs="Arial" w:eastAsia="Arial" w:hAnsi="Arial"/>
                <w:sz w:val="18"/>
                <w:szCs w:val="18"/>
                <w:color w:val="auto"/>
              </w:rPr>
              <w:t>ITEM 2.</w:t>
            </w:r>
          </w:p>
        </w:tc>
        <w:tc>
          <w:tcPr>
            <w:tcW w:w="7980" w:type="dxa"/>
            <w:vAlign w:val="bottom"/>
            <w:gridSpan w:val="3"/>
          </w:tcPr>
          <w:p>
            <w:pPr>
              <w:ind w:left="640"/>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Unregistered Sales of Equity Securities and Use of Proceeds</w:t>
              </w:r>
            </w:hyperlink>
          </w:p>
        </w:tc>
        <w:tc>
          <w:tcPr>
            <w:tcW w:w="1060" w:type="dxa"/>
            <w:vAlign w:val="bottom"/>
          </w:tcPr>
          <w:p>
            <w:pPr>
              <w:ind w:left="880"/>
              <w:spacing w:after="0"/>
              <w:rPr>
                <w:rFonts w:ascii="Arial" w:cs="Arial" w:eastAsia="Arial" w:hAnsi="Arial"/>
                <w:sz w:val="18"/>
                <w:szCs w:val="18"/>
                <w:u w:val="single" w:color="auto"/>
                <w:color w:val="0000FF"/>
                <w:w w:val="79"/>
              </w:rPr>
            </w:pPr>
            <w:hyperlink w:anchor="page38">
              <w:r>
                <w:rPr>
                  <w:rFonts w:ascii="Arial" w:cs="Arial" w:eastAsia="Arial" w:hAnsi="Arial"/>
                  <w:sz w:val="18"/>
                  <w:szCs w:val="18"/>
                  <w:u w:val="single" w:color="auto"/>
                  <w:color w:val="0000FF"/>
                  <w:w w:val="79"/>
                </w:rPr>
                <w:t>38</w:t>
              </w:r>
            </w:hyperlink>
          </w:p>
        </w:tc>
      </w:tr>
      <w:tr>
        <w:trPr>
          <w:trHeight w:val="324"/>
        </w:trPr>
        <w:tc>
          <w:tcPr>
            <w:tcW w:w="1400" w:type="dxa"/>
            <w:vAlign w:val="bottom"/>
          </w:tcPr>
          <w:p>
            <w:pPr>
              <w:spacing w:after="0"/>
              <w:rPr>
                <w:sz w:val="20"/>
                <w:szCs w:val="20"/>
                <w:color w:val="auto"/>
              </w:rPr>
            </w:pPr>
            <w:r>
              <w:rPr>
                <w:rFonts w:ascii="Arial" w:cs="Arial" w:eastAsia="Arial" w:hAnsi="Arial"/>
                <w:sz w:val="18"/>
                <w:szCs w:val="18"/>
                <w:color w:val="auto"/>
              </w:rPr>
              <w:t>ITEM 6.</w:t>
            </w:r>
          </w:p>
        </w:tc>
        <w:tc>
          <w:tcPr>
            <w:tcW w:w="7980" w:type="dxa"/>
            <w:vAlign w:val="bottom"/>
            <w:gridSpan w:val="3"/>
          </w:tcPr>
          <w:p>
            <w:pPr>
              <w:ind w:left="640"/>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Exhibits</w:t>
              </w:r>
            </w:hyperlink>
          </w:p>
        </w:tc>
        <w:tc>
          <w:tcPr>
            <w:tcW w:w="1060" w:type="dxa"/>
            <w:vAlign w:val="bottom"/>
          </w:tcPr>
          <w:p>
            <w:pPr>
              <w:ind w:left="880"/>
              <w:spacing w:after="0"/>
              <w:rPr>
                <w:rFonts w:ascii="Arial" w:cs="Arial" w:eastAsia="Arial" w:hAnsi="Arial"/>
                <w:sz w:val="18"/>
                <w:szCs w:val="18"/>
                <w:u w:val="single" w:color="auto"/>
                <w:color w:val="0000FF"/>
                <w:w w:val="79"/>
              </w:rPr>
            </w:pPr>
            <w:hyperlink w:anchor="page39">
              <w:r>
                <w:rPr>
                  <w:rFonts w:ascii="Arial" w:cs="Arial" w:eastAsia="Arial" w:hAnsi="Arial"/>
                  <w:sz w:val="18"/>
                  <w:szCs w:val="18"/>
                  <w:u w:val="single" w:color="auto"/>
                  <w:color w:val="0000FF"/>
                  <w:w w:val="79"/>
                </w:rPr>
                <w:t>40</w:t>
              </w:r>
            </w:hyperlink>
          </w:p>
        </w:tc>
      </w:tr>
      <w:tr>
        <w:trPr>
          <w:trHeight w:val="310"/>
        </w:trPr>
        <w:tc>
          <w:tcPr>
            <w:tcW w:w="1400" w:type="dxa"/>
            <w:vAlign w:val="bottom"/>
          </w:tcPr>
          <w:p>
            <w:pPr>
              <w:spacing w:after="0"/>
              <w:rPr>
                <w:sz w:val="24"/>
                <w:szCs w:val="24"/>
                <w:color w:val="auto"/>
              </w:rPr>
            </w:pPr>
          </w:p>
        </w:tc>
        <w:tc>
          <w:tcPr>
            <w:tcW w:w="7980" w:type="dxa"/>
            <w:vAlign w:val="bottom"/>
            <w:gridSpan w:val="3"/>
          </w:tcPr>
          <w:p>
            <w:pPr>
              <w:ind w:left="640"/>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Signatures</w:t>
              </w:r>
            </w:hyperlink>
          </w:p>
        </w:tc>
        <w:tc>
          <w:tcPr>
            <w:tcW w:w="1060" w:type="dxa"/>
            <w:vAlign w:val="bottom"/>
          </w:tcPr>
          <w:p>
            <w:pPr>
              <w:ind w:left="880"/>
              <w:spacing w:after="0"/>
              <w:rPr>
                <w:rFonts w:ascii="Arial" w:cs="Arial" w:eastAsia="Arial" w:hAnsi="Arial"/>
                <w:sz w:val="18"/>
                <w:szCs w:val="18"/>
                <w:u w:val="single" w:color="auto"/>
                <w:color w:val="0000FF"/>
                <w:w w:val="79"/>
              </w:rPr>
            </w:pPr>
            <w:hyperlink w:anchor="page40">
              <w:r>
                <w:rPr>
                  <w:rFonts w:ascii="Arial" w:cs="Arial" w:eastAsia="Arial" w:hAnsi="Arial"/>
                  <w:sz w:val="18"/>
                  <w:szCs w:val="18"/>
                  <w:u w:val="single" w:color="auto"/>
                  <w:color w:val="0000FF"/>
                  <w:w w:val="79"/>
                </w:rPr>
                <w:t>41</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121" w:right="65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00" w:lineRule="exact"/>
        <w:rPr>
          <w:sz w:val="20"/>
          <w:szCs w:val="20"/>
          <w:color w:val="auto"/>
        </w:rPr>
      </w:pPr>
    </w:p>
    <w:p>
      <w:pPr>
        <w:spacing w:after="0" w:line="21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Pentair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 (Unaudited)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40" w:type="dxa"/>
            <w:vAlign w:val="bottom"/>
            <w:gridSpan w:val="4"/>
          </w:tcPr>
          <w:p>
            <w:pPr>
              <w:ind w:left="58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Pr>
          <w:p>
            <w:pPr>
              <w:spacing w:after="0"/>
              <w:rPr>
                <w:sz w:val="18"/>
                <w:szCs w:val="18"/>
                <w:color w:val="auto"/>
              </w:rPr>
            </w:pPr>
          </w:p>
        </w:tc>
        <w:tc>
          <w:tcPr>
            <w:tcW w:w="2740" w:type="dxa"/>
            <w:vAlign w:val="bottom"/>
            <w:gridSpan w:val="3"/>
          </w:tcPr>
          <w:p>
            <w:pPr>
              <w:jc w:val="right"/>
              <w:ind w:right="699"/>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5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9"/>
        </w:trPr>
        <w:tc>
          <w:tcPr>
            <w:tcW w:w="5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b w:val="1"/>
                <w:bCs w:val="1"/>
                <w:color w:val="auto"/>
                <w:w w:val="95"/>
              </w:rPr>
              <w:t>September 30,</w:t>
            </w:r>
          </w:p>
        </w:tc>
        <w:tc>
          <w:tcPr>
            <w:tcW w:w="160" w:type="dxa"/>
            <w:vAlign w:val="bottom"/>
          </w:tcPr>
          <w:p>
            <w:pPr>
              <w:spacing w:after="0"/>
              <w:rPr>
                <w:sz w:val="18"/>
                <w:szCs w:val="18"/>
                <w:color w:val="auto"/>
              </w:rPr>
            </w:pPr>
          </w:p>
        </w:tc>
        <w:tc>
          <w:tcPr>
            <w:tcW w:w="140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18"/>
                <w:szCs w:val="18"/>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b w:val="1"/>
                <w:bCs w:val="1"/>
                <w:color w:val="auto"/>
                <w:w w:val="95"/>
              </w:rPr>
              <w:t>September 30,</w:t>
            </w:r>
          </w:p>
        </w:tc>
        <w:tc>
          <w:tcPr>
            <w:tcW w:w="160" w:type="dxa"/>
            <w:vAlign w:val="bottom"/>
          </w:tcPr>
          <w:p>
            <w:pPr>
              <w:spacing w:after="0"/>
              <w:rPr>
                <w:sz w:val="18"/>
                <w:szCs w:val="18"/>
                <w:color w:val="auto"/>
              </w:rPr>
            </w:pPr>
          </w:p>
        </w:tc>
        <w:tc>
          <w:tcPr>
            <w:tcW w:w="1300" w:type="dxa"/>
            <w:vAlign w:val="bottom"/>
          </w:tcPr>
          <w:p>
            <w:pPr>
              <w:jc w:val="right"/>
              <w:ind w:right="159"/>
              <w:spacing w:after="0"/>
              <w:rPr>
                <w:sz w:val="20"/>
                <w:szCs w:val="20"/>
                <w:color w:val="auto"/>
              </w:rPr>
            </w:pPr>
            <w:r>
              <w:rPr>
                <w:rFonts w:ascii="Arial" w:cs="Arial" w:eastAsia="Arial" w:hAnsi="Arial"/>
                <w:sz w:val="16"/>
                <w:szCs w:val="16"/>
                <w:b w:val="1"/>
                <w:bCs w:val="1"/>
                <w:color w:val="auto"/>
                <w:w w:val="95"/>
              </w:rPr>
              <w:t>September 30,</w:t>
            </w:r>
          </w:p>
        </w:tc>
      </w:tr>
      <w:tr>
        <w:trPr>
          <w:trHeight w:val="210"/>
        </w:trPr>
        <w:tc>
          <w:tcPr>
            <w:tcW w:w="5340" w:type="dxa"/>
            <w:vAlign w:val="bottom"/>
          </w:tcPr>
          <w:p>
            <w:pPr>
              <w:ind w:left="20"/>
              <w:spacing w:after="0"/>
              <w:rPr>
                <w:sz w:val="20"/>
                <w:szCs w:val="20"/>
                <w:color w:val="auto"/>
              </w:rPr>
            </w:pPr>
            <w:r>
              <w:rPr>
                <w:rFonts w:ascii="Arial" w:cs="Arial" w:eastAsia="Arial" w:hAnsi="Arial"/>
                <w:sz w:val="16"/>
                <w:szCs w:val="16"/>
                <w:i w:val="1"/>
                <w:iCs w:val="1"/>
                <w:color w:val="auto"/>
              </w:rPr>
              <w:t>In millions, except per-share data</w:t>
            </w:r>
          </w:p>
        </w:tc>
        <w:tc>
          <w:tcPr>
            <w:tcW w:w="160" w:type="dxa"/>
            <w:vAlign w:val="bottom"/>
          </w:tcPr>
          <w:p>
            <w:pPr>
              <w:spacing w:after="0"/>
              <w:rPr>
                <w:sz w:val="18"/>
                <w:szCs w:val="18"/>
                <w:color w:val="auto"/>
              </w:rPr>
            </w:pPr>
          </w:p>
        </w:tc>
        <w:tc>
          <w:tcPr>
            <w:tcW w:w="1280" w:type="dxa"/>
            <w:vAlign w:val="bottom"/>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18"/>
                <w:szCs w:val="18"/>
                <w:color w:val="auto"/>
              </w:rPr>
            </w:pPr>
          </w:p>
        </w:tc>
        <w:tc>
          <w:tcPr>
            <w:tcW w:w="1280" w:type="dxa"/>
            <w:vAlign w:val="bottom"/>
          </w:tcPr>
          <w:p>
            <w:pPr>
              <w:jc w:val="right"/>
              <w:ind w:right="47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18"/>
                <w:szCs w:val="18"/>
                <w:color w:val="auto"/>
              </w:rPr>
            </w:pPr>
          </w:p>
        </w:tc>
        <w:tc>
          <w:tcPr>
            <w:tcW w:w="1300" w:type="dxa"/>
            <w:vAlign w:val="bottom"/>
          </w:tcPr>
          <w:p>
            <w:pPr>
              <w:jc w:val="right"/>
              <w:ind w:right="479"/>
              <w:spacing w:after="0"/>
              <w:rPr>
                <w:sz w:val="20"/>
                <w:szCs w:val="20"/>
                <w:color w:val="auto"/>
              </w:rPr>
            </w:pPr>
            <w:r>
              <w:rPr>
                <w:rFonts w:ascii="Arial" w:cs="Arial" w:eastAsia="Arial" w:hAnsi="Arial"/>
                <w:sz w:val="16"/>
                <w:szCs w:val="16"/>
                <w:b w:val="1"/>
                <w:bCs w:val="1"/>
                <w:color w:val="auto"/>
              </w:rPr>
              <w:t>2019</w:t>
            </w:r>
          </w:p>
        </w:tc>
      </w:tr>
      <w:tr>
        <w:trPr>
          <w:trHeight w:val="33"/>
        </w:trPr>
        <w:tc>
          <w:tcPr>
            <w:tcW w:w="5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798.5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713.6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2,221.8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2,202.0</w:t>
            </w:r>
          </w:p>
        </w:tc>
      </w:tr>
      <w:tr>
        <w:trPr>
          <w:trHeight w:val="224"/>
        </w:trPr>
        <w:tc>
          <w:tcPr>
            <w:tcW w:w="5340" w:type="dxa"/>
            <w:vAlign w:val="bottom"/>
          </w:tcPr>
          <w:p>
            <w:pPr>
              <w:ind w:left="20"/>
              <w:spacing w:after="0"/>
              <w:rPr>
                <w:sz w:val="20"/>
                <w:szCs w:val="20"/>
                <w:color w:val="auto"/>
              </w:rPr>
            </w:pPr>
            <w:r>
              <w:rPr>
                <w:rFonts w:ascii="Arial" w:cs="Arial" w:eastAsia="Arial" w:hAnsi="Arial"/>
                <w:sz w:val="16"/>
                <w:szCs w:val="16"/>
                <w:color w:val="auto"/>
              </w:rPr>
              <w:t>Cost of goods sold</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521.1</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458.6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1,447.7</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1,424.7</w:t>
            </w:r>
          </w:p>
        </w:tc>
      </w:tr>
      <w:tr>
        <w:trPr>
          <w:trHeight w:val="33"/>
        </w:trPr>
        <w:tc>
          <w:tcPr>
            <w:tcW w:w="5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277.4</w:t>
            </w:r>
          </w:p>
        </w:tc>
        <w:tc>
          <w:tcPr>
            <w:tcW w:w="1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255.0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774.1</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777.3</w:t>
            </w:r>
          </w:p>
        </w:tc>
      </w:tr>
      <w:tr>
        <w:trPr>
          <w:trHeight w:val="224"/>
        </w:trPr>
        <w:tc>
          <w:tcPr>
            <w:tcW w:w="534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130.0</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126.4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378.6</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405.9</w:t>
            </w:r>
          </w:p>
        </w:tc>
      </w:tr>
      <w:tr>
        <w:trPr>
          <w:trHeight w:val="33"/>
        </w:trPr>
        <w:tc>
          <w:tcPr>
            <w:tcW w:w="5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62"/>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Research and development expenses</w:t>
            </w:r>
          </w:p>
        </w:tc>
        <w:tc>
          <w:tcPr>
            <w:tcW w:w="1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1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55.6</w:t>
            </w: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61.2</w:t>
            </w:r>
          </w:p>
        </w:tc>
      </w:tr>
      <w:tr>
        <w:trPr>
          <w:trHeight w:val="217"/>
        </w:trPr>
        <w:tc>
          <w:tcPr>
            <w:tcW w:w="53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Operating income</w:t>
            </w: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128.1</w:t>
            </w: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108.8</w:t>
            </w: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339.9</w:t>
            </w: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310.2</w:t>
            </w:r>
          </w:p>
        </w:tc>
      </w:tr>
      <w:tr>
        <w:trPr>
          <w:trHeight w:val="33"/>
        </w:trPr>
        <w:tc>
          <w:tcPr>
            <w:tcW w:w="5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6"/>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Other (income) expense:</w:t>
            </w:r>
          </w:p>
        </w:tc>
        <w:tc>
          <w:tcPr>
            <w:tcW w:w="1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24"/>
        </w:trPr>
        <w:tc>
          <w:tcPr>
            <w:tcW w:w="5340" w:type="dxa"/>
            <w:vAlign w:val="bottom"/>
          </w:tcPr>
          <w:p>
            <w:pPr>
              <w:ind w:left="20"/>
              <w:spacing w:after="0"/>
              <w:rPr>
                <w:sz w:val="20"/>
                <w:szCs w:val="20"/>
                <w:color w:val="auto"/>
              </w:rPr>
            </w:pPr>
            <w:r>
              <w:rPr>
                <w:rFonts w:ascii="Arial" w:cs="Arial" w:eastAsia="Arial" w:hAnsi="Arial"/>
                <w:sz w:val="16"/>
                <w:szCs w:val="16"/>
                <w:color w:val="auto"/>
              </w:rPr>
              <w:t>Loss (gain) on sale of businesses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0.1</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33"/>
        </w:trPr>
        <w:tc>
          <w:tcPr>
            <w:tcW w:w="5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interest expense</w:t>
            </w:r>
          </w:p>
        </w:tc>
        <w:tc>
          <w:tcPr>
            <w:tcW w:w="1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23.6</w:t>
            </w:r>
          </w:p>
        </w:tc>
      </w:tr>
      <w:tr>
        <w:trPr>
          <w:trHeight w:val="224"/>
        </w:trPr>
        <w:tc>
          <w:tcPr>
            <w:tcW w:w="5340" w:type="dxa"/>
            <w:vAlign w:val="bottom"/>
          </w:tcPr>
          <w:p>
            <w:pPr>
              <w:spacing w:after="0"/>
              <w:rPr>
                <w:sz w:val="20"/>
                <w:szCs w:val="20"/>
                <w:color w:val="auto"/>
              </w:rPr>
            </w:pPr>
            <w:r>
              <w:rPr>
                <w:rFonts w:ascii="Arial" w:cs="Arial" w:eastAsia="Arial" w:hAnsi="Arial"/>
                <w:sz w:val="16"/>
                <w:szCs w:val="16"/>
                <w:color w:val="auto"/>
              </w:rPr>
              <w:t>Other (income) expense</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(2.5)</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(11.7)</w:t>
            </w:r>
          </w:p>
        </w:tc>
      </w:tr>
      <w:tr>
        <w:trPr>
          <w:trHeight w:val="33"/>
        </w:trPr>
        <w:tc>
          <w:tcPr>
            <w:tcW w:w="5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5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continuing operations before income taxes</w:t>
            </w: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125.2</w:t>
            </w: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321.4</w:t>
            </w: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301.6</w:t>
            </w:r>
          </w:p>
        </w:tc>
      </w:tr>
      <w:tr>
        <w:trPr>
          <w:trHeight w:val="223"/>
        </w:trPr>
        <w:tc>
          <w:tcPr>
            <w:tcW w:w="5340" w:type="dxa"/>
            <w:vAlign w:val="bottom"/>
          </w:tcPr>
          <w:p>
            <w:pPr>
              <w:ind w:left="20"/>
              <w:spacing w:after="0"/>
              <w:rPr>
                <w:sz w:val="20"/>
                <w:szCs w:val="20"/>
                <w:color w:val="auto"/>
              </w:rPr>
            </w:pPr>
            <w:r>
              <w:rPr>
                <w:rFonts w:ascii="Arial" w:cs="Arial" w:eastAsia="Arial" w:hAnsi="Arial"/>
                <w:sz w:val="16"/>
                <w:szCs w:val="16"/>
                <w:color w:val="auto"/>
              </w:rPr>
              <w:t>Provision for income taxes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14.4</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64.1</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42.8</w:t>
            </w:r>
          </w:p>
        </w:tc>
      </w:tr>
      <w:tr>
        <w:trPr>
          <w:trHeight w:val="33"/>
        </w:trPr>
        <w:tc>
          <w:tcPr>
            <w:tcW w:w="5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53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from continuing operations</w:t>
            </w: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110.8</w:t>
            </w: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257.3</w:t>
            </w: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258.8</w:t>
            </w:r>
          </w:p>
        </w:tc>
      </w:tr>
      <w:tr>
        <w:trPr>
          <w:trHeight w:val="224"/>
        </w:trPr>
        <w:tc>
          <w:tcPr>
            <w:tcW w:w="5340" w:type="dxa"/>
            <w:vAlign w:val="bottom"/>
          </w:tcPr>
          <w:p>
            <w:pPr>
              <w:ind w:left="20"/>
              <w:spacing w:after="0"/>
              <w:rPr>
                <w:sz w:val="20"/>
                <w:szCs w:val="20"/>
                <w:color w:val="auto"/>
              </w:rPr>
            </w:pPr>
            <w:r>
              <w:rPr>
                <w:rFonts w:ascii="Arial" w:cs="Arial" w:eastAsia="Arial" w:hAnsi="Arial"/>
                <w:sz w:val="16"/>
                <w:szCs w:val="16"/>
                <w:color w:val="auto"/>
              </w:rPr>
              <w:t>Income (loss) from discontinued operations, net of tax</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(1.7)</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(0.9)</w:t>
            </w:r>
          </w:p>
        </w:tc>
      </w:tr>
      <w:tr>
        <w:trPr>
          <w:trHeight w:val="33"/>
        </w:trPr>
        <w:tc>
          <w:tcPr>
            <w:tcW w:w="5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2"/>
        </w:trPr>
        <w:tc>
          <w:tcPr>
            <w:tcW w:w="5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92.3</w:t>
            </w:r>
          </w:p>
        </w:tc>
        <w:tc>
          <w:tcPr>
            <w:tcW w:w="1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257.9</w:t>
            </w:r>
          </w:p>
        </w:tc>
      </w:tr>
      <w:tr>
        <w:trPr>
          <w:trHeight w:val="20"/>
        </w:trPr>
        <w:tc>
          <w:tcPr>
            <w:tcW w:w="53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200"/>
        </w:trPr>
        <w:tc>
          <w:tcPr>
            <w:tcW w:w="5340" w:type="dxa"/>
            <w:vAlign w:val="bottom"/>
          </w:tcPr>
          <w:p>
            <w:pPr>
              <w:ind w:left="20"/>
              <w:spacing w:after="0"/>
              <w:rPr>
                <w:sz w:val="20"/>
                <w:szCs w:val="20"/>
                <w:color w:val="auto"/>
              </w:rPr>
            </w:pPr>
            <w:r>
              <w:rPr>
                <w:rFonts w:ascii="Arial" w:cs="Arial" w:eastAsia="Arial" w:hAnsi="Arial"/>
                <w:sz w:val="16"/>
                <w:szCs w:val="16"/>
                <w:b w:val="1"/>
                <w:bCs w:val="1"/>
                <w:color w:val="auto"/>
              </w:rPr>
              <w:t>Comprehensive income, net of tax</w:t>
            </w: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33"/>
        </w:trPr>
        <w:tc>
          <w:tcPr>
            <w:tcW w:w="5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255.6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257.9</w:t>
            </w:r>
          </w:p>
        </w:tc>
      </w:tr>
      <w:tr>
        <w:trPr>
          <w:trHeight w:val="223"/>
        </w:trPr>
        <w:tc>
          <w:tcPr>
            <w:tcW w:w="5340" w:type="dxa"/>
            <w:vAlign w:val="bottom"/>
          </w:tcPr>
          <w:p>
            <w:pPr>
              <w:ind w:left="20"/>
              <w:spacing w:after="0"/>
              <w:rPr>
                <w:sz w:val="20"/>
                <w:szCs w:val="20"/>
                <w:color w:val="auto"/>
              </w:rPr>
            </w:pPr>
            <w:r>
              <w:rPr>
                <w:rFonts w:ascii="Arial" w:cs="Arial" w:eastAsia="Arial" w:hAnsi="Arial"/>
                <w:sz w:val="16"/>
                <w:szCs w:val="16"/>
                <w:color w:val="auto"/>
              </w:rPr>
              <w:t>Changes in cumulative translation adjustment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25.1</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(25.8)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15.5</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(28.3)</w:t>
            </w:r>
          </w:p>
        </w:tc>
      </w:tr>
      <w:tr>
        <w:trPr>
          <w:trHeight w:val="33"/>
        </w:trPr>
        <w:tc>
          <w:tcPr>
            <w:tcW w:w="5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4"/>
        </w:trPr>
        <w:tc>
          <w:tcPr>
            <w:tcW w:w="5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Changes in market value of derivative financial instruments, net of tax</w:t>
            </w:r>
          </w:p>
        </w:tc>
        <w:tc>
          <w:tcPr>
            <w:tcW w:w="16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6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12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6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w:t>
            </w:r>
          </w:p>
        </w:tc>
      </w:tr>
      <w:tr>
        <w:trPr>
          <w:trHeight w:val="250"/>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Comprehensive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88.4</w:t>
            </w: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252.4</w:t>
            </w:r>
          </w:p>
        </w:tc>
      </w:tr>
      <w:tr>
        <w:trPr>
          <w:trHeight w:val="20"/>
        </w:trPr>
        <w:tc>
          <w:tcPr>
            <w:tcW w:w="5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13"/>
        </w:trPr>
        <w:tc>
          <w:tcPr>
            <w:tcW w:w="53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Earnings (loss) per ordinary share</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23"/>
        </w:trPr>
        <w:tc>
          <w:tcPr>
            <w:tcW w:w="534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Basic</w:t>
            </w: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33"/>
        </w:trPr>
        <w:tc>
          <w:tcPr>
            <w:tcW w:w="5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Continuing operations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w:t>
            </w:r>
          </w:p>
        </w:tc>
      </w:tr>
      <w:tr>
        <w:trPr>
          <w:trHeight w:val="223"/>
        </w:trPr>
        <w:tc>
          <w:tcPr>
            <w:tcW w:w="5340" w:type="dxa"/>
            <w:vAlign w:val="bottom"/>
          </w:tcPr>
          <w:p>
            <w:pPr>
              <w:ind w:left="20"/>
              <w:spacing w:after="0"/>
              <w:rPr>
                <w:sz w:val="20"/>
                <w:szCs w:val="20"/>
                <w:color w:val="auto"/>
              </w:rPr>
            </w:pPr>
            <w:r>
              <w:rPr>
                <w:rFonts w:ascii="Arial" w:cs="Arial" w:eastAsia="Arial" w:hAnsi="Arial"/>
                <w:sz w:val="16"/>
                <w:szCs w:val="16"/>
                <w:color w:val="auto"/>
              </w:rPr>
              <w:t>Discontinued operations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(0.01)</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(0.01)</w:t>
            </w:r>
          </w:p>
        </w:tc>
      </w:tr>
      <w:tr>
        <w:trPr>
          <w:trHeight w:val="33"/>
        </w:trPr>
        <w:tc>
          <w:tcPr>
            <w:tcW w:w="5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72"/>
        </w:trPr>
        <w:tc>
          <w:tcPr>
            <w:tcW w:w="5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Basic earnings per ordinary share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0.55</w:t>
            </w:r>
          </w:p>
        </w:tc>
        <w:tc>
          <w:tcPr>
            <w:tcW w:w="12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w:t>
            </w:r>
          </w:p>
        </w:tc>
      </w:tr>
      <w:tr>
        <w:trPr>
          <w:trHeight w:val="20"/>
        </w:trPr>
        <w:tc>
          <w:tcPr>
            <w:tcW w:w="53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200"/>
        </w:trPr>
        <w:tc>
          <w:tcPr>
            <w:tcW w:w="534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Diluted</w:t>
            </w: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33"/>
        </w:trPr>
        <w:tc>
          <w:tcPr>
            <w:tcW w:w="5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6"/>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Continuing operations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w:t>
            </w:r>
          </w:p>
        </w:tc>
      </w:tr>
      <w:tr>
        <w:trPr>
          <w:trHeight w:val="223"/>
        </w:trPr>
        <w:tc>
          <w:tcPr>
            <w:tcW w:w="5340" w:type="dxa"/>
            <w:vAlign w:val="bottom"/>
          </w:tcPr>
          <w:p>
            <w:pPr>
              <w:ind w:left="20"/>
              <w:spacing w:after="0"/>
              <w:rPr>
                <w:sz w:val="20"/>
                <w:szCs w:val="20"/>
                <w:color w:val="auto"/>
              </w:rPr>
            </w:pPr>
            <w:r>
              <w:rPr>
                <w:rFonts w:ascii="Arial" w:cs="Arial" w:eastAsia="Arial" w:hAnsi="Arial"/>
                <w:sz w:val="16"/>
                <w:szCs w:val="16"/>
                <w:color w:val="auto"/>
              </w:rPr>
              <w:t>Discontinued operations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(0.01)</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(0.01)</w:t>
            </w:r>
          </w:p>
        </w:tc>
      </w:tr>
      <w:tr>
        <w:trPr>
          <w:trHeight w:val="33"/>
        </w:trPr>
        <w:tc>
          <w:tcPr>
            <w:tcW w:w="5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72"/>
        </w:trPr>
        <w:tc>
          <w:tcPr>
            <w:tcW w:w="5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Diluted earnings per ordinary share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0.55</w:t>
            </w:r>
          </w:p>
        </w:tc>
        <w:tc>
          <w:tcPr>
            <w:tcW w:w="12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w:t>
            </w:r>
          </w:p>
        </w:tc>
      </w:tr>
      <w:tr>
        <w:trPr>
          <w:trHeight w:val="20"/>
        </w:trPr>
        <w:tc>
          <w:tcPr>
            <w:tcW w:w="53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200"/>
        </w:trPr>
        <w:tc>
          <w:tcPr>
            <w:tcW w:w="5340" w:type="dxa"/>
            <w:vAlign w:val="bottom"/>
          </w:tcPr>
          <w:p>
            <w:pPr>
              <w:ind w:left="20"/>
              <w:spacing w:after="0"/>
              <w:rPr>
                <w:sz w:val="20"/>
                <w:szCs w:val="20"/>
                <w:color w:val="auto"/>
              </w:rPr>
            </w:pPr>
            <w:r>
              <w:rPr>
                <w:rFonts w:ascii="Arial" w:cs="Arial" w:eastAsia="Arial" w:hAnsi="Arial"/>
                <w:sz w:val="16"/>
                <w:szCs w:val="16"/>
                <w:b w:val="1"/>
                <w:bCs w:val="1"/>
                <w:color w:val="auto"/>
              </w:rPr>
              <w:t>Weighted average ordinary shares outstanding</w:t>
            </w: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33"/>
        </w:trPr>
        <w:tc>
          <w:tcPr>
            <w:tcW w:w="5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6"/>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Basic</w:t>
            </w:r>
          </w:p>
        </w:tc>
        <w:tc>
          <w:tcPr>
            <w:tcW w:w="1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166.1</w:t>
            </w:r>
          </w:p>
        </w:tc>
        <w:tc>
          <w:tcPr>
            <w:tcW w:w="1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166.6</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169.7</w:t>
            </w:r>
          </w:p>
        </w:tc>
      </w:tr>
      <w:tr>
        <w:trPr>
          <w:trHeight w:val="224"/>
        </w:trPr>
        <w:tc>
          <w:tcPr>
            <w:tcW w:w="5340" w:type="dxa"/>
            <w:vAlign w:val="bottom"/>
          </w:tcPr>
          <w:p>
            <w:pPr>
              <w:ind w:left="20"/>
              <w:spacing w:after="0"/>
              <w:rPr>
                <w:sz w:val="20"/>
                <w:szCs w:val="20"/>
                <w:color w:val="auto"/>
              </w:rPr>
            </w:pPr>
            <w:r>
              <w:rPr>
                <w:rFonts w:ascii="Arial" w:cs="Arial" w:eastAsia="Arial" w:hAnsi="Arial"/>
                <w:sz w:val="16"/>
                <w:szCs w:val="16"/>
                <w:color w:val="auto"/>
              </w:rPr>
              <w:t>Diluted</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167.1</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168.6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167.4</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170.3</w:t>
            </w:r>
          </w:p>
        </w:tc>
      </w:tr>
    </w:tbl>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Pentair plc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7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0" w:type="dxa"/>
            <w:vAlign w:val="bottom"/>
          </w:tcPr>
          <w:p>
            <w:pPr>
              <w:jc w:val="right"/>
              <w:ind w:right="219"/>
              <w:spacing w:after="0"/>
              <w:rPr>
                <w:sz w:val="20"/>
                <w:szCs w:val="20"/>
                <w:color w:val="auto"/>
              </w:rPr>
            </w:pPr>
            <w:r>
              <w:rPr>
                <w:rFonts w:ascii="Arial" w:cs="Arial" w:eastAsia="Arial" w:hAnsi="Arial"/>
                <w:sz w:val="16"/>
                <w:szCs w:val="16"/>
                <w:b w:val="1"/>
                <w:bCs w:val="1"/>
                <w:color w:val="auto"/>
                <w:w w:val="98"/>
              </w:rPr>
              <w:t>September 30,</w:t>
            </w:r>
          </w:p>
        </w:tc>
        <w:tc>
          <w:tcPr>
            <w:tcW w:w="240" w:type="dxa"/>
            <w:vAlign w:val="bottom"/>
          </w:tcPr>
          <w:p>
            <w:pPr>
              <w:spacing w:after="0"/>
              <w:rPr>
                <w:sz w:val="17"/>
                <w:szCs w:val="17"/>
                <w:color w:val="auto"/>
              </w:rPr>
            </w:pPr>
          </w:p>
        </w:tc>
        <w:tc>
          <w:tcPr>
            <w:tcW w:w="1400" w:type="dxa"/>
            <w:vAlign w:val="bottom"/>
          </w:tcPr>
          <w:p>
            <w:pPr>
              <w:jc w:val="right"/>
              <w:ind w:right="259"/>
              <w:spacing w:after="0"/>
              <w:rPr>
                <w:sz w:val="20"/>
                <w:szCs w:val="20"/>
                <w:color w:val="auto"/>
              </w:rPr>
            </w:pPr>
            <w:r>
              <w:rPr>
                <w:rFonts w:ascii="Arial" w:cs="Arial" w:eastAsia="Arial" w:hAnsi="Arial"/>
                <w:sz w:val="16"/>
                <w:szCs w:val="16"/>
                <w:b w:val="1"/>
                <w:bCs w:val="1"/>
                <w:color w:val="auto"/>
                <w:w w:val="99"/>
              </w:rPr>
              <w:t>December 31,</w:t>
            </w:r>
          </w:p>
        </w:tc>
        <w:tc>
          <w:tcPr>
            <w:tcW w:w="0" w:type="dxa"/>
            <w:vAlign w:val="bottom"/>
          </w:tcPr>
          <w:p>
            <w:pPr>
              <w:spacing w:after="0"/>
              <w:rPr>
                <w:sz w:val="1"/>
                <w:szCs w:val="1"/>
                <w:color w:val="auto"/>
              </w:rPr>
            </w:pPr>
          </w:p>
        </w:tc>
      </w:tr>
      <w:tr>
        <w:trPr>
          <w:trHeight w:val="210"/>
        </w:trPr>
        <w:tc>
          <w:tcPr>
            <w:tcW w:w="7740" w:type="dxa"/>
            <w:vAlign w:val="bottom"/>
          </w:tcPr>
          <w:p>
            <w:pPr>
              <w:spacing w:after="0"/>
              <w:rPr>
                <w:sz w:val="20"/>
                <w:szCs w:val="20"/>
                <w:color w:val="auto"/>
              </w:rPr>
            </w:pPr>
            <w:r>
              <w:rPr>
                <w:rFonts w:ascii="Arial" w:cs="Arial" w:eastAsia="Arial" w:hAnsi="Arial"/>
                <w:sz w:val="16"/>
                <w:szCs w:val="16"/>
                <w:i w:val="1"/>
                <w:iCs w:val="1"/>
                <w:color w:val="auto"/>
              </w:rPr>
              <w:t>In millions, except per-share data</w:t>
            </w:r>
          </w:p>
        </w:tc>
        <w:tc>
          <w:tcPr>
            <w:tcW w:w="400" w:type="dxa"/>
            <w:vAlign w:val="bottom"/>
          </w:tcPr>
          <w:p>
            <w:pPr>
              <w:spacing w:after="0"/>
              <w:rPr>
                <w:sz w:val="18"/>
                <w:szCs w:val="18"/>
                <w:color w:val="auto"/>
              </w:rPr>
            </w:pPr>
          </w:p>
        </w:tc>
        <w:tc>
          <w:tcPr>
            <w:tcW w:w="1400" w:type="dxa"/>
            <w:vAlign w:val="bottom"/>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240" w:type="dxa"/>
            <w:vAlign w:val="bottom"/>
          </w:tcPr>
          <w:p>
            <w:pPr>
              <w:spacing w:after="0"/>
              <w:rPr>
                <w:sz w:val="18"/>
                <w:szCs w:val="18"/>
                <w:color w:val="auto"/>
              </w:rPr>
            </w:pPr>
          </w:p>
        </w:tc>
        <w:tc>
          <w:tcPr>
            <w:tcW w:w="1400" w:type="dxa"/>
            <w:vAlign w:val="bottom"/>
          </w:tcPr>
          <w:p>
            <w:pPr>
              <w:jc w:val="right"/>
              <w:ind w:right="55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7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740" w:type="dxa"/>
            <w:vAlign w:val="bottom"/>
            <w:tcBorders>
              <w:bottom w:val="single" w:sz="8" w:color="CCEEFF"/>
            </w:tcBorders>
            <w:shd w:val="clear" w:color="auto" w:fill="CCEEFF"/>
          </w:tcPr>
          <w:p>
            <w:pPr>
              <w:ind w:left="5360"/>
              <w:spacing w:after="0"/>
              <w:rPr>
                <w:sz w:val="20"/>
                <w:szCs w:val="20"/>
                <w:color w:val="auto"/>
              </w:rPr>
            </w:pPr>
            <w:r>
              <w:rPr>
                <w:rFonts w:ascii="Arial" w:cs="Arial" w:eastAsia="Arial" w:hAnsi="Arial"/>
                <w:sz w:val="16"/>
                <w:szCs w:val="16"/>
                <w:b w:val="1"/>
                <w:bCs w:val="1"/>
                <w:color w:val="auto"/>
              </w:rPr>
              <w:t>Assets</w:t>
            </w:r>
          </w:p>
        </w:tc>
        <w:tc>
          <w:tcPr>
            <w:tcW w:w="4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7740" w:type="dxa"/>
            <w:vAlign w:val="bottom"/>
          </w:tcPr>
          <w:p>
            <w:pPr>
              <w:spacing w:after="0"/>
              <w:rPr>
                <w:sz w:val="20"/>
                <w:szCs w:val="20"/>
                <w:color w:val="auto"/>
              </w:rPr>
            </w:pPr>
            <w:r>
              <w:rPr>
                <w:rFonts w:ascii="Arial" w:cs="Arial" w:eastAsia="Arial" w:hAnsi="Arial"/>
                <w:sz w:val="16"/>
                <w:szCs w:val="16"/>
                <w:b w:val="1"/>
                <w:bCs w:val="1"/>
                <w:color w:val="auto"/>
              </w:rPr>
              <w:t>Current assets</w:t>
            </w:r>
          </w:p>
        </w:tc>
        <w:tc>
          <w:tcPr>
            <w:tcW w:w="4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82.6</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82.5</w:t>
            </w:r>
          </w:p>
        </w:tc>
        <w:tc>
          <w:tcPr>
            <w:tcW w:w="0" w:type="dxa"/>
            <w:vAlign w:val="bottom"/>
          </w:tcPr>
          <w:p>
            <w:pPr>
              <w:spacing w:after="0"/>
              <w:rPr>
                <w:sz w:val="1"/>
                <w:szCs w:val="1"/>
                <w:color w:val="auto"/>
              </w:rPr>
            </w:pPr>
          </w:p>
        </w:tc>
      </w:tr>
      <w:tr>
        <w:trPr>
          <w:trHeight w:val="254"/>
        </w:trPr>
        <w:tc>
          <w:tcPr>
            <w:tcW w:w="7740" w:type="dxa"/>
            <w:vAlign w:val="bottom"/>
          </w:tcPr>
          <w:p>
            <w:pPr>
              <w:spacing w:after="0"/>
              <w:rPr>
                <w:sz w:val="20"/>
                <w:szCs w:val="20"/>
                <w:color w:val="auto"/>
              </w:rPr>
            </w:pPr>
            <w:r>
              <w:rPr>
                <w:rFonts w:ascii="Arial" w:cs="Arial" w:eastAsia="Arial" w:hAnsi="Arial"/>
                <w:sz w:val="16"/>
                <w:szCs w:val="16"/>
                <w:color w:val="auto"/>
              </w:rPr>
              <w:t>Accounts receivable, net of allowances of $8.7 and $10.3, respectively</w:t>
            </w:r>
          </w:p>
        </w:tc>
        <w:tc>
          <w:tcPr>
            <w:tcW w:w="4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362.1</w:t>
            </w:r>
          </w:p>
        </w:tc>
        <w:tc>
          <w:tcPr>
            <w:tcW w:w="2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502.9</w:t>
            </w:r>
          </w:p>
        </w:tc>
        <w:tc>
          <w:tcPr>
            <w:tcW w:w="0" w:type="dxa"/>
            <w:vAlign w:val="bottom"/>
          </w:tcPr>
          <w:p>
            <w:pPr>
              <w:spacing w:after="0"/>
              <w:rPr>
                <w:sz w:val="1"/>
                <w:szCs w:val="1"/>
                <w:color w:val="auto"/>
              </w:rPr>
            </w:pPr>
          </w:p>
        </w:tc>
      </w:tr>
      <w:tr>
        <w:trPr>
          <w:trHeight w:val="239"/>
        </w:trPr>
        <w:tc>
          <w:tcPr>
            <w:tcW w:w="7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Inventories</w:t>
            </w:r>
          </w:p>
        </w:tc>
        <w:tc>
          <w:tcPr>
            <w:tcW w:w="4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401.7</w:t>
            </w:r>
          </w:p>
        </w:tc>
        <w:tc>
          <w:tcPr>
            <w:tcW w:w="2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377.4</w:t>
            </w:r>
          </w:p>
        </w:tc>
        <w:tc>
          <w:tcPr>
            <w:tcW w:w="0" w:type="dxa"/>
            <w:vAlign w:val="bottom"/>
          </w:tcPr>
          <w:p>
            <w:pPr>
              <w:spacing w:after="0"/>
              <w:rPr>
                <w:sz w:val="1"/>
                <w:szCs w:val="1"/>
                <w:color w:val="auto"/>
              </w:rPr>
            </w:pPr>
          </w:p>
        </w:tc>
      </w:tr>
      <w:tr>
        <w:trPr>
          <w:trHeight w:val="224"/>
        </w:trPr>
        <w:tc>
          <w:tcPr>
            <w:tcW w:w="7740" w:type="dxa"/>
            <w:vAlign w:val="bottom"/>
          </w:tcPr>
          <w:p>
            <w:pPr>
              <w:spacing w:after="0"/>
              <w:rPr>
                <w:sz w:val="20"/>
                <w:szCs w:val="20"/>
                <w:color w:val="auto"/>
              </w:rPr>
            </w:pPr>
            <w:r>
              <w:rPr>
                <w:rFonts w:ascii="Arial" w:cs="Arial" w:eastAsia="Arial" w:hAnsi="Arial"/>
                <w:sz w:val="16"/>
                <w:szCs w:val="16"/>
                <w:color w:val="auto"/>
              </w:rPr>
              <w:t>Other current assets</w:t>
            </w: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117.1</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99.1</w:t>
            </w:r>
          </w:p>
        </w:tc>
        <w:tc>
          <w:tcPr>
            <w:tcW w:w="0" w:type="dxa"/>
            <w:vAlign w:val="bottom"/>
          </w:tcPr>
          <w:p>
            <w:pPr>
              <w:spacing w:after="0"/>
              <w:rPr>
                <w:sz w:val="1"/>
                <w:szCs w:val="1"/>
                <w:color w:val="auto"/>
              </w:rPr>
            </w:pPr>
          </w:p>
        </w:tc>
      </w:tr>
      <w:tr>
        <w:trPr>
          <w:trHeight w:val="33"/>
        </w:trPr>
        <w:tc>
          <w:tcPr>
            <w:tcW w:w="7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current assets</w:t>
            </w:r>
          </w:p>
        </w:tc>
        <w:tc>
          <w:tcPr>
            <w:tcW w:w="4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963.5</w:t>
            </w:r>
          </w:p>
        </w:tc>
        <w:tc>
          <w:tcPr>
            <w:tcW w:w="2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1,061.9</w:t>
            </w:r>
          </w:p>
        </w:tc>
        <w:tc>
          <w:tcPr>
            <w:tcW w:w="0" w:type="dxa"/>
            <w:vAlign w:val="bottom"/>
          </w:tcPr>
          <w:p>
            <w:pPr>
              <w:spacing w:after="0"/>
              <w:rPr>
                <w:sz w:val="1"/>
                <w:szCs w:val="1"/>
                <w:color w:val="auto"/>
              </w:rPr>
            </w:pPr>
          </w:p>
        </w:tc>
      </w:tr>
      <w:tr>
        <w:trPr>
          <w:trHeight w:val="224"/>
        </w:trPr>
        <w:tc>
          <w:tcPr>
            <w:tcW w:w="7740" w:type="dxa"/>
            <w:vAlign w:val="bottom"/>
          </w:tcPr>
          <w:p>
            <w:pPr>
              <w:spacing w:after="0"/>
              <w:rPr>
                <w:sz w:val="20"/>
                <w:szCs w:val="20"/>
                <w:color w:val="auto"/>
              </w:rPr>
            </w:pPr>
            <w:r>
              <w:rPr>
                <w:rFonts w:ascii="Arial" w:cs="Arial" w:eastAsia="Arial" w:hAnsi="Arial"/>
                <w:sz w:val="16"/>
                <w:szCs w:val="16"/>
                <w:b w:val="1"/>
                <w:bCs w:val="1"/>
                <w:color w:val="auto"/>
              </w:rPr>
              <w:t>Property, plant and equipment, net</w:t>
            </w: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291.1</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283.2</w:t>
            </w: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Other assets</w:t>
            </w:r>
          </w:p>
        </w:tc>
        <w:tc>
          <w:tcPr>
            <w:tcW w:w="4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40" w:type="dxa"/>
            <w:vAlign w:val="bottom"/>
          </w:tcPr>
          <w:p>
            <w:pPr>
              <w:spacing w:after="0"/>
              <w:rPr>
                <w:sz w:val="20"/>
                <w:szCs w:val="20"/>
                <w:color w:val="auto"/>
              </w:rPr>
            </w:pPr>
            <w:r>
              <w:rPr>
                <w:rFonts w:ascii="Arial" w:cs="Arial" w:eastAsia="Arial" w:hAnsi="Arial"/>
                <w:sz w:val="16"/>
                <w:szCs w:val="16"/>
                <w:color w:val="auto"/>
              </w:rPr>
              <w:t>Goodwill</w:t>
            </w: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2,329.6</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2,258.3</w:t>
            </w: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Intangibles, net</w:t>
            </w:r>
          </w:p>
        </w:tc>
        <w:tc>
          <w:tcPr>
            <w:tcW w:w="4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323.3</w:t>
            </w:r>
          </w:p>
        </w:tc>
        <w:tc>
          <w:tcPr>
            <w:tcW w:w="2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339.2</w:t>
            </w:r>
          </w:p>
        </w:tc>
        <w:tc>
          <w:tcPr>
            <w:tcW w:w="0" w:type="dxa"/>
            <w:vAlign w:val="bottom"/>
          </w:tcPr>
          <w:p>
            <w:pPr>
              <w:spacing w:after="0"/>
              <w:rPr>
                <w:sz w:val="1"/>
                <w:szCs w:val="1"/>
                <w:color w:val="auto"/>
              </w:rPr>
            </w:pPr>
          </w:p>
        </w:tc>
      </w:tr>
      <w:tr>
        <w:trPr>
          <w:trHeight w:val="224"/>
        </w:trPr>
        <w:tc>
          <w:tcPr>
            <w:tcW w:w="7740" w:type="dxa"/>
            <w:vAlign w:val="bottom"/>
          </w:tcPr>
          <w:p>
            <w:pPr>
              <w:spacing w:after="0"/>
              <w:rPr>
                <w:sz w:val="20"/>
                <w:szCs w:val="20"/>
                <w:color w:val="auto"/>
              </w:rPr>
            </w:pPr>
            <w:r>
              <w:rPr>
                <w:rFonts w:ascii="Arial" w:cs="Arial" w:eastAsia="Arial" w:hAnsi="Arial"/>
                <w:sz w:val="16"/>
                <w:szCs w:val="16"/>
                <w:color w:val="auto"/>
              </w:rPr>
              <w:t>Other non-current assets</w:t>
            </w: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196.0</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196.9</w:t>
            </w:r>
          </w:p>
        </w:tc>
        <w:tc>
          <w:tcPr>
            <w:tcW w:w="0" w:type="dxa"/>
            <w:vAlign w:val="bottom"/>
          </w:tcPr>
          <w:p>
            <w:pPr>
              <w:spacing w:after="0"/>
              <w:rPr>
                <w:sz w:val="1"/>
                <w:szCs w:val="1"/>
                <w:color w:val="auto"/>
              </w:rPr>
            </w:pPr>
          </w:p>
        </w:tc>
      </w:tr>
      <w:tr>
        <w:trPr>
          <w:trHeight w:val="33"/>
        </w:trPr>
        <w:tc>
          <w:tcPr>
            <w:tcW w:w="7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other assets</w:t>
            </w:r>
          </w:p>
        </w:tc>
        <w:tc>
          <w:tcPr>
            <w:tcW w:w="4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2,848.9</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2,794.4</w:t>
            </w:r>
          </w:p>
        </w:tc>
        <w:tc>
          <w:tcPr>
            <w:tcW w:w="0" w:type="dxa"/>
            <w:vAlign w:val="bottom"/>
          </w:tcPr>
          <w:p>
            <w:pPr>
              <w:spacing w:after="0"/>
              <w:rPr>
                <w:sz w:val="1"/>
                <w:szCs w:val="1"/>
                <w:color w:val="auto"/>
              </w:rPr>
            </w:pPr>
          </w:p>
        </w:tc>
      </w:tr>
      <w:tr>
        <w:trPr>
          <w:trHeight w:val="217"/>
        </w:trPr>
        <w:tc>
          <w:tcPr>
            <w:tcW w:w="77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Total assets</w:t>
            </w:r>
          </w:p>
        </w:tc>
        <w:tc>
          <w:tcPr>
            <w:tcW w:w="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4,103.5</w:t>
            </w: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4,139.5</w:t>
            </w:r>
          </w:p>
        </w:tc>
        <w:tc>
          <w:tcPr>
            <w:tcW w:w="0" w:type="dxa"/>
            <w:vAlign w:val="bottom"/>
          </w:tcPr>
          <w:p>
            <w:pPr>
              <w:spacing w:after="0"/>
              <w:rPr>
                <w:sz w:val="1"/>
                <w:szCs w:val="1"/>
                <w:color w:val="auto"/>
              </w:rPr>
            </w:pPr>
          </w:p>
        </w:tc>
      </w:tr>
      <w:tr>
        <w:trPr>
          <w:trHeight w:val="33"/>
        </w:trPr>
        <w:tc>
          <w:tcPr>
            <w:tcW w:w="7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7740" w:type="dxa"/>
            <w:vAlign w:val="bottom"/>
            <w:tcBorders>
              <w:bottom w:val="single" w:sz="8" w:color="CCEEFF"/>
            </w:tcBorders>
            <w:shd w:val="clear" w:color="auto" w:fill="CCEEFF"/>
          </w:tcPr>
          <w:p>
            <w:pPr>
              <w:ind w:left="4840"/>
              <w:spacing w:after="0"/>
              <w:rPr>
                <w:sz w:val="20"/>
                <w:szCs w:val="20"/>
                <w:color w:val="auto"/>
              </w:rPr>
            </w:pPr>
            <w:r>
              <w:rPr>
                <w:rFonts w:ascii="Arial" w:cs="Arial" w:eastAsia="Arial" w:hAnsi="Arial"/>
                <w:sz w:val="16"/>
                <w:szCs w:val="16"/>
                <w:b w:val="1"/>
                <w:bCs w:val="1"/>
                <w:color w:val="auto"/>
              </w:rPr>
              <w:t>Liabilities and Equity</w:t>
            </w:r>
          </w:p>
        </w:tc>
        <w:tc>
          <w:tcPr>
            <w:tcW w:w="4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40" w:type="dxa"/>
            <w:vAlign w:val="bottom"/>
          </w:tcPr>
          <w:p>
            <w:pPr>
              <w:spacing w:after="0"/>
              <w:rPr>
                <w:sz w:val="20"/>
                <w:szCs w:val="20"/>
                <w:color w:val="auto"/>
              </w:rPr>
            </w:pPr>
            <w:r>
              <w:rPr>
                <w:rFonts w:ascii="Arial" w:cs="Arial" w:eastAsia="Arial" w:hAnsi="Arial"/>
                <w:sz w:val="16"/>
                <w:szCs w:val="16"/>
                <w:b w:val="1"/>
                <w:bCs w:val="1"/>
                <w:color w:val="auto"/>
              </w:rPr>
              <w:t>Current liabilities</w:t>
            </w:r>
          </w:p>
        </w:tc>
        <w:tc>
          <w:tcPr>
            <w:tcW w:w="4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Accounts payable</w:t>
            </w:r>
          </w:p>
        </w:tc>
        <w:tc>
          <w:tcPr>
            <w:tcW w:w="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276.6</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325.1</w:t>
            </w:r>
          </w:p>
        </w:tc>
        <w:tc>
          <w:tcPr>
            <w:tcW w:w="0" w:type="dxa"/>
            <w:vAlign w:val="bottom"/>
          </w:tcPr>
          <w:p>
            <w:pPr>
              <w:spacing w:after="0"/>
              <w:rPr>
                <w:sz w:val="1"/>
                <w:szCs w:val="1"/>
                <w:color w:val="auto"/>
              </w:rPr>
            </w:pPr>
          </w:p>
        </w:tc>
      </w:tr>
      <w:tr>
        <w:trPr>
          <w:trHeight w:val="224"/>
        </w:trPr>
        <w:tc>
          <w:tcPr>
            <w:tcW w:w="7740" w:type="dxa"/>
            <w:vAlign w:val="bottom"/>
          </w:tcPr>
          <w:p>
            <w:pPr>
              <w:spacing w:after="0"/>
              <w:rPr>
                <w:sz w:val="20"/>
                <w:szCs w:val="20"/>
                <w:color w:val="auto"/>
              </w:rPr>
            </w:pPr>
            <w:r>
              <w:rPr>
                <w:rFonts w:ascii="Arial" w:cs="Arial" w:eastAsia="Arial" w:hAnsi="Arial"/>
                <w:sz w:val="16"/>
                <w:szCs w:val="16"/>
                <w:color w:val="auto"/>
              </w:rPr>
              <w:t>Employee compensation and benefits</w:t>
            </w: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107.0</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71.0</w:t>
            </w: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7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Other current liabilities</w:t>
            </w:r>
          </w:p>
        </w:tc>
        <w:tc>
          <w:tcPr>
            <w:tcW w:w="4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435.3</w:t>
            </w:r>
          </w:p>
        </w:tc>
        <w:tc>
          <w:tcPr>
            <w:tcW w:w="2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352.9</w:t>
            </w:r>
          </w:p>
        </w:tc>
        <w:tc>
          <w:tcPr>
            <w:tcW w:w="0" w:type="dxa"/>
            <w:vAlign w:val="bottom"/>
          </w:tcPr>
          <w:p>
            <w:pPr>
              <w:spacing w:after="0"/>
              <w:rPr>
                <w:sz w:val="1"/>
                <w:szCs w:val="1"/>
                <w:color w:val="auto"/>
              </w:rPr>
            </w:pPr>
          </w:p>
        </w:tc>
      </w:tr>
      <w:tr>
        <w:trPr>
          <w:trHeight w:val="217"/>
        </w:trPr>
        <w:tc>
          <w:tcPr>
            <w:tcW w:w="77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Total current liabilities</w:t>
            </w:r>
          </w:p>
        </w:tc>
        <w:tc>
          <w:tcPr>
            <w:tcW w:w="4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818.9</w:t>
            </w:r>
          </w:p>
        </w:tc>
        <w:tc>
          <w:tcPr>
            <w:tcW w:w="2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749.0</w:t>
            </w: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Other liabilities</w:t>
            </w:r>
          </w:p>
        </w:tc>
        <w:tc>
          <w:tcPr>
            <w:tcW w:w="4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40" w:type="dxa"/>
            <w:vAlign w:val="bottom"/>
          </w:tcPr>
          <w:p>
            <w:pPr>
              <w:spacing w:after="0"/>
              <w:rPr>
                <w:sz w:val="20"/>
                <w:szCs w:val="20"/>
                <w:color w:val="auto"/>
              </w:rPr>
            </w:pPr>
            <w:r>
              <w:rPr>
                <w:rFonts w:ascii="Arial" w:cs="Arial" w:eastAsia="Arial" w:hAnsi="Arial"/>
                <w:sz w:val="16"/>
                <w:szCs w:val="16"/>
                <w:color w:val="auto"/>
              </w:rPr>
              <w:t>Long-term debt</w:t>
            </w: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805.2</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1,029.1</w:t>
            </w: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Pension and other post-retirement compensation and benefits</w:t>
            </w:r>
          </w:p>
        </w:tc>
        <w:tc>
          <w:tcPr>
            <w:tcW w:w="4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94.5</w:t>
            </w:r>
          </w:p>
        </w:tc>
        <w:tc>
          <w:tcPr>
            <w:tcW w:w="2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96.4</w:t>
            </w:r>
          </w:p>
        </w:tc>
        <w:tc>
          <w:tcPr>
            <w:tcW w:w="0" w:type="dxa"/>
            <w:vAlign w:val="bottom"/>
          </w:tcPr>
          <w:p>
            <w:pPr>
              <w:spacing w:after="0"/>
              <w:rPr>
                <w:sz w:val="1"/>
                <w:szCs w:val="1"/>
                <w:color w:val="auto"/>
              </w:rPr>
            </w:pPr>
          </w:p>
        </w:tc>
      </w:tr>
      <w:tr>
        <w:trPr>
          <w:trHeight w:val="223"/>
        </w:trPr>
        <w:tc>
          <w:tcPr>
            <w:tcW w:w="7740" w:type="dxa"/>
            <w:vAlign w:val="bottom"/>
          </w:tcPr>
          <w:p>
            <w:pPr>
              <w:spacing w:after="0"/>
              <w:rPr>
                <w:sz w:val="20"/>
                <w:szCs w:val="20"/>
                <w:color w:val="auto"/>
              </w:rPr>
            </w:pPr>
            <w:r>
              <w:rPr>
                <w:rFonts w:ascii="Arial" w:cs="Arial" w:eastAsia="Arial" w:hAnsi="Arial"/>
                <w:sz w:val="16"/>
                <w:szCs w:val="16"/>
                <w:color w:val="auto"/>
              </w:rPr>
              <w:t>Deferred tax liabilities</w:t>
            </w: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112.0</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104.4</w:t>
            </w: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7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Other non-current liabilities</w:t>
            </w:r>
          </w:p>
        </w:tc>
        <w:tc>
          <w:tcPr>
            <w:tcW w:w="4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223.1</w:t>
            </w:r>
          </w:p>
        </w:tc>
        <w:tc>
          <w:tcPr>
            <w:tcW w:w="2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206.7</w:t>
            </w:r>
          </w:p>
        </w:tc>
        <w:tc>
          <w:tcPr>
            <w:tcW w:w="0" w:type="dxa"/>
            <w:vAlign w:val="bottom"/>
          </w:tcPr>
          <w:p>
            <w:pPr>
              <w:spacing w:after="0"/>
              <w:rPr>
                <w:sz w:val="1"/>
                <w:szCs w:val="1"/>
                <w:color w:val="auto"/>
              </w:rPr>
            </w:pPr>
          </w:p>
        </w:tc>
      </w:tr>
      <w:tr>
        <w:trPr>
          <w:trHeight w:val="217"/>
        </w:trPr>
        <w:tc>
          <w:tcPr>
            <w:tcW w:w="77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Total liabilities</w:t>
            </w:r>
          </w:p>
        </w:tc>
        <w:tc>
          <w:tcPr>
            <w:tcW w:w="4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2,053.7</w:t>
            </w:r>
          </w:p>
        </w:tc>
        <w:tc>
          <w:tcPr>
            <w:tcW w:w="2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2,185.6</w:t>
            </w: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Equity</w:t>
            </w:r>
          </w:p>
        </w:tc>
        <w:tc>
          <w:tcPr>
            <w:tcW w:w="4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7740" w:type="dxa"/>
            <w:vAlign w:val="bottom"/>
          </w:tcPr>
          <w:p>
            <w:pPr>
              <w:spacing w:after="0" w:line="166" w:lineRule="exact"/>
              <w:rPr>
                <w:sz w:val="20"/>
                <w:szCs w:val="20"/>
                <w:color w:val="auto"/>
              </w:rPr>
            </w:pPr>
            <w:r>
              <w:rPr>
                <w:rFonts w:ascii="Arial" w:cs="Arial" w:eastAsia="Arial" w:hAnsi="Arial"/>
                <w:sz w:val="16"/>
                <w:szCs w:val="16"/>
                <w:color w:val="auto"/>
                <w:w w:val="92"/>
              </w:rPr>
              <w:t>Ordinary shares $0.01 par value, 426.0 authorized, 166.3 and 168.3 issued at September 30, 2020 and December 31,</w:t>
            </w:r>
          </w:p>
        </w:tc>
        <w:tc>
          <w:tcPr>
            <w:tcW w:w="40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1.7</w:t>
            </w:r>
          </w:p>
        </w:tc>
        <w:tc>
          <w:tcPr>
            <w:tcW w:w="24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9"/>
        </w:trPr>
        <w:tc>
          <w:tcPr>
            <w:tcW w:w="7740" w:type="dxa"/>
            <w:vAlign w:val="bottom"/>
          </w:tcPr>
          <w:p>
            <w:pPr>
              <w:ind w:left="160"/>
              <w:spacing w:after="0"/>
              <w:rPr>
                <w:sz w:val="20"/>
                <w:szCs w:val="20"/>
                <w:color w:val="auto"/>
              </w:rPr>
            </w:pPr>
            <w:r>
              <w:rPr>
                <w:rFonts w:ascii="Arial" w:cs="Arial" w:eastAsia="Arial" w:hAnsi="Arial"/>
                <w:sz w:val="16"/>
                <w:szCs w:val="16"/>
                <w:color w:val="auto"/>
              </w:rPr>
              <w:t>2019, respectively</w:t>
            </w:r>
          </w:p>
        </w:tc>
        <w:tc>
          <w:tcPr>
            <w:tcW w:w="40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7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Additional paid-in capital</w:t>
            </w:r>
          </w:p>
        </w:tc>
        <w:tc>
          <w:tcPr>
            <w:tcW w:w="4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1,698.8</w:t>
            </w:r>
          </w:p>
        </w:tc>
        <w:tc>
          <w:tcPr>
            <w:tcW w:w="2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1,777.7</w:t>
            </w:r>
          </w:p>
        </w:tc>
        <w:tc>
          <w:tcPr>
            <w:tcW w:w="0" w:type="dxa"/>
            <w:vAlign w:val="bottom"/>
          </w:tcPr>
          <w:p>
            <w:pPr>
              <w:spacing w:after="0"/>
              <w:rPr>
                <w:sz w:val="1"/>
                <w:szCs w:val="1"/>
                <w:color w:val="auto"/>
              </w:rPr>
            </w:pPr>
          </w:p>
        </w:tc>
      </w:tr>
      <w:tr>
        <w:trPr>
          <w:trHeight w:val="254"/>
        </w:trPr>
        <w:tc>
          <w:tcPr>
            <w:tcW w:w="7740" w:type="dxa"/>
            <w:vAlign w:val="bottom"/>
          </w:tcPr>
          <w:p>
            <w:pPr>
              <w:spacing w:after="0"/>
              <w:rPr>
                <w:sz w:val="20"/>
                <w:szCs w:val="20"/>
                <w:color w:val="auto"/>
              </w:rPr>
            </w:pPr>
            <w:r>
              <w:rPr>
                <w:rFonts w:ascii="Arial" w:cs="Arial" w:eastAsia="Arial" w:hAnsi="Arial"/>
                <w:sz w:val="16"/>
                <w:szCs w:val="16"/>
                <w:color w:val="auto"/>
              </w:rPr>
              <w:t>Retained earnings</w:t>
            </w:r>
          </w:p>
        </w:tc>
        <w:tc>
          <w:tcPr>
            <w:tcW w:w="4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561.6</w:t>
            </w:r>
          </w:p>
        </w:tc>
        <w:tc>
          <w:tcPr>
            <w:tcW w:w="2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401.0</w:t>
            </w:r>
          </w:p>
        </w:tc>
        <w:tc>
          <w:tcPr>
            <w:tcW w:w="0" w:type="dxa"/>
            <w:vAlign w:val="bottom"/>
          </w:tcPr>
          <w:p>
            <w:pPr>
              <w:spacing w:after="0"/>
              <w:rPr>
                <w:sz w:val="1"/>
                <w:szCs w:val="1"/>
                <w:color w:val="auto"/>
              </w:rPr>
            </w:pPr>
          </w:p>
        </w:tc>
      </w:tr>
      <w:tr>
        <w:trPr>
          <w:trHeight w:val="265"/>
        </w:trPr>
        <w:tc>
          <w:tcPr>
            <w:tcW w:w="7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Accumulated other comprehensive loss</w:t>
            </w:r>
          </w:p>
        </w:tc>
        <w:tc>
          <w:tcPr>
            <w:tcW w:w="4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(212.3)</w:t>
            </w:r>
          </w:p>
        </w:tc>
        <w:tc>
          <w:tcPr>
            <w:tcW w:w="2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(226.5)</w:t>
            </w:r>
          </w:p>
        </w:tc>
        <w:tc>
          <w:tcPr>
            <w:tcW w:w="0" w:type="dxa"/>
            <w:vAlign w:val="bottom"/>
          </w:tcPr>
          <w:p>
            <w:pPr>
              <w:spacing w:after="0"/>
              <w:rPr>
                <w:sz w:val="1"/>
                <w:szCs w:val="1"/>
                <w:color w:val="auto"/>
              </w:rPr>
            </w:pPr>
          </w:p>
        </w:tc>
      </w:tr>
      <w:tr>
        <w:trPr>
          <w:trHeight w:val="217"/>
        </w:trPr>
        <w:tc>
          <w:tcPr>
            <w:tcW w:w="77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Total equity</w:t>
            </w:r>
          </w:p>
        </w:tc>
        <w:tc>
          <w:tcPr>
            <w:tcW w:w="4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2,049.8</w:t>
            </w:r>
          </w:p>
        </w:tc>
        <w:tc>
          <w:tcPr>
            <w:tcW w:w="2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1,953.9</w:t>
            </w:r>
          </w:p>
        </w:tc>
        <w:tc>
          <w:tcPr>
            <w:tcW w:w="0" w:type="dxa"/>
            <w:vAlign w:val="bottom"/>
          </w:tcPr>
          <w:p>
            <w:pPr>
              <w:spacing w:after="0"/>
              <w:rPr>
                <w:sz w:val="1"/>
                <w:szCs w:val="1"/>
                <w:color w:val="auto"/>
              </w:rPr>
            </w:pPr>
          </w:p>
        </w:tc>
      </w:tr>
      <w:tr>
        <w:trPr>
          <w:trHeight w:val="33"/>
        </w:trPr>
        <w:tc>
          <w:tcPr>
            <w:tcW w:w="7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7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liabilities and equity</w:t>
            </w:r>
          </w:p>
        </w:tc>
        <w:tc>
          <w:tcPr>
            <w:tcW w:w="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4,103.5</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4,139.5</w:t>
            </w:r>
          </w:p>
        </w:tc>
        <w:tc>
          <w:tcPr>
            <w:tcW w:w="0" w:type="dxa"/>
            <w:vAlign w:val="bottom"/>
          </w:tcPr>
          <w:p>
            <w:pPr>
              <w:spacing w:after="0"/>
              <w:rPr>
                <w:sz w:val="1"/>
                <w:szCs w:val="1"/>
                <w:color w:val="auto"/>
              </w:rPr>
            </w:pPr>
          </w:p>
        </w:tc>
      </w:tr>
      <w:tr>
        <w:trPr>
          <w:trHeight w:val="20"/>
        </w:trPr>
        <w:tc>
          <w:tcPr>
            <w:tcW w:w="7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Pentair plc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44"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7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40" w:type="dxa"/>
            <w:vAlign w:val="bottom"/>
            <w:gridSpan w:val="3"/>
          </w:tcPr>
          <w:p>
            <w:pPr>
              <w:jc w:val="right"/>
              <w:ind w:right="879"/>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79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9"/>
        </w:trPr>
        <w:tc>
          <w:tcPr>
            <w:tcW w:w="7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219"/>
              <w:spacing w:after="0"/>
              <w:rPr>
                <w:sz w:val="20"/>
                <w:szCs w:val="20"/>
                <w:color w:val="auto"/>
              </w:rPr>
            </w:pPr>
            <w:r>
              <w:rPr>
                <w:rFonts w:ascii="Arial" w:cs="Arial" w:eastAsia="Arial" w:hAnsi="Arial"/>
                <w:sz w:val="16"/>
                <w:szCs w:val="16"/>
                <w:b w:val="1"/>
                <w:bCs w:val="1"/>
                <w:color w:val="auto"/>
                <w:w w:val="98"/>
              </w:rPr>
              <w:t>September 30,</w:t>
            </w:r>
          </w:p>
        </w:tc>
        <w:tc>
          <w:tcPr>
            <w:tcW w:w="220" w:type="dxa"/>
            <w:vAlign w:val="bottom"/>
          </w:tcPr>
          <w:p>
            <w:pPr>
              <w:spacing w:after="0"/>
              <w:rPr>
                <w:sz w:val="18"/>
                <w:szCs w:val="18"/>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b w:val="1"/>
                <w:bCs w:val="1"/>
                <w:color w:val="auto"/>
                <w:w w:val="98"/>
              </w:rPr>
              <w:t>September 30,</w:t>
            </w:r>
          </w:p>
        </w:tc>
      </w:tr>
      <w:tr>
        <w:trPr>
          <w:trHeight w:val="210"/>
        </w:trPr>
        <w:tc>
          <w:tcPr>
            <w:tcW w:w="7940" w:type="dxa"/>
            <w:vAlign w:val="bottom"/>
          </w:tcPr>
          <w:p>
            <w:pPr>
              <w:spacing w:after="0"/>
              <w:rPr>
                <w:sz w:val="20"/>
                <w:szCs w:val="20"/>
                <w:color w:val="auto"/>
              </w:rPr>
            </w:pPr>
            <w:r>
              <w:rPr>
                <w:rFonts w:ascii="Arial" w:cs="Arial" w:eastAsia="Arial" w:hAnsi="Arial"/>
                <w:sz w:val="16"/>
                <w:szCs w:val="16"/>
                <w:i w:val="1"/>
                <w:iCs w:val="1"/>
                <w:color w:val="auto"/>
              </w:rPr>
              <w:t>In millions</w:t>
            </w:r>
          </w:p>
        </w:tc>
        <w:tc>
          <w:tcPr>
            <w:tcW w:w="200" w:type="dxa"/>
            <w:vAlign w:val="bottom"/>
          </w:tcPr>
          <w:p>
            <w:pPr>
              <w:spacing w:after="0"/>
              <w:rPr>
                <w:sz w:val="18"/>
                <w:szCs w:val="18"/>
                <w:color w:val="auto"/>
              </w:rPr>
            </w:pPr>
          </w:p>
        </w:tc>
        <w:tc>
          <w:tcPr>
            <w:tcW w:w="1400" w:type="dxa"/>
            <w:vAlign w:val="bottom"/>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220" w:type="dxa"/>
            <w:vAlign w:val="bottom"/>
          </w:tcPr>
          <w:p>
            <w:pPr>
              <w:spacing w:after="0"/>
              <w:rPr>
                <w:sz w:val="18"/>
                <w:szCs w:val="18"/>
                <w:color w:val="auto"/>
              </w:rPr>
            </w:pPr>
          </w:p>
        </w:tc>
        <w:tc>
          <w:tcPr>
            <w:tcW w:w="1420" w:type="dxa"/>
            <w:vAlign w:val="bottom"/>
          </w:tcPr>
          <w:p>
            <w:pPr>
              <w:jc w:val="right"/>
              <w:ind w:right="559"/>
              <w:spacing w:after="0"/>
              <w:rPr>
                <w:sz w:val="20"/>
                <w:szCs w:val="20"/>
                <w:color w:val="auto"/>
              </w:rPr>
            </w:pPr>
            <w:r>
              <w:rPr>
                <w:rFonts w:ascii="Arial" w:cs="Arial" w:eastAsia="Arial" w:hAnsi="Arial"/>
                <w:sz w:val="16"/>
                <w:szCs w:val="16"/>
                <w:b w:val="1"/>
                <w:bCs w:val="1"/>
                <w:color w:val="auto"/>
              </w:rPr>
              <w:t>2019</w:t>
            </w:r>
          </w:p>
        </w:tc>
      </w:tr>
      <w:tr>
        <w:trPr>
          <w:trHeight w:val="33"/>
        </w:trPr>
        <w:tc>
          <w:tcPr>
            <w:tcW w:w="7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0"/>
        </w:trPr>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Operating activities</w:t>
            </w: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r>
      <w:tr>
        <w:trPr>
          <w:trHeight w:val="224"/>
        </w:trPr>
        <w:tc>
          <w:tcPr>
            <w:tcW w:w="7940" w:type="dxa"/>
            <w:vAlign w:val="bottom"/>
          </w:tcPr>
          <w:p>
            <w:pPr>
              <w:spacing w:after="0"/>
              <w:rPr>
                <w:sz w:val="20"/>
                <w:szCs w:val="20"/>
                <w:color w:val="auto"/>
              </w:rPr>
            </w:pPr>
            <w:r>
              <w:rPr>
                <w:rFonts w:ascii="Arial" w:cs="Arial" w:eastAsia="Arial" w:hAnsi="Arial"/>
                <w:sz w:val="16"/>
                <w:szCs w:val="16"/>
                <w:color w:val="auto"/>
              </w:rPr>
              <w:t>Net income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255.6</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257.9</w:t>
            </w:r>
          </w:p>
        </w:tc>
      </w:tr>
      <w:tr>
        <w:trPr>
          <w:trHeight w:val="33"/>
        </w:trPr>
        <w:tc>
          <w:tcPr>
            <w:tcW w:w="7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7"/>
        </w:trPr>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Loss from discontinued operations, net of tax</w:t>
            </w: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w:t>
            </w:r>
          </w:p>
        </w:tc>
      </w:tr>
      <w:tr>
        <w:trPr>
          <w:trHeight w:val="162"/>
        </w:trPr>
        <w:tc>
          <w:tcPr>
            <w:tcW w:w="7940" w:type="dxa"/>
            <w:vAlign w:val="bottom"/>
          </w:tcPr>
          <w:p>
            <w:pPr>
              <w:spacing w:after="0" w:line="162" w:lineRule="exact"/>
              <w:rPr>
                <w:sz w:val="20"/>
                <w:szCs w:val="20"/>
                <w:color w:val="auto"/>
              </w:rPr>
            </w:pPr>
            <w:r>
              <w:rPr>
                <w:rFonts w:ascii="Arial" w:cs="Arial" w:eastAsia="Arial" w:hAnsi="Arial"/>
                <w:sz w:val="16"/>
                <w:szCs w:val="16"/>
                <w:b w:val="1"/>
                <w:bCs w:val="1"/>
                <w:color w:val="auto"/>
                <w:w w:val="95"/>
              </w:rPr>
              <w:t>Adjustments to reconcile net income from continuing operations to net cash provided by (used for) operating</w:t>
            </w: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13"/>
        </w:trPr>
        <w:tc>
          <w:tcPr>
            <w:tcW w:w="7940" w:type="dxa"/>
            <w:vAlign w:val="bottom"/>
          </w:tcPr>
          <w:p>
            <w:pPr>
              <w:ind w:left="160"/>
              <w:spacing w:after="0"/>
              <w:rPr>
                <w:sz w:val="20"/>
                <w:szCs w:val="20"/>
                <w:color w:val="auto"/>
              </w:rPr>
            </w:pPr>
            <w:r>
              <w:rPr>
                <w:rFonts w:ascii="Arial" w:cs="Arial" w:eastAsia="Arial" w:hAnsi="Arial"/>
                <w:sz w:val="16"/>
                <w:szCs w:val="16"/>
                <w:b w:val="1"/>
                <w:bCs w:val="1"/>
                <w:color w:val="auto"/>
              </w:rPr>
              <w:t>activities of continuing operations</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9"/>
        </w:trPr>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Equity income of unconsolidated subsidiaries</w:t>
            </w: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224"/>
        </w:trPr>
        <w:tc>
          <w:tcPr>
            <w:tcW w:w="7940" w:type="dxa"/>
            <w:vAlign w:val="bottom"/>
          </w:tcPr>
          <w:p>
            <w:pPr>
              <w:spacing w:after="0"/>
              <w:rPr>
                <w:sz w:val="20"/>
                <w:szCs w:val="20"/>
                <w:color w:val="auto"/>
              </w:rPr>
            </w:pPr>
            <w:r>
              <w:rPr>
                <w:rFonts w:ascii="Arial" w:cs="Arial" w:eastAsia="Arial" w:hAnsi="Arial"/>
                <w:sz w:val="16"/>
                <w:szCs w:val="16"/>
                <w:color w:val="auto"/>
              </w:rPr>
              <w:t>Depreciation</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34.4</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36.4</w:t>
            </w:r>
          </w:p>
        </w:tc>
      </w:tr>
      <w:tr>
        <w:trPr>
          <w:trHeight w:val="33"/>
        </w:trPr>
        <w:tc>
          <w:tcPr>
            <w:tcW w:w="7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7"/>
        </w:trPr>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Amortization</w:t>
            </w: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24.1</w:t>
            </w:r>
          </w:p>
        </w:tc>
      </w:tr>
      <w:tr>
        <w:trPr>
          <w:trHeight w:val="223"/>
        </w:trPr>
        <w:tc>
          <w:tcPr>
            <w:tcW w:w="7940" w:type="dxa"/>
            <w:vAlign w:val="bottom"/>
          </w:tcPr>
          <w:p>
            <w:pPr>
              <w:spacing w:after="0"/>
              <w:rPr>
                <w:sz w:val="20"/>
                <w:szCs w:val="20"/>
                <w:color w:val="auto"/>
              </w:rPr>
            </w:pPr>
            <w:r>
              <w:rPr>
                <w:rFonts w:ascii="Arial" w:cs="Arial" w:eastAsia="Arial" w:hAnsi="Arial"/>
                <w:sz w:val="16"/>
                <w:szCs w:val="16"/>
                <w:color w:val="auto"/>
              </w:rPr>
              <w:t>Deferred income taxes</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8.5</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(17.7)</w:t>
            </w:r>
          </w:p>
        </w:tc>
      </w:tr>
      <w:tr>
        <w:trPr>
          <w:trHeight w:val="33"/>
        </w:trPr>
        <w:tc>
          <w:tcPr>
            <w:tcW w:w="7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7"/>
        </w:trPr>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Loss (gain) on sale of businesses</w:t>
            </w: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224"/>
        </w:trPr>
        <w:tc>
          <w:tcPr>
            <w:tcW w:w="7940" w:type="dxa"/>
            <w:vAlign w:val="bottom"/>
          </w:tcPr>
          <w:p>
            <w:pPr>
              <w:spacing w:after="0"/>
              <w:rPr>
                <w:sz w:val="20"/>
                <w:szCs w:val="20"/>
                <w:color w:val="auto"/>
              </w:rPr>
            </w:pPr>
            <w:r>
              <w:rPr>
                <w:rFonts w:ascii="Arial" w:cs="Arial" w:eastAsia="Arial" w:hAnsi="Arial"/>
                <w:sz w:val="16"/>
                <w:szCs w:val="16"/>
                <w:color w:val="auto"/>
              </w:rPr>
              <w:t>Share-based compensation</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15.2</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15.3</w:t>
            </w:r>
          </w:p>
        </w:tc>
      </w:tr>
      <w:tr>
        <w:trPr>
          <w:trHeight w:val="33"/>
        </w:trPr>
        <w:tc>
          <w:tcPr>
            <w:tcW w:w="7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7"/>
        </w:trPr>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Asset impairment</w:t>
            </w: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w:t>
            </w:r>
          </w:p>
        </w:tc>
      </w:tr>
      <w:tr>
        <w:trPr>
          <w:trHeight w:val="223"/>
        </w:trPr>
        <w:tc>
          <w:tcPr>
            <w:tcW w:w="7940" w:type="dxa"/>
            <w:vAlign w:val="bottom"/>
          </w:tcPr>
          <w:p>
            <w:pPr>
              <w:spacing w:after="0"/>
              <w:rPr>
                <w:sz w:val="20"/>
                <w:szCs w:val="20"/>
                <w:color w:val="auto"/>
              </w:rPr>
            </w:pPr>
            <w:r>
              <w:rPr>
                <w:rFonts w:ascii="Arial" w:cs="Arial" w:eastAsia="Arial" w:hAnsi="Arial"/>
                <w:sz w:val="16"/>
                <w:szCs w:val="16"/>
                <w:color w:val="auto"/>
              </w:rPr>
              <w:t>Pension settlement gain</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(11.8)</w:t>
            </w:r>
          </w:p>
        </w:tc>
      </w:tr>
      <w:tr>
        <w:trPr>
          <w:trHeight w:val="33"/>
        </w:trPr>
        <w:tc>
          <w:tcPr>
            <w:tcW w:w="7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6"/>
        </w:trPr>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Pension and other post-retirement plan contribution</w:t>
            </w: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w:t>
            </w:r>
          </w:p>
        </w:tc>
      </w:tr>
      <w:tr>
        <w:trPr>
          <w:trHeight w:val="224"/>
        </w:trPr>
        <w:tc>
          <w:tcPr>
            <w:tcW w:w="7940" w:type="dxa"/>
            <w:vAlign w:val="bottom"/>
          </w:tcPr>
          <w:p>
            <w:pPr>
              <w:spacing w:after="0"/>
              <w:rPr>
                <w:sz w:val="20"/>
                <w:szCs w:val="20"/>
                <w:color w:val="auto"/>
              </w:rPr>
            </w:pPr>
            <w:r>
              <w:rPr>
                <w:rFonts w:ascii="Arial" w:cs="Arial" w:eastAsia="Arial" w:hAnsi="Arial"/>
                <w:sz w:val="16"/>
                <w:szCs w:val="16"/>
                <w:b w:val="1"/>
                <w:bCs w:val="1"/>
                <w:color w:val="auto"/>
              </w:rPr>
              <w:t>Changes in assets and liabilities, net of effects of business acquisitions</w:t>
            </w: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33"/>
        </w:trPr>
        <w:tc>
          <w:tcPr>
            <w:tcW w:w="7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7"/>
        </w:trPr>
        <w:tc>
          <w:tcPr>
            <w:tcW w:w="79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Accounts receivable</w:t>
            </w: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147.3</w:t>
            </w: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82.8</w:t>
            </w:r>
          </w:p>
        </w:tc>
      </w:tr>
      <w:tr>
        <w:trPr>
          <w:trHeight w:val="223"/>
        </w:trPr>
        <w:tc>
          <w:tcPr>
            <w:tcW w:w="7940" w:type="dxa"/>
            <w:vAlign w:val="bottom"/>
          </w:tcPr>
          <w:p>
            <w:pPr>
              <w:ind w:left="100"/>
              <w:spacing w:after="0"/>
              <w:rPr>
                <w:sz w:val="20"/>
                <w:szCs w:val="20"/>
                <w:color w:val="auto"/>
              </w:rPr>
            </w:pPr>
            <w:r>
              <w:rPr>
                <w:rFonts w:ascii="Arial" w:cs="Arial" w:eastAsia="Arial" w:hAnsi="Arial"/>
                <w:sz w:val="16"/>
                <w:szCs w:val="16"/>
                <w:color w:val="auto"/>
              </w:rPr>
              <w:t>Inventories</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(17.7)</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33"/>
        </w:trPr>
        <w:tc>
          <w:tcPr>
            <w:tcW w:w="7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7"/>
        </w:trPr>
        <w:tc>
          <w:tcPr>
            <w:tcW w:w="79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Other current assets</w:t>
            </w: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w:t>
            </w:r>
          </w:p>
        </w:tc>
      </w:tr>
      <w:tr>
        <w:trPr>
          <w:trHeight w:val="223"/>
        </w:trPr>
        <w:tc>
          <w:tcPr>
            <w:tcW w:w="7940" w:type="dxa"/>
            <w:vAlign w:val="bottom"/>
          </w:tcPr>
          <w:p>
            <w:pPr>
              <w:ind w:left="100"/>
              <w:spacing w:after="0"/>
              <w:rPr>
                <w:sz w:val="20"/>
                <w:szCs w:val="20"/>
                <w:color w:val="auto"/>
              </w:rPr>
            </w:pPr>
            <w:r>
              <w:rPr>
                <w:rFonts w:ascii="Arial" w:cs="Arial" w:eastAsia="Arial" w:hAnsi="Arial"/>
                <w:sz w:val="16"/>
                <w:szCs w:val="16"/>
                <w:color w:val="auto"/>
              </w:rPr>
              <w:t>Accounts payable</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(46.7)</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(128.8)</w:t>
            </w:r>
          </w:p>
        </w:tc>
      </w:tr>
      <w:tr>
        <w:trPr>
          <w:trHeight w:val="33"/>
        </w:trPr>
        <w:tc>
          <w:tcPr>
            <w:tcW w:w="7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7"/>
        </w:trPr>
        <w:tc>
          <w:tcPr>
            <w:tcW w:w="79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Employee compensation and benefits</w:t>
            </w: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(19.1)</w:t>
            </w:r>
          </w:p>
        </w:tc>
      </w:tr>
      <w:tr>
        <w:trPr>
          <w:trHeight w:val="223"/>
        </w:trPr>
        <w:tc>
          <w:tcPr>
            <w:tcW w:w="7940" w:type="dxa"/>
            <w:vAlign w:val="bottom"/>
          </w:tcPr>
          <w:p>
            <w:pPr>
              <w:ind w:left="100"/>
              <w:spacing w:after="0"/>
              <w:rPr>
                <w:sz w:val="20"/>
                <w:szCs w:val="20"/>
                <w:color w:val="auto"/>
              </w:rPr>
            </w:pPr>
            <w:r>
              <w:rPr>
                <w:rFonts w:ascii="Arial" w:cs="Arial" w:eastAsia="Arial" w:hAnsi="Arial"/>
                <w:sz w:val="16"/>
                <w:szCs w:val="16"/>
                <w:color w:val="auto"/>
              </w:rPr>
              <w:t>Other current liabilities</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61.1</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21.3</w:t>
            </w:r>
          </w:p>
        </w:tc>
      </w:tr>
      <w:tr>
        <w:trPr>
          <w:trHeight w:val="33"/>
        </w:trPr>
        <w:tc>
          <w:tcPr>
            <w:tcW w:w="7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62"/>
        </w:trPr>
        <w:tc>
          <w:tcPr>
            <w:tcW w:w="79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Other non-current assets and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2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w:t>
            </w:r>
          </w:p>
        </w:tc>
      </w:tr>
      <w:tr>
        <w:trPr>
          <w:trHeight w:val="217"/>
        </w:trPr>
        <w:tc>
          <w:tcPr>
            <w:tcW w:w="7940" w:type="dxa"/>
            <w:vAlign w:val="bottom"/>
            <w:tcBorders>
              <w:top w:val="single" w:sz="8" w:color="auto"/>
            </w:tcBorders>
          </w:tcPr>
          <w:p>
            <w:pPr>
              <w:ind w:left="320"/>
              <w:spacing w:after="0"/>
              <w:rPr>
                <w:sz w:val="20"/>
                <w:szCs w:val="20"/>
                <w:color w:val="auto"/>
              </w:rPr>
            </w:pPr>
            <w:r>
              <w:rPr>
                <w:rFonts w:ascii="Arial" w:cs="Arial" w:eastAsia="Arial" w:hAnsi="Arial"/>
                <w:sz w:val="16"/>
                <w:szCs w:val="16"/>
                <w:color w:val="auto"/>
              </w:rPr>
              <w:t>Net cash provided by operating activities of continuing operations</w:t>
            </w:r>
          </w:p>
        </w:tc>
        <w:tc>
          <w:tcPr>
            <w:tcW w:w="2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500.8</w:t>
            </w:r>
          </w:p>
        </w:tc>
        <w:tc>
          <w:tcPr>
            <w:tcW w:w="2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266.1</w:t>
            </w:r>
          </w:p>
        </w:tc>
      </w:tr>
      <w:tr>
        <w:trPr>
          <w:trHeight w:val="33"/>
        </w:trPr>
        <w:tc>
          <w:tcPr>
            <w:tcW w:w="7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62"/>
        </w:trPr>
        <w:tc>
          <w:tcPr>
            <w:tcW w:w="79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Net cash used for operating activities of discontinued operations</w:t>
            </w: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2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17"/>
        </w:trPr>
        <w:tc>
          <w:tcPr>
            <w:tcW w:w="7940" w:type="dxa"/>
            <w:vAlign w:val="bottom"/>
            <w:tcBorders>
              <w:top w:val="single" w:sz="8" w:color="auto"/>
            </w:tcBorders>
          </w:tcPr>
          <w:p>
            <w:pPr>
              <w:ind w:left="320"/>
              <w:spacing w:after="0"/>
              <w:rPr>
                <w:sz w:val="20"/>
                <w:szCs w:val="20"/>
                <w:color w:val="auto"/>
              </w:rPr>
            </w:pPr>
            <w:r>
              <w:rPr>
                <w:rFonts w:ascii="Arial" w:cs="Arial" w:eastAsia="Arial" w:hAnsi="Arial"/>
                <w:sz w:val="16"/>
                <w:szCs w:val="16"/>
                <w:color w:val="auto"/>
              </w:rPr>
              <w:t>Net cash provided by operating activities</w:t>
            </w:r>
          </w:p>
        </w:tc>
        <w:tc>
          <w:tcPr>
            <w:tcW w:w="2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500.3</w:t>
            </w:r>
          </w:p>
        </w:tc>
        <w:tc>
          <w:tcPr>
            <w:tcW w:w="2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264.7</w:t>
            </w:r>
          </w:p>
        </w:tc>
      </w:tr>
      <w:tr>
        <w:trPr>
          <w:trHeight w:val="33"/>
        </w:trPr>
        <w:tc>
          <w:tcPr>
            <w:tcW w:w="7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7"/>
        </w:trPr>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Investing activities</w:t>
            </w: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r>
      <w:tr>
        <w:trPr>
          <w:trHeight w:val="223"/>
        </w:trPr>
        <w:tc>
          <w:tcPr>
            <w:tcW w:w="7940" w:type="dxa"/>
            <w:vAlign w:val="bottom"/>
          </w:tcPr>
          <w:p>
            <w:pPr>
              <w:spacing w:after="0"/>
              <w:rPr>
                <w:sz w:val="20"/>
                <w:szCs w:val="20"/>
                <w:color w:val="auto"/>
              </w:rPr>
            </w:pPr>
            <w:r>
              <w:rPr>
                <w:rFonts w:ascii="Arial" w:cs="Arial" w:eastAsia="Arial" w:hAnsi="Arial"/>
                <w:sz w:val="16"/>
                <w:szCs w:val="16"/>
                <w:color w:val="auto"/>
              </w:rPr>
              <w:t>Capital expenditures</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(44.4)</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(44.6)</w:t>
            </w:r>
          </w:p>
        </w:tc>
      </w:tr>
      <w:tr>
        <w:trPr>
          <w:trHeight w:val="33"/>
        </w:trPr>
        <w:tc>
          <w:tcPr>
            <w:tcW w:w="7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6"/>
        </w:trPr>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Proceeds from sale of property and equipment</w:t>
            </w: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223"/>
        </w:trPr>
        <w:tc>
          <w:tcPr>
            <w:tcW w:w="7940" w:type="dxa"/>
            <w:vAlign w:val="bottom"/>
          </w:tcPr>
          <w:p>
            <w:pPr>
              <w:spacing w:after="0"/>
              <w:rPr>
                <w:sz w:val="20"/>
                <w:szCs w:val="20"/>
                <w:color w:val="auto"/>
              </w:rPr>
            </w:pPr>
            <w:r>
              <w:rPr>
                <w:rFonts w:ascii="Arial" w:cs="Arial" w:eastAsia="Arial" w:hAnsi="Arial"/>
                <w:sz w:val="16"/>
                <w:szCs w:val="16"/>
                <w:color w:val="auto"/>
              </w:rPr>
              <w:t>Proceeds from the sale of businesses, net</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0.7</w:t>
            </w:r>
          </w:p>
        </w:tc>
      </w:tr>
      <w:tr>
        <w:trPr>
          <w:trHeight w:val="33"/>
        </w:trPr>
        <w:tc>
          <w:tcPr>
            <w:tcW w:w="7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6"/>
        </w:trPr>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Acquisitions, net of cash acquired</w:t>
            </w: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(28.5)</w:t>
            </w: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(284.5)</w:t>
            </w:r>
          </w:p>
        </w:tc>
      </w:tr>
      <w:tr>
        <w:trPr>
          <w:trHeight w:val="223"/>
        </w:trPr>
        <w:tc>
          <w:tcPr>
            <w:tcW w:w="7940" w:type="dxa"/>
            <w:vAlign w:val="bottom"/>
          </w:tcPr>
          <w:p>
            <w:pPr>
              <w:spacing w:after="0"/>
              <w:rPr>
                <w:sz w:val="20"/>
                <w:szCs w:val="20"/>
                <w:color w:val="auto"/>
              </w:rPr>
            </w:pPr>
            <w:r>
              <w:rPr>
                <w:rFonts w:ascii="Arial" w:cs="Arial" w:eastAsia="Arial" w:hAnsi="Arial"/>
                <w:sz w:val="16"/>
                <w:szCs w:val="16"/>
                <w:color w:val="auto"/>
              </w:rPr>
              <w:t>Other</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2.2</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33"/>
        </w:trPr>
        <w:tc>
          <w:tcPr>
            <w:tcW w:w="7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0"/>
        </w:trPr>
        <w:tc>
          <w:tcPr>
            <w:tcW w:w="79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Net cash used for investing activities</w:t>
            </w: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(70.6)</w:t>
            </w: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(329.5)</w:t>
            </w:r>
          </w:p>
        </w:tc>
      </w:tr>
      <w:tr>
        <w:trPr>
          <w:trHeight w:val="223"/>
        </w:trPr>
        <w:tc>
          <w:tcPr>
            <w:tcW w:w="7940" w:type="dxa"/>
            <w:vAlign w:val="bottom"/>
          </w:tcPr>
          <w:p>
            <w:pPr>
              <w:spacing w:after="0"/>
              <w:rPr>
                <w:sz w:val="20"/>
                <w:szCs w:val="20"/>
                <w:color w:val="auto"/>
              </w:rPr>
            </w:pPr>
            <w:r>
              <w:rPr>
                <w:rFonts w:ascii="Arial" w:cs="Arial" w:eastAsia="Arial" w:hAnsi="Arial"/>
                <w:sz w:val="16"/>
                <w:szCs w:val="16"/>
                <w:b w:val="1"/>
                <w:bCs w:val="1"/>
                <w:color w:val="auto"/>
              </w:rPr>
              <w:t>Financing activities</w:t>
            </w: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33"/>
        </w:trPr>
        <w:tc>
          <w:tcPr>
            <w:tcW w:w="7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7"/>
        </w:trPr>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(repayments) receipts of commercial paper and revolving long-term debt</w:t>
            </w: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(151.3)</w:t>
            </w: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91.2</w:t>
            </w:r>
          </w:p>
        </w:tc>
      </w:tr>
      <w:tr>
        <w:trPr>
          <w:trHeight w:val="223"/>
        </w:trPr>
        <w:tc>
          <w:tcPr>
            <w:tcW w:w="7940" w:type="dxa"/>
            <w:vAlign w:val="bottom"/>
          </w:tcPr>
          <w:p>
            <w:pPr>
              <w:spacing w:after="0"/>
              <w:rPr>
                <w:sz w:val="20"/>
                <w:szCs w:val="20"/>
                <w:color w:val="auto"/>
              </w:rPr>
            </w:pPr>
            <w:r>
              <w:rPr>
                <w:rFonts w:ascii="Arial" w:cs="Arial" w:eastAsia="Arial" w:hAnsi="Arial"/>
                <w:sz w:val="16"/>
                <w:szCs w:val="16"/>
                <w:color w:val="auto"/>
              </w:rPr>
              <w:t>Proceeds from long-term debt</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400.0</w:t>
            </w:r>
          </w:p>
        </w:tc>
      </w:tr>
      <w:tr>
        <w:trPr>
          <w:trHeight w:val="33"/>
        </w:trPr>
        <w:tc>
          <w:tcPr>
            <w:tcW w:w="7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7"/>
        </w:trPr>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Repayments of long-term debt</w:t>
            </w: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(74.0)</w:t>
            </w: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(151.5)</w:t>
            </w:r>
          </w:p>
        </w:tc>
      </w:tr>
      <w:tr>
        <w:trPr>
          <w:trHeight w:val="223"/>
        </w:trPr>
        <w:tc>
          <w:tcPr>
            <w:tcW w:w="7940" w:type="dxa"/>
            <w:vAlign w:val="bottom"/>
          </w:tcPr>
          <w:p>
            <w:pPr>
              <w:spacing w:after="0"/>
              <w:rPr>
                <w:sz w:val="20"/>
                <w:szCs w:val="20"/>
                <w:color w:val="auto"/>
              </w:rPr>
            </w:pPr>
            <w:r>
              <w:rPr>
                <w:rFonts w:ascii="Arial" w:cs="Arial" w:eastAsia="Arial" w:hAnsi="Arial"/>
                <w:sz w:val="16"/>
                <w:szCs w:val="16"/>
                <w:color w:val="auto"/>
              </w:rPr>
              <w:t>Debt issuance costs</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33"/>
        </w:trPr>
        <w:tc>
          <w:tcPr>
            <w:tcW w:w="7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6"/>
        </w:trPr>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Shares issued to employees, net of shares withheld</w:t>
            </w: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w:t>
            </w:r>
          </w:p>
        </w:tc>
      </w:tr>
      <w:tr>
        <w:trPr>
          <w:trHeight w:val="223"/>
        </w:trPr>
        <w:tc>
          <w:tcPr>
            <w:tcW w:w="7940" w:type="dxa"/>
            <w:vAlign w:val="bottom"/>
          </w:tcPr>
          <w:p>
            <w:pPr>
              <w:spacing w:after="0"/>
              <w:rPr>
                <w:sz w:val="20"/>
                <w:szCs w:val="20"/>
                <w:color w:val="auto"/>
              </w:rPr>
            </w:pPr>
            <w:r>
              <w:rPr>
                <w:rFonts w:ascii="Arial" w:cs="Arial" w:eastAsia="Arial" w:hAnsi="Arial"/>
                <w:sz w:val="16"/>
                <w:szCs w:val="16"/>
                <w:color w:val="auto"/>
              </w:rPr>
              <w:t>Repurchases of ordinary shares</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(115.2)</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(150.0)</w:t>
            </w:r>
          </w:p>
        </w:tc>
      </w:tr>
      <w:tr>
        <w:trPr>
          <w:trHeight w:val="33"/>
        </w:trPr>
        <w:tc>
          <w:tcPr>
            <w:tcW w:w="7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61"/>
        </w:trPr>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Dividends paid</w:t>
            </w: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(95.4)</w:t>
            </w:r>
          </w:p>
        </w:tc>
        <w:tc>
          <w:tcPr>
            <w:tcW w:w="2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(92.4)</w:t>
            </w:r>
          </w:p>
        </w:tc>
      </w:tr>
      <w:tr>
        <w:trPr>
          <w:trHeight w:val="217"/>
        </w:trPr>
        <w:tc>
          <w:tcPr>
            <w:tcW w:w="7940" w:type="dxa"/>
            <w:vAlign w:val="bottom"/>
            <w:tcBorders>
              <w:top w:val="single" w:sz="8" w:color="auto"/>
            </w:tcBorders>
          </w:tcPr>
          <w:p>
            <w:pPr>
              <w:ind w:left="320"/>
              <w:spacing w:after="0"/>
              <w:rPr>
                <w:sz w:val="20"/>
                <w:szCs w:val="20"/>
                <w:color w:val="auto"/>
              </w:rPr>
            </w:pPr>
            <w:r>
              <w:rPr>
                <w:rFonts w:ascii="Arial" w:cs="Arial" w:eastAsia="Arial" w:hAnsi="Arial"/>
                <w:sz w:val="16"/>
                <w:szCs w:val="16"/>
                <w:color w:val="auto"/>
              </w:rPr>
              <w:t>Net cash (used for) provided by financing activities</w:t>
            </w:r>
          </w:p>
        </w:tc>
        <w:tc>
          <w:tcPr>
            <w:tcW w:w="2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(414.8)</w:t>
            </w:r>
          </w:p>
        </w:tc>
        <w:tc>
          <w:tcPr>
            <w:tcW w:w="2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97.8</w:t>
            </w:r>
          </w:p>
        </w:tc>
      </w:tr>
      <w:tr>
        <w:trPr>
          <w:trHeight w:val="33"/>
        </w:trPr>
        <w:tc>
          <w:tcPr>
            <w:tcW w:w="7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61"/>
        </w:trPr>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Effect of exchange rate changes on cash and cash equivalents</w:t>
            </w: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2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w:t>
            </w:r>
          </w:p>
        </w:tc>
      </w:tr>
      <w:tr>
        <w:trPr>
          <w:trHeight w:val="217"/>
        </w:trPr>
        <w:tc>
          <w:tcPr>
            <w:tcW w:w="79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Change in cash and cash equivalents</w:t>
            </w:r>
          </w:p>
        </w:tc>
        <w:tc>
          <w:tcPr>
            <w:tcW w:w="2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2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38.9</w:t>
            </w:r>
          </w:p>
        </w:tc>
      </w:tr>
      <w:tr>
        <w:trPr>
          <w:trHeight w:val="33"/>
        </w:trPr>
        <w:tc>
          <w:tcPr>
            <w:tcW w:w="7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61"/>
        </w:trPr>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and cash equivalents, beginning of period</w:t>
            </w: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82.5</w:t>
            </w:r>
          </w:p>
        </w:tc>
        <w:tc>
          <w:tcPr>
            <w:tcW w:w="2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74.3</w:t>
            </w:r>
          </w:p>
        </w:tc>
      </w:tr>
      <w:tr>
        <w:trPr>
          <w:trHeight w:val="217"/>
        </w:trPr>
        <w:tc>
          <w:tcPr>
            <w:tcW w:w="79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Cash and cash equivalents, end of period</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82.6</w:t>
            </w: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113.2</w:t>
            </w:r>
          </w:p>
        </w:tc>
      </w:tr>
      <w:tr>
        <w:trPr>
          <w:trHeight w:val="33"/>
        </w:trPr>
        <w:tc>
          <w:tcPr>
            <w:tcW w:w="7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
        </w:trPr>
        <w:tc>
          <w:tcPr>
            <w:tcW w:w="7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ectPr>
          <w:pgSz w:w="11900" w:h="16838" w:orient="portrait"/>
          <w:cols w:equalWidth="0" w:num="1">
            <w:col w:w="11220"/>
          </w:cols>
          <w:pgMar w:left="320" w:top="122" w:right="359" w:bottom="110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108" w:gutter="0" w:footer="0" w:header="0"/>
          <w:type w:val="continuous"/>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Pentair plc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Changes in Equity (Unaudited)</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3860" w:type="dxa"/>
            <w:vAlign w:val="bottom"/>
          </w:tcPr>
          <w:p>
            <w:pPr>
              <w:spacing w:after="0"/>
              <w:rPr>
                <w:sz w:val="18"/>
                <w:szCs w:val="18"/>
                <w:color w:val="auto"/>
              </w:rPr>
            </w:pPr>
          </w:p>
        </w:tc>
        <w:tc>
          <w:tcPr>
            <w:tcW w:w="1860" w:type="dxa"/>
            <w:vAlign w:val="bottom"/>
            <w:gridSpan w:val="3"/>
            <w:vMerge w:val="restart"/>
          </w:tcPr>
          <w:p>
            <w:pPr>
              <w:jc w:val="right"/>
              <w:ind w:right="279"/>
              <w:spacing w:after="0"/>
              <w:rPr>
                <w:sz w:val="20"/>
                <w:szCs w:val="20"/>
                <w:color w:val="auto"/>
              </w:rPr>
            </w:pPr>
            <w:r>
              <w:rPr>
                <w:rFonts w:ascii="Arial" w:cs="Arial" w:eastAsia="Arial" w:hAnsi="Arial"/>
                <w:sz w:val="16"/>
                <w:szCs w:val="16"/>
                <w:b w:val="1"/>
                <w:bCs w:val="1"/>
                <w:color w:val="auto"/>
              </w:rPr>
              <w:t>Ordinary shares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ind w:right="39"/>
              <w:spacing w:after="0"/>
              <w:rPr>
                <w:sz w:val="20"/>
                <w:szCs w:val="20"/>
                <w:color w:val="auto"/>
              </w:rPr>
            </w:pPr>
            <w:r>
              <w:rPr>
                <w:rFonts w:ascii="Arial" w:cs="Arial" w:eastAsia="Arial" w:hAnsi="Arial"/>
                <w:sz w:val="16"/>
                <w:szCs w:val="16"/>
                <w:b w:val="1"/>
                <w:bCs w:val="1"/>
                <w:color w:val="auto"/>
                <w:w w:val="91"/>
              </w:rPr>
              <w:t>Accumulated</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3860" w:type="dxa"/>
            <w:vAlign w:val="bottom"/>
          </w:tcPr>
          <w:p>
            <w:pPr>
              <w:spacing w:after="0"/>
              <w:rPr>
                <w:sz w:val="4"/>
                <w:szCs w:val="4"/>
                <w:color w:val="auto"/>
              </w:rPr>
            </w:pPr>
          </w:p>
        </w:tc>
        <w:tc>
          <w:tcPr>
            <w:tcW w:w="1860" w:type="dxa"/>
            <w:vAlign w:val="bottom"/>
            <w:gridSpan w:val="3"/>
            <w:vMerge w:val="continue"/>
          </w:tcPr>
          <w:p>
            <w:pPr>
              <w:spacing w:after="0"/>
              <w:rPr>
                <w:sz w:val="4"/>
                <w:szCs w:val="4"/>
                <w:color w:val="auto"/>
              </w:rPr>
            </w:pPr>
          </w:p>
        </w:tc>
        <w:tc>
          <w:tcPr>
            <w:tcW w:w="136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Additional paid-</w:t>
            </w:r>
          </w:p>
        </w:tc>
        <w:tc>
          <w:tcPr>
            <w:tcW w:w="220" w:type="dxa"/>
            <w:vAlign w:val="bottom"/>
          </w:tcPr>
          <w:p>
            <w:pPr>
              <w:spacing w:after="0"/>
              <w:rPr>
                <w:sz w:val="4"/>
                <w:szCs w:val="4"/>
                <w:color w:val="auto"/>
              </w:rPr>
            </w:pPr>
          </w:p>
        </w:tc>
        <w:tc>
          <w:tcPr>
            <w:tcW w:w="104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Retained</w:t>
            </w:r>
          </w:p>
        </w:tc>
        <w:tc>
          <w:tcPr>
            <w:tcW w:w="120" w:type="dxa"/>
            <w:vAlign w:val="bottom"/>
          </w:tcPr>
          <w:p>
            <w:pPr>
              <w:spacing w:after="0"/>
              <w:rPr>
                <w:sz w:val="4"/>
                <w:szCs w:val="4"/>
                <w:color w:val="auto"/>
              </w:rPr>
            </w:pPr>
          </w:p>
        </w:tc>
        <w:tc>
          <w:tcPr>
            <w:tcW w:w="1480" w:type="dxa"/>
            <w:vAlign w:val="bottom"/>
            <w:vMerge w:val="restart"/>
          </w:tcPr>
          <w:p>
            <w:pPr>
              <w:jc w:val="center"/>
              <w:ind w:right="19"/>
              <w:spacing w:after="0"/>
              <w:rPr>
                <w:sz w:val="20"/>
                <w:szCs w:val="20"/>
                <w:color w:val="auto"/>
              </w:rPr>
            </w:pPr>
            <w:r>
              <w:rPr>
                <w:rFonts w:ascii="Arial" w:cs="Arial" w:eastAsia="Arial" w:hAnsi="Arial"/>
                <w:sz w:val="16"/>
                <w:szCs w:val="16"/>
                <w:b w:val="1"/>
                <w:bCs w:val="1"/>
                <w:color w:val="auto"/>
                <w:w w:val="94"/>
              </w:rPr>
              <w:t>other</w:t>
            </w: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38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6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38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8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3860" w:type="dxa"/>
            <w:vAlign w:val="bottom"/>
          </w:tcPr>
          <w:p>
            <w:pPr>
              <w:ind w:left="20"/>
              <w:spacing w:after="0"/>
              <w:rPr>
                <w:sz w:val="20"/>
                <w:szCs w:val="20"/>
                <w:color w:val="auto"/>
              </w:rPr>
            </w:pPr>
            <w:r>
              <w:rPr>
                <w:rFonts w:ascii="Arial" w:cs="Arial" w:eastAsia="Arial" w:hAnsi="Arial"/>
                <w:sz w:val="16"/>
                <w:szCs w:val="16"/>
                <w:i w:val="1"/>
                <w:iCs w:val="1"/>
                <w:color w:val="auto"/>
              </w:rPr>
              <w:t>In millions</w:t>
            </w:r>
          </w:p>
        </w:tc>
        <w:tc>
          <w:tcPr>
            <w:tcW w:w="900" w:type="dxa"/>
            <w:vAlign w:val="bottom"/>
          </w:tcPr>
          <w:p>
            <w:pPr>
              <w:jc w:val="right"/>
              <w:ind w:right="79"/>
              <w:spacing w:after="0"/>
              <w:rPr>
                <w:sz w:val="20"/>
                <w:szCs w:val="20"/>
                <w:color w:val="auto"/>
              </w:rPr>
            </w:pPr>
            <w:r>
              <w:rPr>
                <w:rFonts w:ascii="Arial" w:cs="Arial" w:eastAsia="Arial" w:hAnsi="Arial"/>
                <w:sz w:val="16"/>
                <w:szCs w:val="16"/>
                <w:b w:val="1"/>
                <w:bCs w:val="1"/>
                <w:color w:val="auto"/>
              </w:rPr>
              <w:t>Number</w:t>
            </w:r>
          </w:p>
        </w:tc>
        <w:tc>
          <w:tcPr>
            <w:tcW w:w="160" w:type="dxa"/>
            <w:vAlign w:val="bottom"/>
          </w:tcPr>
          <w:p>
            <w:pPr>
              <w:spacing w:after="0"/>
              <w:rPr>
                <w:sz w:val="18"/>
                <w:szCs w:val="18"/>
                <w:color w:val="auto"/>
              </w:rPr>
            </w:pPr>
          </w:p>
        </w:tc>
        <w:tc>
          <w:tcPr>
            <w:tcW w:w="800" w:type="dxa"/>
            <w:vAlign w:val="bottom"/>
          </w:tcPr>
          <w:p>
            <w:pPr>
              <w:jc w:val="right"/>
              <w:ind w:right="119"/>
              <w:spacing w:after="0"/>
              <w:rPr>
                <w:sz w:val="20"/>
                <w:szCs w:val="20"/>
                <w:color w:val="auto"/>
              </w:rPr>
            </w:pPr>
            <w:r>
              <w:rPr>
                <w:rFonts w:ascii="Arial" w:cs="Arial" w:eastAsia="Arial" w:hAnsi="Arial"/>
                <w:sz w:val="16"/>
                <w:szCs w:val="16"/>
                <w:b w:val="1"/>
                <w:bCs w:val="1"/>
                <w:color w:val="auto"/>
                <w:w w:val="95"/>
              </w:rPr>
              <w:t>Amount</w:t>
            </w:r>
          </w:p>
        </w:tc>
        <w:tc>
          <w:tcPr>
            <w:tcW w:w="300" w:type="dxa"/>
            <w:vAlign w:val="bottom"/>
          </w:tcPr>
          <w:p>
            <w:pPr>
              <w:spacing w:after="0"/>
              <w:rPr>
                <w:sz w:val="18"/>
                <w:szCs w:val="18"/>
                <w:color w:val="auto"/>
              </w:rPr>
            </w:pPr>
          </w:p>
        </w:tc>
        <w:tc>
          <w:tcPr>
            <w:tcW w:w="1060" w:type="dxa"/>
            <w:vAlign w:val="bottom"/>
          </w:tcPr>
          <w:p>
            <w:pPr>
              <w:jc w:val="right"/>
              <w:ind w:right="219"/>
              <w:spacing w:after="0"/>
              <w:rPr>
                <w:sz w:val="20"/>
                <w:szCs w:val="20"/>
                <w:color w:val="auto"/>
              </w:rPr>
            </w:pPr>
            <w:r>
              <w:rPr>
                <w:rFonts w:ascii="Arial" w:cs="Arial" w:eastAsia="Arial" w:hAnsi="Arial"/>
                <w:sz w:val="16"/>
                <w:szCs w:val="16"/>
                <w:b w:val="1"/>
                <w:bCs w:val="1"/>
                <w:color w:val="auto"/>
              </w:rPr>
              <w:t>in capital</w:t>
            </w:r>
          </w:p>
        </w:tc>
        <w:tc>
          <w:tcPr>
            <w:tcW w:w="220" w:type="dxa"/>
            <w:vAlign w:val="bottom"/>
          </w:tcPr>
          <w:p>
            <w:pPr>
              <w:spacing w:after="0"/>
              <w:rPr>
                <w:sz w:val="18"/>
                <w:szCs w:val="18"/>
                <w:color w:val="auto"/>
              </w:rPr>
            </w:pPr>
          </w:p>
        </w:tc>
        <w:tc>
          <w:tcPr>
            <w:tcW w:w="1040" w:type="dxa"/>
            <w:vAlign w:val="bottom"/>
          </w:tcPr>
          <w:p>
            <w:pPr>
              <w:jc w:val="right"/>
              <w:ind w:right="239"/>
              <w:spacing w:after="0"/>
              <w:rPr>
                <w:sz w:val="20"/>
                <w:szCs w:val="20"/>
                <w:color w:val="auto"/>
              </w:rPr>
            </w:pPr>
            <w:r>
              <w:rPr>
                <w:rFonts w:ascii="Arial" w:cs="Arial" w:eastAsia="Arial" w:hAnsi="Arial"/>
                <w:sz w:val="16"/>
                <w:szCs w:val="16"/>
                <w:b w:val="1"/>
                <w:bCs w:val="1"/>
                <w:color w:val="auto"/>
              </w:rPr>
              <w:t>earnings</w:t>
            </w:r>
          </w:p>
        </w:tc>
        <w:tc>
          <w:tcPr>
            <w:tcW w:w="120" w:type="dxa"/>
            <w:vAlign w:val="bottom"/>
          </w:tcPr>
          <w:p>
            <w:pPr>
              <w:spacing w:after="0"/>
              <w:rPr>
                <w:sz w:val="18"/>
                <w:szCs w:val="18"/>
                <w:color w:val="auto"/>
              </w:rPr>
            </w:pPr>
          </w:p>
        </w:tc>
        <w:tc>
          <w:tcPr>
            <w:tcW w:w="1480" w:type="dxa"/>
            <w:vAlign w:val="bottom"/>
          </w:tcPr>
          <w:p>
            <w:pPr>
              <w:jc w:val="center"/>
              <w:ind w:right="39"/>
              <w:spacing w:after="0"/>
              <w:rPr>
                <w:sz w:val="20"/>
                <w:szCs w:val="20"/>
                <w:color w:val="auto"/>
              </w:rPr>
            </w:pPr>
            <w:r>
              <w:rPr>
                <w:rFonts w:ascii="Arial" w:cs="Arial" w:eastAsia="Arial" w:hAnsi="Arial"/>
                <w:sz w:val="16"/>
                <w:szCs w:val="16"/>
                <w:b w:val="1"/>
                <w:bCs w:val="1"/>
                <w:color w:val="auto"/>
                <w:w w:val="85"/>
              </w:rPr>
              <w:t>comprehensive loss</w:t>
            </w:r>
          </w:p>
        </w:tc>
        <w:tc>
          <w:tcPr>
            <w:tcW w:w="300" w:type="dxa"/>
            <w:vAlign w:val="bottom"/>
          </w:tcPr>
          <w:p>
            <w:pPr>
              <w:spacing w:after="0"/>
              <w:rPr>
                <w:sz w:val="18"/>
                <w:szCs w:val="18"/>
                <w:color w:val="auto"/>
              </w:rPr>
            </w:pPr>
          </w:p>
        </w:tc>
        <w:tc>
          <w:tcPr>
            <w:tcW w:w="960" w:type="dxa"/>
            <w:vAlign w:val="bottom"/>
          </w:tcPr>
          <w:p>
            <w:pPr>
              <w:jc w:val="right"/>
              <w:ind w:right="3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38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 December 31, 2019</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1,777.7</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401.0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(226.5)</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1,953.9</w:t>
            </w:r>
          </w:p>
        </w:tc>
        <w:tc>
          <w:tcPr>
            <w:tcW w:w="0" w:type="dxa"/>
            <w:vAlign w:val="bottom"/>
          </w:tcPr>
          <w:p>
            <w:pPr>
              <w:spacing w:after="0"/>
              <w:rPr>
                <w:sz w:val="1"/>
                <w:szCs w:val="1"/>
                <w:color w:val="auto"/>
              </w:rPr>
            </w:pPr>
          </w:p>
        </w:tc>
      </w:tr>
      <w:tr>
        <w:trPr>
          <w:trHeight w:val="224"/>
        </w:trPr>
        <w:tc>
          <w:tcPr>
            <w:tcW w:w="38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72.7</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72.7</w:t>
            </w:r>
          </w:p>
        </w:tc>
        <w:tc>
          <w:tcPr>
            <w:tcW w:w="0" w:type="dxa"/>
            <w:vAlign w:val="bottom"/>
          </w:tcPr>
          <w:p>
            <w:pPr>
              <w:spacing w:after="0"/>
              <w:rPr>
                <w:sz w:val="1"/>
                <w:szCs w:val="1"/>
                <w:color w:val="auto"/>
              </w:rPr>
            </w:pPr>
          </w:p>
        </w:tc>
      </w:tr>
      <w:tr>
        <w:trPr>
          <w:trHeight w:val="33"/>
        </w:trPr>
        <w:tc>
          <w:tcPr>
            <w:tcW w:w="38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comprehensive income, net of tax</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23"/>
        </w:trPr>
        <w:tc>
          <w:tcPr>
            <w:tcW w:w="3860" w:type="dxa"/>
            <w:vAlign w:val="bottom"/>
          </w:tcPr>
          <w:p>
            <w:pPr>
              <w:ind w:left="20"/>
              <w:spacing w:after="0"/>
              <w:rPr>
                <w:sz w:val="20"/>
                <w:szCs w:val="20"/>
                <w:color w:val="auto"/>
              </w:rPr>
            </w:pPr>
            <w:r>
              <w:rPr>
                <w:rFonts w:ascii="Arial" w:cs="Arial" w:eastAsia="Arial" w:hAnsi="Arial"/>
                <w:sz w:val="16"/>
                <w:szCs w:val="16"/>
                <w:color w:val="auto"/>
              </w:rPr>
              <w:t>Dividends declared, $0.19 per share</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(31.6)</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(31.6)</w:t>
            </w:r>
          </w:p>
        </w:tc>
        <w:tc>
          <w:tcPr>
            <w:tcW w:w="0" w:type="dxa"/>
            <w:vAlign w:val="bottom"/>
          </w:tcPr>
          <w:p>
            <w:pPr>
              <w:spacing w:after="0"/>
              <w:rPr>
                <w:sz w:val="1"/>
                <w:szCs w:val="1"/>
                <w:color w:val="auto"/>
              </w:rPr>
            </w:pPr>
          </w:p>
        </w:tc>
      </w:tr>
      <w:tr>
        <w:trPr>
          <w:trHeight w:val="33"/>
        </w:trPr>
        <w:tc>
          <w:tcPr>
            <w:tcW w:w="38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 repurchases</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(115.2)</w:t>
            </w: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(115.2)</w:t>
            </w:r>
          </w:p>
        </w:tc>
        <w:tc>
          <w:tcPr>
            <w:tcW w:w="0" w:type="dxa"/>
            <w:vAlign w:val="bottom"/>
          </w:tcPr>
          <w:p>
            <w:pPr>
              <w:spacing w:after="0"/>
              <w:rPr>
                <w:sz w:val="1"/>
                <w:szCs w:val="1"/>
                <w:color w:val="auto"/>
              </w:rPr>
            </w:pPr>
          </w:p>
        </w:tc>
      </w:tr>
      <w:tr>
        <w:trPr>
          <w:trHeight w:val="224"/>
        </w:trPr>
        <w:tc>
          <w:tcPr>
            <w:tcW w:w="3860" w:type="dxa"/>
            <w:vAlign w:val="bottom"/>
          </w:tcPr>
          <w:p>
            <w:pPr>
              <w:ind w:left="20"/>
              <w:spacing w:after="0"/>
              <w:rPr>
                <w:sz w:val="20"/>
                <w:szCs w:val="20"/>
                <w:color w:val="auto"/>
              </w:rPr>
            </w:pPr>
            <w:r>
              <w:rPr>
                <w:rFonts w:ascii="Arial" w:cs="Arial" w:eastAsia="Arial" w:hAnsi="Arial"/>
                <w:sz w:val="16"/>
                <w:szCs w:val="16"/>
                <w:color w:val="auto"/>
                <w:w w:val="97"/>
              </w:rPr>
              <w:t>Exercise of options, net of shares tendered for payment</w:t>
            </w:r>
          </w:p>
        </w:tc>
        <w:tc>
          <w:tcPr>
            <w:tcW w:w="900" w:type="dxa"/>
            <w:vAlign w:val="bottom"/>
          </w:tcPr>
          <w:p>
            <w:pPr>
              <w:jc w:val="right"/>
              <w:spacing w:after="0"/>
              <w:rPr>
                <w:sz w:val="20"/>
                <w:szCs w:val="20"/>
                <w:color w:val="auto"/>
              </w:rPr>
            </w:pPr>
            <w:r>
              <w:rPr>
                <w:rFonts w:ascii="Arial" w:cs="Arial" w:eastAsia="Arial" w:hAnsi="Arial"/>
                <w:sz w:val="16"/>
                <w:szCs w:val="16"/>
                <w:color w:val="auto"/>
              </w:rPr>
              <w:t>0.3</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8.8</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33"/>
        </w:trPr>
        <w:tc>
          <w:tcPr>
            <w:tcW w:w="38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Issuance of restricted shares, net of cancellations</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3860" w:type="dxa"/>
            <w:vAlign w:val="bottom"/>
          </w:tcPr>
          <w:p>
            <w:pPr>
              <w:ind w:left="20"/>
              <w:spacing w:after="0"/>
              <w:rPr>
                <w:sz w:val="20"/>
                <w:szCs w:val="20"/>
                <w:color w:val="auto"/>
              </w:rPr>
            </w:pPr>
            <w:r>
              <w:rPr>
                <w:rFonts w:ascii="Arial" w:cs="Arial" w:eastAsia="Arial" w:hAnsi="Arial"/>
                <w:sz w:val="16"/>
                <w:szCs w:val="16"/>
                <w:color w:val="auto"/>
              </w:rPr>
              <w:t>Shares surrendered by employees to pay taxes</w:t>
            </w:r>
          </w:p>
        </w:tc>
        <w:tc>
          <w:tcPr>
            <w:tcW w:w="900" w:type="dxa"/>
            <w:vAlign w:val="bottom"/>
          </w:tcPr>
          <w:p>
            <w:pPr>
              <w:jc w:val="right"/>
              <w:spacing w:after="0"/>
              <w:rPr>
                <w:sz w:val="20"/>
                <w:szCs w:val="20"/>
                <w:color w:val="auto"/>
              </w:rPr>
            </w:pPr>
            <w:r>
              <w:rPr>
                <w:rFonts w:ascii="Arial" w:cs="Arial" w:eastAsia="Arial" w:hAnsi="Arial"/>
                <w:sz w:val="16"/>
                <w:szCs w:val="16"/>
                <w:color w:val="auto"/>
              </w:rPr>
              <w:t>(0.1)</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(3.6)</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33"/>
        </w:trPr>
        <w:tc>
          <w:tcPr>
            <w:tcW w:w="38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Share-based compensation</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17"/>
        </w:trPr>
        <w:tc>
          <w:tcPr>
            <w:tcW w:w="38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Balance - March 31, 2020</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165.7</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1,673.9</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442.1</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(225.2)</w:t>
            </w: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1,892.5</w:t>
            </w:r>
          </w:p>
        </w:tc>
        <w:tc>
          <w:tcPr>
            <w:tcW w:w="0" w:type="dxa"/>
            <w:vAlign w:val="bottom"/>
          </w:tcPr>
          <w:p>
            <w:pPr>
              <w:spacing w:after="0"/>
              <w:rPr>
                <w:sz w:val="1"/>
                <w:szCs w:val="1"/>
                <w:color w:val="auto"/>
              </w:rPr>
            </w:pPr>
          </w:p>
        </w:tc>
      </w:tr>
      <w:tr>
        <w:trPr>
          <w:trHeight w:val="33"/>
        </w:trPr>
        <w:tc>
          <w:tcPr>
            <w:tcW w:w="38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72.1</w:t>
            </w: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72.1</w:t>
            </w:r>
          </w:p>
        </w:tc>
        <w:tc>
          <w:tcPr>
            <w:tcW w:w="0" w:type="dxa"/>
            <w:vAlign w:val="bottom"/>
          </w:tcPr>
          <w:p>
            <w:pPr>
              <w:spacing w:after="0"/>
              <w:rPr>
                <w:sz w:val="1"/>
                <w:szCs w:val="1"/>
                <w:color w:val="auto"/>
              </w:rPr>
            </w:pPr>
          </w:p>
        </w:tc>
      </w:tr>
      <w:tr>
        <w:trPr>
          <w:trHeight w:val="224"/>
        </w:trPr>
        <w:tc>
          <w:tcPr>
            <w:tcW w:w="3860" w:type="dxa"/>
            <w:vAlign w:val="bottom"/>
          </w:tcPr>
          <w:p>
            <w:pPr>
              <w:ind w:left="20"/>
              <w:spacing w:after="0"/>
              <w:rPr>
                <w:sz w:val="20"/>
                <w:szCs w:val="20"/>
                <w:color w:val="auto"/>
              </w:rPr>
            </w:pPr>
            <w:r>
              <w:rPr>
                <w:rFonts w:ascii="Arial" w:cs="Arial" w:eastAsia="Arial" w:hAnsi="Arial"/>
                <w:sz w:val="16"/>
                <w:szCs w:val="16"/>
                <w:color w:val="auto"/>
              </w:rPr>
              <w:t>Other comprehensive income, net of tax</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10.4</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33"/>
        </w:trPr>
        <w:tc>
          <w:tcPr>
            <w:tcW w:w="38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Dividends declared, $0.19 per share</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(31.7)</w:t>
            </w: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(31.7)</w:t>
            </w:r>
          </w:p>
        </w:tc>
        <w:tc>
          <w:tcPr>
            <w:tcW w:w="0" w:type="dxa"/>
            <w:vAlign w:val="bottom"/>
          </w:tcPr>
          <w:p>
            <w:pPr>
              <w:spacing w:after="0"/>
              <w:rPr>
                <w:sz w:val="1"/>
                <w:szCs w:val="1"/>
                <w:color w:val="auto"/>
              </w:rPr>
            </w:pPr>
          </w:p>
        </w:tc>
      </w:tr>
      <w:tr>
        <w:trPr>
          <w:trHeight w:val="224"/>
        </w:trPr>
        <w:tc>
          <w:tcPr>
            <w:tcW w:w="3860" w:type="dxa"/>
            <w:vAlign w:val="bottom"/>
          </w:tcPr>
          <w:p>
            <w:pPr>
              <w:ind w:left="20"/>
              <w:spacing w:after="0"/>
              <w:rPr>
                <w:sz w:val="20"/>
                <w:szCs w:val="20"/>
                <w:color w:val="auto"/>
              </w:rPr>
            </w:pPr>
            <w:r>
              <w:rPr>
                <w:rFonts w:ascii="Arial" w:cs="Arial" w:eastAsia="Arial" w:hAnsi="Arial"/>
                <w:sz w:val="16"/>
                <w:szCs w:val="16"/>
                <w:color w:val="auto"/>
                <w:w w:val="97"/>
              </w:rPr>
              <w:t>Exercise of options, net of shares tendered for payment</w:t>
            </w:r>
          </w:p>
        </w:tc>
        <w:tc>
          <w:tcPr>
            <w:tcW w:w="900" w:type="dxa"/>
            <w:vAlign w:val="bottom"/>
          </w:tcPr>
          <w:p>
            <w:pPr>
              <w:jc w:val="right"/>
              <w:spacing w:after="0"/>
              <w:rPr>
                <w:sz w:val="20"/>
                <w:szCs w:val="20"/>
                <w:color w:val="auto"/>
              </w:rPr>
            </w:pPr>
            <w:r>
              <w:rPr>
                <w:rFonts w:ascii="Arial" w:cs="Arial" w:eastAsia="Arial" w:hAnsi="Arial"/>
                <w:sz w:val="16"/>
                <w:szCs w:val="16"/>
                <w:color w:val="auto"/>
              </w:rPr>
              <w:t>0.1</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2.8</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33"/>
        </w:trPr>
        <w:tc>
          <w:tcPr>
            <w:tcW w:w="38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Issuance of restricted shares, net of cancellations</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3860" w:type="dxa"/>
            <w:vAlign w:val="bottom"/>
          </w:tcPr>
          <w:p>
            <w:pPr>
              <w:ind w:left="20"/>
              <w:spacing w:after="0"/>
              <w:rPr>
                <w:sz w:val="20"/>
                <w:szCs w:val="20"/>
                <w:color w:val="auto"/>
              </w:rPr>
            </w:pPr>
            <w:r>
              <w:rPr>
                <w:rFonts w:ascii="Arial" w:cs="Arial" w:eastAsia="Arial" w:hAnsi="Arial"/>
                <w:sz w:val="16"/>
                <w:szCs w:val="16"/>
                <w:color w:val="auto"/>
              </w:rPr>
              <w:t>Shares surrendered by employees to pay taxes</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(0.6)</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33"/>
        </w:trPr>
        <w:tc>
          <w:tcPr>
            <w:tcW w:w="38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Share-based compensation</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17"/>
        </w:trPr>
        <w:tc>
          <w:tcPr>
            <w:tcW w:w="38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Balance - June 30, 2020</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165.9</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1,680.3</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482.5</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(214.8)</w:t>
            </w: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1,949.7</w:t>
            </w:r>
          </w:p>
        </w:tc>
        <w:tc>
          <w:tcPr>
            <w:tcW w:w="0" w:type="dxa"/>
            <w:vAlign w:val="bottom"/>
          </w:tcPr>
          <w:p>
            <w:pPr>
              <w:spacing w:after="0"/>
              <w:rPr>
                <w:sz w:val="1"/>
                <w:szCs w:val="1"/>
                <w:color w:val="auto"/>
              </w:rPr>
            </w:pPr>
          </w:p>
        </w:tc>
      </w:tr>
      <w:tr>
        <w:trPr>
          <w:trHeight w:val="33"/>
        </w:trPr>
        <w:tc>
          <w:tcPr>
            <w:tcW w:w="38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110.8</w:t>
            </w: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110.8</w:t>
            </w:r>
          </w:p>
        </w:tc>
        <w:tc>
          <w:tcPr>
            <w:tcW w:w="0" w:type="dxa"/>
            <w:vAlign w:val="bottom"/>
          </w:tcPr>
          <w:p>
            <w:pPr>
              <w:spacing w:after="0"/>
              <w:rPr>
                <w:sz w:val="1"/>
                <w:szCs w:val="1"/>
                <w:color w:val="auto"/>
              </w:rPr>
            </w:pPr>
          </w:p>
        </w:tc>
      </w:tr>
      <w:tr>
        <w:trPr>
          <w:trHeight w:val="223"/>
        </w:trPr>
        <w:tc>
          <w:tcPr>
            <w:tcW w:w="3860" w:type="dxa"/>
            <w:vAlign w:val="bottom"/>
          </w:tcPr>
          <w:p>
            <w:pPr>
              <w:ind w:left="20"/>
              <w:spacing w:after="0"/>
              <w:rPr>
                <w:sz w:val="20"/>
                <w:szCs w:val="20"/>
                <w:color w:val="auto"/>
              </w:rPr>
            </w:pPr>
            <w:r>
              <w:rPr>
                <w:rFonts w:ascii="Arial" w:cs="Arial" w:eastAsia="Arial" w:hAnsi="Arial"/>
                <w:sz w:val="16"/>
                <w:szCs w:val="16"/>
                <w:color w:val="auto"/>
              </w:rPr>
              <w:t>Other comprehensive income, net of tax</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2.5</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33"/>
        </w:trPr>
        <w:tc>
          <w:tcPr>
            <w:tcW w:w="38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Dividends declared, $0.19 per share</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(31.7)</w:t>
            </w: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(31.7)</w:t>
            </w:r>
          </w:p>
        </w:tc>
        <w:tc>
          <w:tcPr>
            <w:tcW w:w="0" w:type="dxa"/>
            <w:vAlign w:val="bottom"/>
          </w:tcPr>
          <w:p>
            <w:pPr>
              <w:spacing w:after="0"/>
              <w:rPr>
                <w:sz w:val="1"/>
                <w:szCs w:val="1"/>
                <w:color w:val="auto"/>
              </w:rPr>
            </w:pPr>
          </w:p>
        </w:tc>
      </w:tr>
      <w:tr>
        <w:trPr>
          <w:trHeight w:val="223"/>
        </w:trPr>
        <w:tc>
          <w:tcPr>
            <w:tcW w:w="3860" w:type="dxa"/>
            <w:vAlign w:val="bottom"/>
          </w:tcPr>
          <w:p>
            <w:pPr>
              <w:ind w:left="20"/>
              <w:spacing w:after="0"/>
              <w:rPr>
                <w:sz w:val="20"/>
                <w:szCs w:val="20"/>
                <w:color w:val="auto"/>
              </w:rPr>
            </w:pPr>
            <w:r>
              <w:rPr>
                <w:rFonts w:ascii="Arial" w:cs="Arial" w:eastAsia="Arial" w:hAnsi="Arial"/>
                <w:sz w:val="16"/>
                <w:szCs w:val="16"/>
                <w:color w:val="auto"/>
                <w:w w:val="97"/>
              </w:rPr>
              <w:t>Exercise of options, net of shares tendered for payment</w:t>
            </w:r>
          </w:p>
        </w:tc>
        <w:tc>
          <w:tcPr>
            <w:tcW w:w="900" w:type="dxa"/>
            <w:vAlign w:val="bottom"/>
          </w:tcPr>
          <w:p>
            <w:pPr>
              <w:jc w:val="right"/>
              <w:spacing w:after="0"/>
              <w:rPr>
                <w:sz w:val="20"/>
                <w:szCs w:val="20"/>
                <w:color w:val="auto"/>
              </w:rPr>
            </w:pPr>
            <w:r>
              <w:rPr>
                <w:rFonts w:ascii="Arial" w:cs="Arial" w:eastAsia="Arial" w:hAnsi="Arial"/>
                <w:sz w:val="16"/>
                <w:szCs w:val="16"/>
                <w:color w:val="auto"/>
              </w:rPr>
              <w:t>0.4</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14.1</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33"/>
        </w:trPr>
        <w:tc>
          <w:tcPr>
            <w:tcW w:w="38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Shares surrendered by employees to pay taxes</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23"/>
        </w:trPr>
        <w:tc>
          <w:tcPr>
            <w:tcW w:w="3860" w:type="dxa"/>
            <w:vAlign w:val="bottom"/>
          </w:tcPr>
          <w:p>
            <w:pPr>
              <w:ind w:left="20"/>
              <w:spacing w:after="0"/>
              <w:rPr>
                <w:sz w:val="20"/>
                <w:szCs w:val="20"/>
                <w:color w:val="auto"/>
              </w:rPr>
            </w:pPr>
            <w:r>
              <w:rPr>
                <w:rFonts w:ascii="Arial" w:cs="Arial" w:eastAsia="Arial" w:hAnsi="Arial"/>
                <w:sz w:val="16"/>
                <w:szCs w:val="16"/>
                <w:color w:val="auto"/>
              </w:rPr>
              <w:t>Share-based compensation</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4.8</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33"/>
        </w:trPr>
        <w:tc>
          <w:tcPr>
            <w:tcW w:w="38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 September 30, 2020</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1,698.8</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561.6</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(212.3)</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2,049.8</w:t>
            </w:r>
          </w:p>
        </w:tc>
        <w:tc>
          <w:tcPr>
            <w:tcW w:w="0" w:type="dxa"/>
            <w:vAlign w:val="bottom"/>
          </w:tcPr>
          <w:p>
            <w:pPr>
              <w:spacing w:after="0"/>
              <w:rPr>
                <w:sz w:val="1"/>
                <w:szCs w:val="1"/>
                <w:color w:val="auto"/>
              </w:rPr>
            </w:pPr>
          </w:p>
        </w:tc>
      </w:tr>
      <w:tr>
        <w:trPr>
          <w:trHeight w:val="20"/>
        </w:trPr>
        <w:tc>
          <w:tcPr>
            <w:tcW w:w="38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4300" w:type="dxa"/>
            <w:vAlign w:val="bottom"/>
          </w:tcPr>
          <w:p>
            <w:pPr>
              <w:spacing w:after="0"/>
              <w:rPr>
                <w:sz w:val="18"/>
                <w:szCs w:val="18"/>
                <w:color w:val="auto"/>
              </w:rPr>
            </w:pPr>
          </w:p>
        </w:tc>
        <w:tc>
          <w:tcPr>
            <w:tcW w:w="1720" w:type="dxa"/>
            <w:vAlign w:val="bottom"/>
            <w:gridSpan w:val="3"/>
            <w:vMerge w:val="restart"/>
          </w:tcPr>
          <w:p>
            <w:pPr>
              <w:jc w:val="right"/>
              <w:ind w:right="199"/>
              <w:spacing w:after="0"/>
              <w:rPr>
                <w:sz w:val="20"/>
                <w:szCs w:val="20"/>
                <w:color w:val="auto"/>
              </w:rPr>
            </w:pPr>
            <w:r>
              <w:rPr>
                <w:rFonts w:ascii="Arial" w:cs="Arial" w:eastAsia="Arial" w:hAnsi="Arial"/>
                <w:sz w:val="16"/>
                <w:szCs w:val="16"/>
                <w:b w:val="1"/>
                <w:bCs w:val="1"/>
                <w:color w:val="auto"/>
              </w:rPr>
              <w:t>Ordinary shares</w:t>
            </w: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center"/>
              <w:ind w:right="99"/>
              <w:spacing w:after="0"/>
              <w:rPr>
                <w:sz w:val="20"/>
                <w:szCs w:val="20"/>
                <w:color w:val="auto"/>
              </w:rPr>
            </w:pPr>
            <w:r>
              <w:rPr>
                <w:rFonts w:ascii="Arial" w:cs="Arial" w:eastAsia="Arial" w:hAnsi="Arial"/>
                <w:sz w:val="16"/>
                <w:szCs w:val="16"/>
                <w:b w:val="1"/>
                <w:bCs w:val="1"/>
                <w:color w:val="auto"/>
                <w:w w:val="89"/>
              </w:rPr>
              <w:t>Accumulated</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4300" w:type="dxa"/>
            <w:vAlign w:val="bottom"/>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146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Additional paid-in</w:t>
            </w:r>
          </w:p>
        </w:tc>
        <w:tc>
          <w:tcPr>
            <w:tcW w:w="140" w:type="dxa"/>
            <w:vAlign w:val="bottom"/>
          </w:tcPr>
          <w:p>
            <w:pPr>
              <w:spacing w:after="0"/>
              <w:rPr>
                <w:sz w:val="4"/>
                <w:szCs w:val="4"/>
                <w:color w:val="auto"/>
              </w:rPr>
            </w:pPr>
          </w:p>
        </w:tc>
        <w:tc>
          <w:tcPr>
            <w:tcW w:w="80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w w:val="94"/>
              </w:rPr>
              <w:t>Retained</w:t>
            </w:r>
          </w:p>
        </w:tc>
        <w:tc>
          <w:tcPr>
            <w:tcW w:w="200" w:type="dxa"/>
            <w:vAlign w:val="bottom"/>
          </w:tcPr>
          <w:p>
            <w:pPr>
              <w:spacing w:after="0"/>
              <w:rPr>
                <w:sz w:val="4"/>
                <w:szCs w:val="4"/>
                <w:color w:val="auto"/>
              </w:rPr>
            </w:pPr>
          </w:p>
        </w:tc>
        <w:tc>
          <w:tcPr>
            <w:tcW w:w="164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auto"/>
                <w:w w:val="94"/>
              </w:rPr>
              <w:t>other</w:t>
            </w: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43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6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4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6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4300" w:type="dxa"/>
            <w:vAlign w:val="bottom"/>
          </w:tcPr>
          <w:p>
            <w:pPr>
              <w:ind w:left="20"/>
              <w:spacing w:after="0"/>
              <w:rPr>
                <w:sz w:val="20"/>
                <w:szCs w:val="20"/>
                <w:color w:val="auto"/>
              </w:rPr>
            </w:pPr>
            <w:r>
              <w:rPr>
                <w:rFonts w:ascii="Arial" w:cs="Arial" w:eastAsia="Arial" w:hAnsi="Arial"/>
                <w:sz w:val="16"/>
                <w:szCs w:val="16"/>
                <w:i w:val="1"/>
                <w:iCs w:val="1"/>
                <w:color w:val="auto"/>
              </w:rPr>
              <w:t>In millions</w:t>
            </w:r>
          </w:p>
        </w:tc>
        <w:tc>
          <w:tcPr>
            <w:tcW w:w="840" w:type="dxa"/>
            <w:vAlign w:val="bottom"/>
          </w:tcPr>
          <w:p>
            <w:pPr>
              <w:jc w:val="right"/>
              <w:ind w:right="39"/>
              <w:spacing w:after="0"/>
              <w:rPr>
                <w:sz w:val="20"/>
                <w:szCs w:val="20"/>
                <w:color w:val="auto"/>
              </w:rPr>
            </w:pPr>
            <w:r>
              <w:rPr>
                <w:rFonts w:ascii="Arial" w:cs="Arial" w:eastAsia="Arial" w:hAnsi="Arial"/>
                <w:sz w:val="16"/>
                <w:szCs w:val="16"/>
                <w:b w:val="1"/>
                <w:bCs w:val="1"/>
                <w:color w:val="auto"/>
              </w:rPr>
              <w:t>Number</w:t>
            </w:r>
          </w:p>
        </w:tc>
        <w:tc>
          <w:tcPr>
            <w:tcW w:w="140" w:type="dxa"/>
            <w:vAlign w:val="bottom"/>
          </w:tcPr>
          <w:p>
            <w:pPr>
              <w:spacing w:after="0"/>
              <w:rPr>
                <w:sz w:val="18"/>
                <w:szCs w:val="18"/>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b w:val="1"/>
                <w:bCs w:val="1"/>
                <w:color w:val="auto"/>
                <w:w w:val="95"/>
              </w:rPr>
              <w:t>Amount</w:t>
            </w:r>
          </w:p>
        </w:tc>
        <w:tc>
          <w:tcPr>
            <w:tcW w:w="380" w:type="dxa"/>
            <w:vAlign w:val="bottom"/>
          </w:tcPr>
          <w:p>
            <w:pPr>
              <w:spacing w:after="0"/>
              <w:rPr>
                <w:sz w:val="18"/>
                <w:szCs w:val="18"/>
                <w:color w:val="auto"/>
              </w:rPr>
            </w:pPr>
          </w:p>
        </w:tc>
        <w:tc>
          <w:tcPr>
            <w:tcW w:w="1080" w:type="dxa"/>
            <w:vAlign w:val="bottom"/>
          </w:tcPr>
          <w:p>
            <w:pPr>
              <w:jc w:val="right"/>
              <w:ind w:right="359"/>
              <w:spacing w:after="0"/>
              <w:rPr>
                <w:sz w:val="20"/>
                <w:szCs w:val="20"/>
                <w:color w:val="auto"/>
              </w:rPr>
            </w:pPr>
            <w:r>
              <w:rPr>
                <w:rFonts w:ascii="Arial" w:cs="Arial" w:eastAsia="Arial" w:hAnsi="Arial"/>
                <w:sz w:val="16"/>
                <w:szCs w:val="16"/>
                <w:b w:val="1"/>
                <w:bCs w:val="1"/>
                <w:color w:val="auto"/>
              </w:rPr>
              <w:t>capital</w:t>
            </w:r>
          </w:p>
        </w:tc>
        <w:tc>
          <w:tcPr>
            <w:tcW w:w="140" w:type="dxa"/>
            <w:vAlign w:val="bottom"/>
          </w:tcPr>
          <w:p>
            <w:pPr>
              <w:spacing w:after="0"/>
              <w:rPr>
                <w:sz w:val="18"/>
                <w:szCs w:val="18"/>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b w:val="1"/>
                <w:bCs w:val="1"/>
                <w:color w:val="auto"/>
                <w:w w:val="92"/>
              </w:rPr>
              <w:t>earnings</w:t>
            </w:r>
          </w:p>
        </w:tc>
        <w:tc>
          <w:tcPr>
            <w:tcW w:w="200" w:type="dxa"/>
            <w:vAlign w:val="bottom"/>
          </w:tcPr>
          <w:p>
            <w:pPr>
              <w:spacing w:after="0"/>
              <w:rPr>
                <w:sz w:val="18"/>
                <w:szCs w:val="18"/>
                <w:color w:val="auto"/>
              </w:rPr>
            </w:pPr>
          </w:p>
        </w:tc>
        <w:tc>
          <w:tcPr>
            <w:tcW w:w="1640" w:type="dxa"/>
            <w:vAlign w:val="bottom"/>
          </w:tcPr>
          <w:p>
            <w:pPr>
              <w:jc w:val="center"/>
              <w:ind w:right="99"/>
              <w:spacing w:after="0"/>
              <w:rPr>
                <w:sz w:val="20"/>
                <w:szCs w:val="20"/>
                <w:color w:val="auto"/>
              </w:rPr>
            </w:pPr>
            <w:r>
              <w:rPr>
                <w:rFonts w:ascii="Arial" w:cs="Arial" w:eastAsia="Arial" w:hAnsi="Arial"/>
                <w:sz w:val="16"/>
                <w:szCs w:val="16"/>
                <w:b w:val="1"/>
                <w:bCs w:val="1"/>
                <w:color w:val="auto"/>
                <w:w w:val="87"/>
              </w:rPr>
              <w:t>comprehensive loss</w:t>
            </w:r>
          </w:p>
        </w:tc>
        <w:tc>
          <w:tcPr>
            <w:tcW w:w="200" w:type="dxa"/>
            <w:vAlign w:val="bottom"/>
          </w:tcPr>
          <w:p>
            <w:pPr>
              <w:spacing w:after="0"/>
              <w:rPr>
                <w:sz w:val="18"/>
                <w:szCs w:val="18"/>
                <w:color w:val="auto"/>
              </w:rPr>
            </w:pPr>
          </w:p>
        </w:tc>
        <w:tc>
          <w:tcPr>
            <w:tcW w:w="740" w:type="dxa"/>
            <w:vAlign w:val="bottom"/>
          </w:tcPr>
          <w:p>
            <w:pPr>
              <w:jc w:val="right"/>
              <w:ind w:right="1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4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 December 31, 2018</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171.4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3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1,893.8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(228.6)</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1,836.1</w:t>
            </w:r>
          </w:p>
        </w:tc>
        <w:tc>
          <w:tcPr>
            <w:tcW w:w="0" w:type="dxa"/>
            <w:vAlign w:val="bottom"/>
          </w:tcPr>
          <w:p>
            <w:pPr>
              <w:spacing w:after="0"/>
              <w:rPr>
                <w:sz w:val="1"/>
                <w:szCs w:val="1"/>
                <w:color w:val="auto"/>
              </w:rPr>
            </w:pPr>
          </w:p>
        </w:tc>
      </w:tr>
      <w:tr>
        <w:trPr>
          <w:trHeight w:val="224"/>
        </w:trPr>
        <w:tc>
          <w:tcPr>
            <w:tcW w:w="43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51.3</w:t>
            </w: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51.3</w:t>
            </w:r>
          </w:p>
        </w:tc>
        <w:tc>
          <w:tcPr>
            <w:tcW w:w="0" w:type="dxa"/>
            <w:vAlign w:val="bottom"/>
          </w:tcPr>
          <w:p>
            <w:pPr>
              <w:spacing w:after="0"/>
              <w:rPr>
                <w:sz w:val="1"/>
                <w:szCs w:val="1"/>
                <w:color w:val="auto"/>
              </w:rPr>
            </w:pPr>
          </w:p>
        </w:tc>
      </w:tr>
      <w:tr>
        <w:trPr>
          <w:trHeight w:val="33"/>
        </w:trPr>
        <w:tc>
          <w:tcPr>
            <w:tcW w:w="4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comprehensive income, net of tax</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23"/>
        </w:trPr>
        <w:tc>
          <w:tcPr>
            <w:tcW w:w="4300" w:type="dxa"/>
            <w:vAlign w:val="bottom"/>
          </w:tcPr>
          <w:p>
            <w:pPr>
              <w:ind w:left="20"/>
              <w:spacing w:after="0"/>
              <w:rPr>
                <w:sz w:val="20"/>
                <w:szCs w:val="20"/>
                <w:color w:val="auto"/>
              </w:rPr>
            </w:pPr>
            <w:r>
              <w:rPr>
                <w:rFonts w:ascii="Arial" w:cs="Arial" w:eastAsia="Arial" w:hAnsi="Arial"/>
                <w:sz w:val="16"/>
                <w:szCs w:val="16"/>
                <w:color w:val="auto"/>
              </w:rPr>
              <w:t>Dividends declared, $0.18 per share</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(31.0)</w:t>
            </w: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(31.0)</w:t>
            </w:r>
          </w:p>
        </w:tc>
        <w:tc>
          <w:tcPr>
            <w:tcW w:w="0" w:type="dxa"/>
            <w:vAlign w:val="bottom"/>
          </w:tcPr>
          <w:p>
            <w:pPr>
              <w:spacing w:after="0"/>
              <w:rPr>
                <w:sz w:val="1"/>
                <w:szCs w:val="1"/>
                <w:color w:val="auto"/>
              </w:rPr>
            </w:pPr>
          </w:p>
        </w:tc>
      </w:tr>
      <w:tr>
        <w:trPr>
          <w:trHeight w:val="33"/>
        </w:trPr>
        <w:tc>
          <w:tcPr>
            <w:tcW w:w="4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Exercise of options, net of shares tendered for payment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24"/>
        </w:trPr>
        <w:tc>
          <w:tcPr>
            <w:tcW w:w="4300" w:type="dxa"/>
            <w:vAlign w:val="bottom"/>
          </w:tcPr>
          <w:p>
            <w:pPr>
              <w:ind w:left="20"/>
              <w:spacing w:after="0"/>
              <w:rPr>
                <w:sz w:val="20"/>
                <w:szCs w:val="20"/>
                <w:color w:val="auto"/>
              </w:rPr>
            </w:pPr>
            <w:r>
              <w:rPr>
                <w:rFonts w:ascii="Arial" w:cs="Arial" w:eastAsia="Arial" w:hAnsi="Arial"/>
                <w:sz w:val="16"/>
                <w:szCs w:val="16"/>
                <w:color w:val="auto"/>
              </w:rPr>
              <w:t>Issuance of restricted shares, net of cancellations</w:t>
            </w:r>
          </w:p>
        </w:tc>
        <w:tc>
          <w:tcPr>
            <w:tcW w:w="840" w:type="dxa"/>
            <w:vAlign w:val="bottom"/>
          </w:tcPr>
          <w:p>
            <w:pPr>
              <w:jc w:val="right"/>
              <w:spacing w:after="0"/>
              <w:rPr>
                <w:sz w:val="20"/>
                <w:szCs w:val="20"/>
                <w:color w:val="auto"/>
              </w:rPr>
            </w:pPr>
            <w:r>
              <w:rPr>
                <w:rFonts w:ascii="Arial" w:cs="Arial" w:eastAsia="Arial" w:hAnsi="Arial"/>
                <w:sz w:val="16"/>
                <w:szCs w:val="16"/>
                <w:color w:val="auto"/>
              </w:rPr>
              <w:t>0.2</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Shares surrendered by employees to pay taxes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24"/>
        </w:trPr>
        <w:tc>
          <w:tcPr>
            <w:tcW w:w="4300" w:type="dxa"/>
            <w:vAlign w:val="bottom"/>
          </w:tcPr>
          <w:p>
            <w:pPr>
              <w:ind w:left="20"/>
              <w:spacing w:after="0"/>
              <w:rPr>
                <w:sz w:val="20"/>
                <w:szCs w:val="20"/>
                <w:color w:val="auto"/>
              </w:rPr>
            </w:pPr>
            <w:r>
              <w:rPr>
                <w:rFonts w:ascii="Arial" w:cs="Arial" w:eastAsia="Arial" w:hAnsi="Arial"/>
                <w:sz w:val="16"/>
                <w:szCs w:val="16"/>
                <w:color w:val="auto"/>
              </w:rPr>
              <w:t>Share-based compensation</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5.4</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33"/>
        </w:trPr>
        <w:tc>
          <w:tcPr>
            <w:tcW w:w="4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 March 31, 2019</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171.9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3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1,905.1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(225.9)</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1,870.4</w:t>
            </w:r>
          </w:p>
        </w:tc>
        <w:tc>
          <w:tcPr>
            <w:tcW w:w="0" w:type="dxa"/>
            <w:vAlign w:val="bottom"/>
          </w:tcPr>
          <w:p>
            <w:pPr>
              <w:spacing w:after="0"/>
              <w:rPr>
                <w:sz w:val="1"/>
                <w:szCs w:val="1"/>
                <w:color w:val="auto"/>
              </w:rPr>
            </w:pPr>
          </w:p>
        </w:tc>
      </w:tr>
      <w:tr>
        <w:trPr>
          <w:trHeight w:val="217"/>
        </w:trPr>
        <w:tc>
          <w:tcPr>
            <w:tcW w:w="43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Net income</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114.3</w:t>
            </w:r>
          </w:p>
        </w:tc>
        <w:tc>
          <w:tcPr>
            <w:tcW w:w="20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114.3</w:t>
            </w:r>
          </w:p>
        </w:tc>
        <w:tc>
          <w:tcPr>
            <w:tcW w:w="0" w:type="dxa"/>
            <w:vAlign w:val="bottom"/>
          </w:tcPr>
          <w:p>
            <w:pPr>
              <w:spacing w:after="0"/>
              <w:rPr>
                <w:sz w:val="1"/>
                <w:szCs w:val="1"/>
                <w:color w:val="auto"/>
              </w:rPr>
            </w:pPr>
          </w:p>
        </w:tc>
      </w:tr>
      <w:tr>
        <w:trPr>
          <w:trHeight w:val="33"/>
        </w:trPr>
        <w:tc>
          <w:tcPr>
            <w:tcW w:w="4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4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Other comprehensive loss, net of tax</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24"/>
        </w:trPr>
        <w:tc>
          <w:tcPr>
            <w:tcW w:w="4300" w:type="dxa"/>
            <w:vAlign w:val="bottom"/>
          </w:tcPr>
          <w:p>
            <w:pPr>
              <w:ind w:left="20"/>
              <w:spacing w:after="0"/>
              <w:rPr>
                <w:sz w:val="20"/>
                <w:szCs w:val="20"/>
                <w:color w:val="auto"/>
              </w:rPr>
            </w:pPr>
            <w:r>
              <w:rPr>
                <w:rFonts w:ascii="Arial" w:cs="Arial" w:eastAsia="Arial" w:hAnsi="Arial"/>
                <w:sz w:val="16"/>
                <w:szCs w:val="16"/>
                <w:color w:val="auto"/>
              </w:rPr>
              <w:t>Dividends declared, $0.18 per share</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(30.4)</w:t>
            </w: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(30.4)</w:t>
            </w:r>
          </w:p>
        </w:tc>
        <w:tc>
          <w:tcPr>
            <w:tcW w:w="0" w:type="dxa"/>
            <w:vAlign w:val="bottom"/>
          </w:tcPr>
          <w:p>
            <w:pPr>
              <w:spacing w:after="0"/>
              <w:rPr>
                <w:sz w:val="1"/>
                <w:szCs w:val="1"/>
                <w:color w:val="auto"/>
              </w:rPr>
            </w:pPr>
          </w:p>
        </w:tc>
      </w:tr>
      <w:tr>
        <w:trPr>
          <w:trHeight w:val="33"/>
        </w:trPr>
        <w:tc>
          <w:tcPr>
            <w:tcW w:w="4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 repurchases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0" w:type="dxa"/>
            <w:vAlign w:val="bottom"/>
          </w:tcPr>
          <w:p>
            <w:pPr>
              <w:spacing w:after="0"/>
              <w:rPr>
                <w:sz w:val="1"/>
                <w:szCs w:val="1"/>
                <w:color w:val="auto"/>
              </w:rPr>
            </w:pPr>
          </w:p>
        </w:tc>
      </w:tr>
      <w:tr>
        <w:trPr>
          <w:trHeight w:val="224"/>
        </w:trPr>
        <w:tc>
          <w:tcPr>
            <w:tcW w:w="4300" w:type="dxa"/>
            <w:vAlign w:val="bottom"/>
          </w:tcPr>
          <w:p>
            <w:pPr>
              <w:ind w:left="20"/>
              <w:spacing w:after="0"/>
              <w:rPr>
                <w:sz w:val="20"/>
                <w:szCs w:val="20"/>
                <w:color w:val="auto"/>
              </w:rPr>
            </w:pPr>
            <w:r>
              <w:rPr>
                <w:rFonts w:ascii="Arial" w:cs="Arial" w:eastAsia="Arial" w:hAnsi="Arial"/>
                <w:sz w:val="16"/>
                <w:szCs w:val="16"/>
                <w:color w:val="auto"/>
              </w:rPr>
              <w:t>Exercise of options, net of shares tendered for payment</w:t>
            </w:r>
          </w:p>
        </w:tc>
        <w:tc>
          <w:tcPr>
            <w:tcW w:w="840" w:type="dxa"/>
            <w:vAlign w:val="bottom"/>
          </w:tcPr>
          <w:p>
            <w:pPr>
              <w:jc w:val="right"/>
              <w:spacing w:after="0"/>
              <w:rPr>
                <w:sz w:val="20"/>
                <w:szCs w:val="20"/>
                <w:color w:val="auto"/>
              </w:rPr>
            </w:pPr>
            <w:r>
              <w:rPr>
                <w:rFonts w:ascii="Arial" w:cs="Arial" w:eastAsia="Arial" w:hAnsi="Arial"/>
                <w:sz w:val="16"/>
                <w:szCs w:val="16"/>
                <w:color w:val="auto"/>
              </w:rPr>
              <w:t>0.1</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33"/>
        </w:trPr>
        <w:tc>
          <w:tcPr>
            <w:tcW w:w="4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Issuance of restricted shares, net of cancellations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4300" w:type="dxa"/>
            <w:vAlign w:val="bottom"/>
          </w:tcPr>
          <w:p>
            <w:pPr>
              <w:ind w:left="20"/>
              <w:spacing w:after="0"/>
              <w:rPr>
                <w:sz w:val="20"/>
                <w:szCs w:val="20"/>
                <w:color w:val="auto"/>
              </w:rPr>
            </w:pPr>
            <w:r>
              <w:rPr>
                <w:rFonts w:ascii="Arial" w:cs="Arial" w:eastAsia="Arial" w:hAnsi="Arial"/>
                <w:sz w:val="16"/>
                <w:szCs w:val="16"/>
                <w:color w:val="auto"/>
              </w:rPr>
              <w:t>Shares surrendered by employees to pay taxes</w:t>
            </w:r>
          </w:p>
        </w:tc>
        <w:tc>
          <w:tcPr>
            <w:tcW w:w="840" w:type="dxa"/>
            <w:vAlign w:val="bottom"/>
          </w:tcPr>
          <w:p>
            <w:pPr>
              <w:jc w:val="right"/>
              <w:spacing w:after="0"/>
              <w:rPr>
                <w:sz w:val="20"/>
                <w:szCs w:val="20"/>
                <w:color w:val="auto"/>
              </w:rPr>
            </w:pPr>
            <w:r>
              <w:rPr>
                <w:rFonts w:ascii="Arial" w:cs="Arial" w:eastAsia="Arial" w:hAnsi="Arial"/>
                <w:sz w:val="16"/>
                <w:szCs w:val="16"/>
                <w:color w:val="auto"/>
              </w:rPr>
              <w:t>(0.1)</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(0.9)</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33"/>
        </w:trPr>
        <w:tc>
          <w:tcPr>
            <w:tcW w:w="4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Share-based compensation</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17"/>
        </w:trPr>
        <w:tc>
          <w:tcPr>
            <w:tcW w:w="43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Balance - June 30, 2019</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168.0</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3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1,761.7</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273.4</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(230.2)</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1,806.6</w:t>
            </w:r>
          </w:p>
        </w:tc>
        <w:tc>
          <w:tcPr>
            <w:tcW w:w="0" w:type="dxa"/>
            <w:vAlign w:val="bottom"/>
          </w:tcPr>
          <w:p>
            <w:pPr>
              <w:spacing w:after="0"/>
              <w:rPr>
                <w:sz w:val="1"/>
                <w:szCs w:val="1"/>
                <w:color w:val="auto"/>
              </w:rPr>
            </w:pPr>
          </w:p>
        </w:tc>
      </w:tr>
      <w:tr>
        <w:trPr>
          <w:trHeight w:val="33"/>
        </w:trPr>
        <w:tc>
          <w:tcPr>
            <w:tcW w:w="4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92.3</w:t>
            </w:r>
          </w:p>
        </w:tc>
        <w:tc>
          <w:tcPr>
            <w:tcW w:w="2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92.3</w:t>
            </w:r>
          </w:p>
        </w:tc>
        <w:tc>
          <w:tcPr>
            <w:tcW w:w="0" w:type="dxa"/>
            <w:vAlign w:val="bottom"/>
          </w:tcPr>
          <w:p>
            <w:pPr>
              <w:spacing w:after="0"/>
              <w:rPr>
                <w:sz w:val="1"/>
                <w:szCs w:val="1"/>
                <w:color w:val="auto"/>
              </w:rPr>
            </w:pPr>
          </w:p>
        </w:tc>
      </w:tr>
      <w:tr>
        <w:trPr>
          <w:trHeight w:val="223"/>
        </w:trPr>
        <w:tc>
          <w:tcPr>
            <w:tcW w:w="4300" w:type="dxa"/>
            <w:vAlign w:val="bottom"/>
          </w:tcPr>
          <w:p>
            <w:pPr>
              <w:ind w:left="20"/>
              <w:spacing w:after="0"/>
              <w:rPr>
                <w:sz w:val="20"/>
                <w:szCs w:val="20"/>
                <w:color w:val="auto"/>
              </w:rPr>
            </w:pPr>
            <w:r>
              <w:rPr>
                <w:rFonts w:ascii="Arial" w:cs="Arial" w:eastAsia="Arial" w:hAnsi="Arial"/>
                <w:sz w:val="16"/>
                <w:szCs w:val="16"/>
                <w:color w:val="auto"/>
              </w:rPr>
              <w:t>Other comprehensive loss, net of tax</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(3.9)</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33"/>
        </w:trPr>
        <w:tc>
          <w:tcPr>
            <w:tcW w:w="4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Dividends declared, $0.18 per share</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(30.4)</w:t>
            </w:r>
          </w:p>
        </w:tc>
        <w:tc>
          <w:tcPr>
            <w:tcW w:w="2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(30.4)</w:t>
            </w:r>
          </w:p>
        </w:tc>
        <w:tc>
          <w:tcPr>
            <w:tcW w:w="0" w:type="dxa"/>
            <w:vAlign w:val="bottom"/>
          </w:tcPr>
          <w:p>
            <w:pPr>
              <w:spacing w:after="0"/>
              <w:rPr>
                <w:sz w:val="1"/>
                <w:szCs w:val="1"/>
                <w:color w:val="auto"/>
              </w:rPr>
            </w:pPr>
          </w:p>
        </w:tc>
      </w:tr>
      <w:tr>
        <w:trPr>
          <w:trHeight w:val="223"/>
        </w:trPr>
        <w:tc>
          <w:tcPr>
            <w:tcW w:w="4300" w:type="dxa"/>
            <w:vAlign w:val="bottom"/>
          </w:tcPr>
          <w:p>
            <w:pPr>
              <w:ind w:left="20"/>
              <w:spacing w:after="0"/>
              <w:rPr>
                <w:sz w:val="20"/>
                <w:szCs w:val="20"/>
                <w:color w:val="auto"/>
              </w:rPr>
            </w:pPr>
            <w:r>
              <w:rPr>
                <w:rFonts w:ascii="Arial" w:cs="Arial" w:eastAsia="Arial" w:hAnsi="Arial"/>
                <w:sz w:val="16"/>
                <w:szCs w:val="16"/>
                <w:color w:val="auto"/>
              </w:rPr>
              <w:t>Exercise of options, net of shares tendered for payment</w:t>
            </w:r>
          </w:p>
        </w:tc>
        <w:tc>
          <w:tcPr>
            <w:tcW w:w="840" w:type="dxa"/>
            <w:vAlign w:val="bottom"/>
          </w:tcPr>
          <w:p>
            <w:pPr>
              <w:jc w:val="right"/>
              <w:spacing w:after="0"/>
              <w:rPr>
                <w:sz w:val="20"/>
                <w:szCs w:val="20"/>
                <w:color w:val="auto"/>
              </w:rPr>
            </w:pPr>
            <w:r>
              <w:rPr>
                <w:rFonts w:ascii="Arial" w:cs="Arial" w:eastAsia="Arial" w:hAnsi="Arial"/>
                <w:sz w:val="16"/>
                <w:szCs w:val="16"/>
                <w:color w:val="auto"/>
              </w:rPr>
              <w:t>0.1</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Shares surrendered by employees to pay taxes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24"/>
        </w:trPr>
        <w:tc>
          <w:tcPr>
            <w:tcW w:w="4300" w:type="dxa"/>
            <w:vAlign w:val="bottom"/>
          </w:tcPr>
          <w:p>
            <w:pPr>
              <w:ind w:left="20"/>
              <w:spacing w:after="0"/>
              <w:rPr>
                <w:sz w:val="20"/>
                <w:szCs w:val="20"/>
                <w:color w:val="auto"/>
              </w:rPr>
            </w:pPr>
            <w:r>
              <w:rPr>
                <w:rFonts w:ascii="Arial" w:cs="Arial" w:eastAsia="Arial" w:hAnsi="Arial"/>
                <w:sz w:val="16"/>
                <w:szCs w:val="16"/>
                <w:color w:val="auto"/>
              </w:rPr>
              <w:t>Share-based compensation</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4.6</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33"/>
        </w:trPr>
        <w:tc>
          <w:tcPr>
            <w:tcW w:w="4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 September 30, 2019</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3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1,765.9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335.3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(234.1)</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1,868.8</w:t>
            </w:r>
          </w:p>
        </w:tc>
        <w:tc>
          <w:tcPr>
            <w:tcW w:w="0" w:type="dxa"/>
            <w:vAlign w:val="bottom"/>
          </w:tcPr>
          <w:p>
            <w:pPr>
              <w:spacing w:after="0"/>
              <w:rPr>
                <w:sz w:val="1"/>
                <w:szCs w:val="1"/>
                <w:color w:val="auto"/>
              </w:rPr>
            </w:pPr>
          </w:p>
        </w:tc>
      </w:tr>
      <w:tr>
        <w:trPr>
          <w:trHeight w:val="20"/>
        </w:trPr>
        <w:tc>
          <w:tcPr>
            <w:tcW w:w="4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6"/>
          <w:szCs w:val="16"/>
          <w:b w:val="1"/>
          <w:bCs w:val="1"/>
          <w:color w:val="auto"/>
        </w:rPr>
        <w:t>Basis of Presentation and Responsibility for Interim Financial Statements</w:t>
      </w:r>
    </w:p>
    <w:p>
      <w:pPr>
        <w:spacing w:after="0" w:line="2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accompanying unaudited condensed consolidated financial statements of Pentair plc and its subsidiaries (“we,” “us,” “our,” “Pentair,” or the “Company”) have been prepared following the requirements of the U.S. Securities and Exchange Commission (“SEC”) for interim reporting. As permitted under those rules, certain footnotes or other financial information that are normally required by accounting principles generally accepted in the United States of America (“GAAP”) can be condensed or omitted.</w:t>
      </w:r>
    </w:p>
    <w:p>
      <w:pPr>
        <w:spacing w:after="0" w:line="13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are responsible for the unaudited condensed consolidated financial statements included in this document. The financial statements include all normal recurring adjustments that are considered necessary for the fair presentation of our financial position and operating results. As these are condensed financial statements, one should also read our consolidated financial statements and notes thereto, which are included in our Annual Report on Form 10-K for the year ended December 31, 2019.</w:t>
      </w:r>
    </w:p>
    <w:p>
      <w:pPr>
        <w:spacing w:after="0" w:line="13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Revenues, expenses, cash flows, assets and liabilities can and do vary during each quarter of the year. Therefore, the results and trends in these interim financial statements may not be indicative of those for a full year.</w:t>
      </w:r>
    </w:p>
    <w:p>
      <w:pPr>
        <w:spacing w:after="0" w:line="19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March 2020, the World Health Organization declared the novel coronavirus 2019 (“COVID-19”) a global pandemic. The COVID-19 pandemic has had and may continue to have an unfavorable impact on certain parts of our business. The broader implications of the COVID-19 pandemic on our business, financial condition and results of operations remain uncertain and will depend on certain developments, including the duration and severity of the COVID-19 pandemic, its impact on our customers and suppliers and the range of governmental and community reactions to the pandemic. We may continue to experience reduced customer demand or constrained supply that could materially adversely impact our business, financial condition, results of operations, liquidity and cash flows in future periods.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Our fiscal year ends on December 31. We report our interim quarterly periods on a calendar quarter basis.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new accounting standards</w:t>
      </w:r>
    </w:p>
    <w:p>
      <w:pPr>
        <w:spacing w:after="0" w:line="23"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color w:val="auto"/>
        </w:rPr>
        <w:t>On January 1, 2020, we adopted Accounting Standards Update No. 2016-13 “Financial Instruments-Credit Losses” and the related amendments (the “new standard”). The new standard changes the methodology used to measure credit losses for certain financial instruments and financial assets, including trade receivables. The approach utilizes an expected credit loss model that requires consideration of a broader range of information to estimate expected credit losses over the lifetime of an asset, which may result in earlier recognition of credit losses than under the previous accounting standards.</w:t>
      </w:r>
    </w:p>
    <w:p>
      <w:pPr>
        <w:spacing w:after="0" w:line="188"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Under the new standard, we record an allowance for credit losses, reducing our trade receivables balance to an amount we estimate is collectible from our customers. The estimates used in determining the allowance for credit losses are based on historical collection experience, including write-offs and recoveries, periodic credit evaluations of our customers’ financial situation, and current circumstances as well as reasonable and supportable forecasts of future economic conditions. The adoption of this new standard did not have a material impact on our consolidated financial statements.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80" w:type="dxa"/>
            <w:vAlign w:val="bottom"/>
          </w:tcPr>
          <w:p>
            <w:pPr>
              <w:spacing w:after="0"/>
              <w:rPr>
                <w:sz w:val="20"/>
                <w:szCs w:val="20"/>
                <w:color w:val="auto"/>
              </w:rPr>
            </w:pPr>
            <w:r>
              <w:rPr>
                <w:rFonts w:ascii="Arial" w:cs="Arial" w:eastAsia="Arial" w:hAnsi="Arial"/>
                <w:sz w:val="18"/>
                <w:szCs w:val="18"/>
                <w:color w:val="auto"/>
                <w:w w:val="94"/>
              </w:rPr>
              <w:t>The following table summarizes the activity in the allowance for credit losses for the nine months ended September 30, 2020:</w:t>
            </w:r>
          </w:p>
        </w:tc>
        <w:tc>
          <w:tcPr>
            <w:tcW w:w="4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46"/>
        </w:trPr>
        <w:tc>
          <w:tcPr>
            <w:tcW w:w="9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September 30,</w:t>
            </w:r>
          </w:p>
        </w:tc>
      </w:tr>
      <w:tr>
        <w:trPr>
          <w:trHeight w:val="234"/>
        </w:trPr>
        <w:tc>
          <w:tcPr>
            <w:tcW w:w="9380" w:type="dxa"/>
            <w:vAlign w:val="bottom"/>
          </w:tcPr>
          <w:p>
            <w:pPr>
              <w:ind w:left="20"/>
              <w:spacing w:after="0"/>
              <w:rPr>
                <w:sz w:val="20"/>
                <w:szCs w:val="20"/>
                <w:color w:val="auto"/>
              </w:rPr>
            </w:pPr>
            <w:r>
              <w:rPr>
                <w:rFonts w:ascii="Arial" w:cs="Arial" w:eastAsia="Arial" w:hAnsi="Arial"/>
                <w:sz w:val="18"/>
                <w:szCs w:val="18"/>
                <w:i w:val="1"/>
                <w:iCs w:val="1"/>
                <w:color w:val="auto"/>
              </w:rPr>
              <w:t>In millions</w:t>
            </w:r>
          </w:p>
        </w:tc>
        <w:tc>
          <w:tcPr>
            <w:tcW w:w="480" w:type="dxa"/>
            <w:vAlign w:val="bottom"/>
          </w:tcPr>
          <w:p>
            <w:pPr>
              <w:spacing w:after="0"/>
              <w:rPr>
                <w:sz w:val="20"/>
                <w:szCs w:val="20"/>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r>
      <w:tr>
        <w:trPr>
          <w:trHeight w:val="27"/>
        </w:trPr>
        <w:tc>
          <w:tcPr>
            <w:tcW w:w="93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9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43"/>
        </w:trPr>
        <w:tc>
          <w:tcPr>
            <w:tcW w:w="9380" w:type="dxa"/>
            <w:vAlign w:val="bottom"/>
          </w:tcPr>
          <w:p>
            <w:pPr>
              <w:ind w:left="20"/>
              <w:spacing w:after="0"/>
              <w:rPr>
                <w:sz w:val="20"/>
                <w:szCs w:val="20"/>
                <w:color w:val="auto"/>
              </w:rPr>
            </w:pPr>
            <w:r>
              <w:rPr>
                <w:rFonts w:ascii="Arial" w:cs="Arial" w:eastAsia="Arial" w:hAnsi="Arial"/>
                <w:sz w:val="18"/>
                <w:szCs w:val="18"/>
                <w:color w:val="auto"/>
              </w:rPr>
              <w:t>Bad debt expense</w:t>
            </w:r>
          </w:p>
        </w:tc>
        <w:tc>
          <w:tcPr>
            <w:tcW w:w="4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7"/>
        </w:trPr>
        <w:tc>
          <w:tcPr>
            <w:tcW w:w="9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Write-offs, net of recoveries</w:t>
            </w:r>
          </w:p>
        </w:tc>
        <w:tc>
          <w:tcPr>
            <w:tcW w:w="4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70"/>
        </w:trPr>
        <w:tc>
          <w:tcPr>
            <w:tcW w:w="9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(1)</w:t>
            </w:r>
          </w:p>
        </w:tc>
        <w:tc>
          <w:tcPr>
            <w:tcW w:w="48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89"/>
        </w:trPr>
        <w:tc>
          <w:tcPr>
            <w:tcW w:w="9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0"/>
        </w:trPr>
        <w:tc>
          <w:tcPr>
            <w:tcW w:w="9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7" w:lineRule="exact"/>
        <w:rPr>
          <w:sz w:val="20"/>
          <w:szCs w:val="20"/>
          <w:color w:val="auto"/>
        </w:rPr>
      </w:pPr>
    </w:p>
    <w:p>
      <w:pPr>
        <w:ind w:left="20"/>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6"/>
          <w:szCs w:val="16"/>
          <w:color w:val="auto"/>
        </w:rPr>
        <w:t xml:space="preserve"> Other amounts are primarily the effects of changes in currency translations and the impact of allowance for credits.</w:t>
      </w:r>
    </w:p>
    <w:p>
      <w:pPr>
        <w:spacing w:after="0" w:line="26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On March 2, 2020, we early adopted the SEC’s rule titled “Financial Disclosures about Guarantors and Issuers of Guaranteed Securities and Affiliates Whose Securities Collateralize a Registrant’s Securities,” which simplifies the disclosure requirements related to our guaranteed registered securities under Rule 3-10 of Regulation S-X.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27" w:lineRule="exact"/>
        <w:rPr>
          <w:sz w:val="20"/>
          <w:szCs w:val="20"/>
          <w:color w:val="auto"/>
        </w:rPr>
      </w:pPr>
    </w:p>
    <w:p>
      <w:pPr>
        <w:ind w:right="180"/>
        <w:spacing w:after="0" w:line="323" w:lineRule="auto"/>
        <w:rPr>
          <w:sz w:val="20"/>
          <w:szCs w:val="20"/>
          <w:color w:val="auto"/>
        </w:rPr>
      </w:pPr>
      <w:r>
        <w:rPr>
          <w:rFonts w:ascii="Arial" w:cs="Arial" w:eastAsia="Arial" w:hAnsi="Arial"/>
          <w:sz w:val="16"/>
          <w:szCs w:val="16"/>
          <w:color w:val="auto"/>
        </w:rPr>
        <w:t>We disaggregate our revenue from contracts with customers by segment, geographic location and vertical, as we believe these best depict how the nature, amount, timing and uncertainty of our revenue and cash flows are affected by economic factors. Refer to Note 14 for revenue disaggregated by segment.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Geographic net sales information, based on geographic destination of the sale, was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40" w:type="dxa"/>
            <w:vAlign w:val="bottom"/>
            <w:gridSpan w:val="3"/>
          </w:tcPr>
          <w:p>
            <w:pPr>
              <w:jc w:val="right"/>
              <w:ind w:right="69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20"/>
                <w:szCs w:val="20"/>
                <w:color w:val="auto"/>
              </w:rPr>
            </w:pPr>
          </w:p>
        </w:tc>
        <w:tc>
          <w:tcPr>
            <w:tcW w:w="292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Nine months ended</w:t>
            </w:r>
          </w:p>
        </w:tc>
      </w:tr>
      <w:tr>
        <w:trPr>
          <w:trHeight w:val="27"/>
        </w:trPr>
        <w:tc>
          <w:tcPr>
            <w:tcW w:w="49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8"/>
        </w:trPr>
        <w:tc>
          <w:tcPr>
            <w:tcW w:w="4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September 30,</w:t>
            </w:r>
          </w:p>
        </w:tc>
        <w:tc>
          <w:tcPr>
            <w:tcW w:w="200" w:type="dxa"/>
            <w:vAlign w:val="bottom"/>
          </w:tcPr>
          <w:p>
            <w:pPr>
              <w:spacing w:after="0"/>
              <w:rPr>
                <w:sz w:val="18"/>
                <w:szCs w:val="18"/>
                <w:color w:val="auto"/>
              </w:rPr>
            </w:pPr>
          </w:p>
        </w:tc>
        <w:tc>
          <w:tcPr>
            <w:tcW w:w="140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September 30,</w:t>
            </w:r>
          </w:p>
        </w:tc>
        <w:tc>
          <w:tcPr>
            <w:tcW w:w="260" w:type="dxa"/>
            <w:vAlign w:val="bottom"/>
          </w:tcPr>
          <w:p>
            <w:pPr>
              <w:spacing w:after="0"/>
              <w:rPr>
                <w:sz w:val="18"/>
                <w:szCs w:val="18"/>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September 30,</w:t>
            </w:r>
          </w:p>
        </w:tc>
        <w:tc>
          <w:tcPr>
            <w:tcW w:w="200" w:type="dxa"/>
            <w:vAlign w:val="bottom"/>
          </w:tcPr>
          <w:p>
            <w:pPr>
              <w:spacing w:after="0"/>
              <w:rPr>
                <w:sz w:val="18"/>
                <w:szCs w:val="18"/>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September 30,</w:t>
            </w:r>
          </w:p>
        </w:tc>
      </w:tr>
      <w:tr>
        <w:trPr>
          <w:trHeight w:val="234"/>
        </w:trPr>
        <w:tc>
          <w:tcPr>
            <w:tcW w:w="4920" w:type="dxa"/>
            <w:vAlign w:val="bottom"/>
          </w:tcPr>
          <w:p>
            <w:pPr>
              <w:ind w:left="20"/>
              <w:spacing w:after="0"/>
              <w:rPr>
                <w:sz w:val="20"/>
                <w:szCs w:val="20"/>
                <w:color w:val="auto"/>
              </w:rPr>
            </w:pPr>
            <w:r>
              <w:rPr>
                <w:rFonts w:ascii="Arial" w:cs="Arial" w:eastAsia="Arial" w:hAnsi="Arial"/>
                <w:sz w:val="18"/>
                <w:szCs w:val="18"/>
                <w:i w:val="1"/>
                <w:iCs w:val="1"/>
                <w:color w:val="auto"/>
              </w:rPr>
              <w:t>In millions</w:t>
            </w:r>
          </w:p>
        </w:tc>
        <w:tc>
          <w:tcPr>
            <w:tcW w:w="160" w:type="dxa"/>
            <w:vAlign w:val="bottom"/>
          </w:tcPr>
          <w:p>
            <w:pPr>
              <w:spacing w:after="0"/>
              <w:rPr>
                <w:sz w:val="20"/>
                <w:szCs w:val="20"/>
                <w:color w:val="auto"/>
              </w:rPr>
            </w:pPr>
          </w:p>
        </w:tc>
        <w:tc>
          <w:tcPr>
            <w:tcW w:w="134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14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r>
      <w:tr>
        <w:trPr>
          <w:trHeight w:val="27"/>
        </w:trPr>
        <w:tc>
          <w:tcPr>
            <w:tcW w:w="4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3"/>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445.0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1,487.9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1,382.1</w:t>
            </w:r>
          </w:p>
        </w:tc>
      </w:tr>
      <w:tr>
        <w:trPr>
          <w:trHeight w:val="243"/>
        </w:trPr>
        <w:tc>
          <w:tcPr>
            <w:tcW w:w="4920" w:type="dxa"/>
            <w:vAlign w:val="bottom"/>
          </w:tcPr>
          <w:p>
            <w:pPr>
              <w:ind w:left="20"/>
              <w:spacing w:after="0"/>
              <w:rPr>
                <w:sz w:val="20"/>
                <w:szCs w:val="20"/>
                <w:color w:val="auto"/>
              </w:rPr>
            </w:pPr>
            <w:r>
              <w:rPr>
                <w:rFonts w:ascii="Arial" w:cs="Arial" w:eastAsia="Arial" w:hAnsi="Arial"/>
                <w:sz w:val="18"/>
                <w:szCs w:val="18"/>
                <w:color w:val="auto"/>
              </w:rPr>
              <w:t>Western Europe</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92.6</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97.8</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281.3</w:t>
            </w: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309.0</w:t>
            </w:r>
          </w:p>
        </w:tc>
      </w:tr>
      <w:tr>
        <w:trPr>
          <w:trHeight w:val="27"/>
        </w:trPr>
        <w:tc>
          <w:tcPr>
            <w:tcW w:w="4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Developing </w:t>
            </w:r>
            <w:r>
              <w:rPr>
                <w:rFonts w:ascii="Arial" w:cs="Arial" w:eastAsia="Arial" w:hAnsi="Arial"/>
                <w:sz w:val="23"/>
                <w:szCs w:val="23"/>
                <w:color w:val="auto"/>
                <w:vertAlign w:val="superscript"/>
              </w:rPr>
              <w:t>(1)</w:t>
            </w: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119.9</w:t>
            </w:r>
          </w:p>
        </w:tc>
        <w:tc>
          <w:tcPr>
            <w:tcW w:w="26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303.2</w:t>
            </w:r>
          </w:p>
        </w:tc>
        <w:tc>
          <w:tcPr>
            <w:tcW w:w="20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357.8</w:t>
            </w:r>
          </w:p>
        </w:tc>
      </w:tr>
      <w:tr>
        <w:trPr>
          <w:trHeight w:val="270"/>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 xml:space="preserve">Other Developed </w:t>
            </w:r>
            <w:r>
              <w:rPr>
                <w:rFonts w:ascii="Arial" w:cs="Arial" w:eastAsia="Arial" w:hAnsi="Arial"/>
                <w:sz w:val="23"/>
                <w:szCs w:val="23"/>
                <w:color w:val="auto"/>
                <w:vertAlign w:val="superscript"/>
              </w:rPr>
              <w:t>(2)</w:t>
            </w:r>
          </w:p>
        </w:tc>
        <w:tc>
          <w:tcPr>
            <w:tcW w:w="16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w:t>
            </w:r>
          </w:p>
        </w:tc>
        <w:tc>
          <w:tcPr>
            <w:tcW w:w="20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50.9</w:t>
            </w:r>
          </w:p>
        </w:tc>
        <w:tc>
          <w:tcPr>
            <w:tcW w:w="26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149.4</w:t>
            </w:r>
          </w:p>
        </w:tc>
        <w:tc>
          <w:tcPr>
            <w:tcW w:w="2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153.1</w:t>
            </w:r>
          </w:p>
        </w:tc>
      </w:tr>
      <w:tr>
        <w:trPr>
          <w:trHeight w:val="262"/>
        </w:trPr>
        <w:tc>
          <w:tcPr>
            <w:tcW w:w="4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Consolidated net sales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713.6</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2,221.8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2,202.0</w:t>
            </w:r>
          </w:p>
        </w:tc>
      </w:tr>
      <w:tr>
        <w:trPr>
          <w:trHeight w:val="20"/>
        </w:trPr>
        <w:tc>
          <w:tcPr>
            <w:tcW w:w="4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 w:lineRule="exact"/>
        <w:rPr>
          <w:sz w:val="20"/>
          <w:szCs w:val="20"/>
          <w:color w:val="auto"/>
        </w:rPr>
      </w:pPr>
    </w:p>
    <w:p>
      <w:pPr>
        <w:ind w:left="180" w:hanging="154"/>
        <w:spacing w:after="0"/>
        <w:tabs>
          <w:tab w:leader="none" w:pos="180" w:val="left"/>
        </w:tabs>
        <w:numPr>
          <w:ilvl w:val="0"/>
          <w:numId w:val="4"/>
        </w:numPr>
        <w:rPr>
          <w:rFonts w:ascii="Arial" w:cs="Arial" w:eastAsia="Arial" w:hAnsi="Arial"/>
          <w:sz w:val="18"/>
          <w:szCs w:val="18"/>
          <w:color w:val="auto"/>
          <w:vertAlign w:val="superscript"/>
        </w:rPr>
      </w:pPr>
      <w:r>
        <w:rPr>
          <w:rFonts w:ascii="Arial" w:cs="Arial" w:eastAsia="Arial" w:hAnsi="Arial"/>
          <w:sz w:val="13"/>
          <w:szCs w:val="13"/>
          <w:color w:val="auto"/>
        </w:rPr>
        <w:t>Developing includes China, Eastern Europe, Latin America, the Middle East and Southeast Asia.</w:t>
      </w:r>
    </w:p>
    <w:p>
      <w:pPr>
        <w:spacing w:after="0" w:line="23" w:lineRule="exact"/>
        <w:rPr>
          <w:rFonts w:ascii="Arial" w:cs="Arial" w:eastAsia="Arial" w:hAnsi="Arial"/>
          <w:sz w:val="18"/>
          <w:szCs w:val="18"/>
          <w:color w:val="auto"/>
          <w:vertAlign w:val="superscript"/>
        </w:rPr>
      </w:pPr>
    </w:p>
    <w:p>
      <w:pPr>
        <w:ind w:left="200" w:hanging="174"/>
        <w:spacing w:after="0" w:line="191" w:lineRule="auto"/>
        <w:tabs>
          <w:tab w:leader="none" w:pos="200" w:val="left"/>
        </w:tabs>
        <w:numPr>
          <w:ilvl w:val="0"/>
          <w:numId w:val="4"/>
        </w:numPr>
        <w:rPr>
          <w:rFonts w:ascii="Arial" w:cs="Arial" w:eastAsia="Arial" w:hAnsi="Arial"/>
          <w:sz w:val="21"/>
          <w:szCs w:val="21"/>
          <w:color w:val="auto"/>
          <w:vertAlign w:val="superscript"/>
        </w:rPr>
      </w:pPr>
      <w:r>
        <w:rPr>
          <w:rFonts w:ascii="Arial" w:cs="Arial" w:eastAsia="Arial" w:hAnsi="Arial"/>
          <w:sz w:val="15"/>
          <w:szCs w:val="15"/>
          <w:color w:val="auto"/>
        </w:rPr>
        <w:t>Other Developed includes Australia, Canada and Japan.</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Vertical net sales information was as follows:</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65"/>
        </w:trPr>
        <w:tc>
          <w:tcPr>
            <w:tcW w:w="4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40" w:type="dxa"/>
            <w:vAlign w:val="bottom"/>
            <w:gridSpan w:val="3"/>
          </w:tcPr>
          <w:p>
            <w:pPr>
              <w:jc w:val="right"/>
              <w:ind w:right="69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24"/>
                <w:szCs w:val="24"/>
                <w:color w:val="auto"/>
              </w:rPr>
            </w:pPr>
          </w:p>
        </w:tc>
        <w:tc>
          <w:tcPr>
            <w:tcW w:w="292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Nine months ended</w:t>
            </w:r>
          </w:p>
        </w:tc>
      </w:tr>
      <w:tr>
        <w:trPr>
          <w:trHeight w:val="27"/>
        </w:trPr>
        <w:tc>
          <w:tcPr>
            <w:tcW w:w="49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8"/>
        </w:trPr>
        <w:tc>
          <w:tcPr>
            <w:tcW w:w="4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September 30,</w:t>
            </w:r>
          </w:p>
        </w:tc>
        <w:tc>
          <w:tcPr>
            <w:tcW w:w="200" w:type="dxa"/>
            <w:vAlign w:val="bottom"/>
          </w:tcPr>
          <w:p>
            <w:pPr>
              <w:spacing w:after="0"/>
              <w:rPr>
                <w:sz w:val="18"/>
                <w:szCs w:val="18"/>
                <w:color w:val="auto"/>
              </w:rPr>
            </w:pPr>
          </w:p>
        </w:tc>
        <w:tc>
          <w:tcPr>
            <w:tcW w:w="140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September 30,</w:t>
            </w:r>
          </w:p>
        </w:tc>
        <w:tc>
          <w:tcPr>
            <w:tcW w:w="260" w:type="dxa"/>
            <w:vAlign w:val="bottom"/>
          </w:tcPr>
          <w:p>
            <w:pPr>
              <w:spacing w:after="0"/>
              <w:rPr>
                <w:sz w:val="18"/>
                <w:szCs w:val="18"/>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September 30,</w:t>
            </w:r>
          </w:p>
        </w:tc>
        <w:tc>
          <w:tcPr>
            <w:tcW w:w="200" w:type="dxa"/>
            <w:vAlign w:val="bottom"/>
          </w:tcPr>
          <w:p>
            <w:pPr>
              <w:spacing w:after="0"/>
              <w:rPr>
                <w:sz w:val="18"/>
                <w:szCs w:val="18"/>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September 30,</w:t>
            </w:r>
          </w:p>
        </w:tc>
      </w:tr>
      <w:tr>
        <w:trPr>
          <w:trHeight w:val="234"/>
        </w:trPr>
        <w:tc>
          <w:tcPr>
            <w:tcW w:w="4920" w:type="dxa"/>
            <w:vAlign w:val="bottom"/>
          </w:tcPr>
          <w:p>
            <w:pPr>
              <w:ind w:left="20"/>
              <w:spacing w:after="0"/>
              <w:rPr>
                <w:sz w:val="20"/>
                <w:szCs w:val="20"/>
                <w:color w:val="auto"/>
              </w:rPr>
            </w:pPr>
            <w:r>
              <w:rPr>
                <w:rFonts w:ascii="Arial" w:cs="Arial" w:eastAsia="Arial" w:hAnsi="Arial"/>
                <w:sz w:val="18"/>
                <w:szCs w:val="18"/>
                <w:i w:val="1"/>
                <w:iCs w:val="1"/>
                <w:color w:val="auto"/>
              </w:rPr>
              <w:t>In millions</w:t>
            </w:r>
          </w:p>
        </w:tc>
        <w:tc>
          <w:tcPr>
            <w:tcW w:w="160" w:type="dxa"/>
            <w:vAlign w:val="bottom"/>
          </w:tcPr>
          <w:p>
            <w:pPr>
              <w:spacing w:after="0"/>
              <w:rPr>
                <w:sz w:val="20"/>
                <w:szCs w:val="20"/>
                <w:color w:val="auto"/>
              </w:rPr>
            </w:pPr>
          </w:p>
        </w:tc>
        <w:tc>
          <w:tcPr>
            <w:tcW w:w="134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14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r>
      <w:tr>
        <w:trPr>
          <w:trHeight w:val="27"/>
        </w:trPr>
        <w:tc>
          <w:tcPr>
            <w:tcW w:w="4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3"/>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Residential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395.5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1,375.8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1,230.1</w:t>
            </w:r>
          </w:p>
        </w:tc>
      </w:tr>
      <w:tr>
        <w:trPr>
          <w:trHeight w:val="243"/>
        </w:trPr>
        <w:tc>
          <w:tcPr>
            <w:tcW w:w="4920" w:type="dxa"/>
            <w:vAlign w:val="bottom"/>
          </w:tcPr>
          <w:p>
            <w:pPr>
              <w:ind w:left="20"/>
              <w:spacing w:after="0"/>
              <w:rPr>
                <w:sz w:val="20"/>
                <w:szCs w:val="20"/>
                <w:color w:val="auto"/>
              </w:rPr>
            </w:pPr>
            <w:r>
              <w:rPr>
                <w:rFonts w:ascii="Arial" w:cs="Arial" w:eastAsia="Arial" w:hAnsi="Arial"/>
                <w:sz w:val="18"/>
                <w:szCs w:val="18"/>
                <w:color w:val="auto"/>
              </w:rPr>
              <w:t>Commercial</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126.0</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154.3</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391.8</w:t>
            </w: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475.7</w:t>
            </w:r>
          </w:p>
        </w:tc>
      </w:tr>
      <w:tr>
        <w:trPr>
          <w:trHeight w:val="27"/>
        </w:trPr>
        <w:tc>
          <w:tcPr>
            <w:tcW w:w="4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5"/>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Industrial</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152.2</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163.8</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454.2</w:t>
            </w: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496.2</w:t>
            </w:r>
          </w:p>
        </w:tc>
      </w:tr>
      <w:tr>
        <w:trPr>
          <w:trHeight w:val="237"/>
        </w:trPr>
        <w:tc>
          <w:tcPr>
            <w:tcW w:w="49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Consolidated net sales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798.5</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713.6</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2,221.8</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2,202.0</w:t>
            </w:r>
          </w:p>
        </w:tc>
      </w:tr>
      <w:tr>
        <w:trPr>
          <w:trHeight w:val="27"/>
        </w:trPr>
        <w:tc>
          <w:tcPr>
            <w:tcW w:w="4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4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obligations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On September 30, 2020, we had $61.5 million of remaining performance obligations on contracts with an original expected duration of one year or more.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We expect to recognize the majority of our remaining performance obligations on these contracts within the next 12 to 18 months.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liabilities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Contract assets and liabilities consisted of the following:</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September 30,</w:t>
            </w:r>
          </w:p>
        </w:tc>
        <w:tc>
          <w:tcPr>
            <w:tcW w:w="200" w:type="dxa"/>
            <w:vAlign w:val="bottom"/>
          </w:tcPr>
          <w:p>
            <w:pPr>
              <w:spacing w:after="0"/>
              <w:rPr>
                <w:sz w:val="18"/>
                <w:szCs w:val="18"/>
                <w:color w:val="auto"/>
              </w:rPr>
            </w:pPr>
          </w:p>
        </w:tc>
        <w:tc>
          <w:tcPr>
            <w:tcW w:w="136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w:t>
            </w:r>
          </w:p>
        </w:tc>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4"/>
        </w:trPr>
        <w:tc>
          <w:tcPr>
            <w:tcW w:w="3180" w:type="dxa"/>
            <w:vAlign w:val="bottom"/>
          </w:tcPr>
          <w:p>
            <w:pPr>
              <w:ind w:left="20"/>
              <w:spacing w:after="0"/>
              <w:rPr>
                <w:sz w:val="20"/>
                <w:szCs w:val="20"/>
                <w:color w:val="auto"/>
              </w:rPr>
            </w:pPr>
            <w:r>
              <w:rPr>
                <w:rFonts w:ascii="Arial" w:cs="Arial" w:eastAsia="Arial" w:hAnsi="Arial"/>
                <w:sz w:val="18"/>
                <w:szCs w:val="18"/>
                <w:i w:val="1"/>
                <w:iCs w:val="1"/>
                <w:color w:val="auto"/>
              </w:rPr>
              <w:t>In millions</w:t>
            </w:r>
          </w:p>
        </w:tc>
        <w:tc>
          <w:tcPr>
            <w:tcW w:w="1960" w:type="dxa"/>
            <w:vAlign w:val="bottom"/>
          </w:tcPr>
          <w:p>
            <w:pPr>
              <w:spacing w:after="0"/>
              <w:rPr>
                <w:sz w:val="20"/>
                <w:szCs w:val="20"/>
                <w:color w:val="auto"/>
              </w:rPr>
            </w:pPr>
          </w:p>
        </w:tc>
        <w:tc>
          <w:tcPr>
            <w:tcW w:w="132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136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340" w:type="dxa"/>
            <w:vAlign w:val="bottom"/>
          </w:tcPr>
          <w:p>
            <w:pPr>
              <w:spacing w:after="0"/>
              <w:rPr>
                <w:sz w:val="20"/>
                <w:szCs w:val="20"/>
                <w:color w:val="auto"/>
              </w:rPr>
            </w:pPr>
          </w:p>
        </w:tc>
        <w:tc>
          <w:tcPr>
            <w:tcW w:w="1440" w:type="dxa"/>
            <w:vAlign w:val="bottom"/>
          </w:tcPr>
          <w:p>
            <w:pPr>
              <w:ind w:left="140"/>
              <w:spacing w:after="0"/>
              <w:rPr>
                <w:sz w:val="20"/>
                <w:szCs w:val="20"/>
                <w:color w:val="auto"/>
              </w:rPr>
            </w:pPr>
            <w:r>
              <w:rPr>
                <w:rFonts w:ascii="Arial" w:cs="Arial" w:eastAsia="Arial" w:hAnsi="Arial"/>
                <w:sz w:val="18"/>
                <w:szCs w:val="18"/>
                <w:b w:val="1"/>
                <w:bCs w:val="1"/>
                <w:color w:val="auto"/>
              </w:rPr>
              <w:t>$ Change</w:t>
            </w:r>
          </w:p>
        </w:tc>
        <w:tc>
          <w:tcPr>
            <w:tcW w:w="1240" w:type="dxa"/>
            <w:vAlign w:val="bottom"/>
          </w:tcPr>
          <w:p>
            <w:pPr>
              <w:jc w:val="right"/>
              <w:ind w:right="110"/>
              <w:spacing w:after="0"/>
              <w:rPr>
                <w:sz w:val="20"/>
                <w:szCs w:val="20"/>
                <w:color w:val="auto"/>
              </w:rPr>
            </w:pPr>
            <w:r>
              <w:rPr>
                <w:rFonts w:ascii="Arial" w:cs="Arial" w:eastAsia="Arial" w:hAnsi="Arial"/>
                <w:sz w:val="18"/>
                <w:szCs w:val="18"/>
                <w:b w:val="1"/>
                <w:bCs w:val="1"/>
                <w:color w:val="auto"/>
              </w:rPr>
              <w:t>% Change</w:t>
            </w:r>
          </w:p>
        </w:tc>
        <w:tc>
          <w:tcPr>
            <w:tcW w:w="200" w:type="dxa"/>
            <w:vAlign w:val="bottom"/>
          </w:tcPr>
          <w:p>
            <w:pPr>
              <w:spacing w:after="0"/>
              <w:rPr>
                <w:sz w:val="20"/>
                <w:szCs w:val="20"/>
                <w:color w:val="auto"/>
              </w:rPr>
            </w:pPr>
          </w:p>
        </w:tc>
      </w:tr>
      <w:tr>
        <w:trPr>
          <w:trHeight w:val="27"/>
        </w:trPr>
        <w:tc>
          <w:tcPr>
            <w:tcW w:w="31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43"/>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assets</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41.0</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14.6</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3180" w:type="dxa"/>
            <w:vAlign w:val="bottom"/>
          </w:tcPr>
          <w:p>
            <w:pPr>
              <w:ind w:left="20"/>
              <w:spacing w:after="0"/>
              <w:rPr>
                <w:sz w:val="20"/>
                <w:szCs w:val="20"/>
                <w:color w:val="auto"/>
              </w:rPr>
            </w:pPr>
            <w:r>
              <w:rPr>
                <w:rFonts w:ascii="Arial" w:cs="Arial" w:eastAsia="Arial" w:hAnsi="Arial"/>
                <w:sz w:val="18"/>
                <w:szCs w:val="18"/>
                <w:color w:val="auto"/>
              </w:rPr>
              <w:t>Contract liabilities</w:t>
            </w:r>
          </w:p>
        </w:tc>
        <w:tc>
          <w:tcPr>
            <w:tcW w:w="19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29.1</w:t>
            </w:r>
          </w:p>
        </w:tc>
        <w:tc>
          <w:tcPr>
            <w:tcW w:w="2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32.6</w:t>
            </w:r>
          </w:p>
        </w:tc>
        <w:tc>
          <w:tcPr>
            <w:tcW w:w="340" w:type="dxa"/>
            <w:vAlign w:val="bottom"/>
          </w:tcPr>
          <w:p>
            <w:pPr>
              <w:spacing w:after="0"/>
              <w:rPr>
                <w:sz w:val="21"/>
                <w:szCs w:val="21"/>
                <w:color w:val="auto"/>
              </w:rPr>
            </w:pPr>
          </w:p>
        </w:tc>
        <w:tc>
          <w:tcPr>
            <w:tcW w:w="1440" w:type="dxa"/>
            <w:vAlign w:val="bottom"/>
          </w:tcPr>
          <w:p>
            <w:pPr>
              <w:ind w:left="860"/>
              <w:spacing w:after="0"/>
              <w:rPr>
                <w:sz w:val="20"/>
                <w:szCs w:val="20"/>
                <w:color w:val="auto"/>
              </w:rPr>
            </w:pPr>
            <w:r>
              <w:rPr>
                <w:rFonts w:ascii="Arial" w:cs="Arial" w:eastAsia="Arial" w:hAnsi="Arial"/>
                <w:sz w:val="18"/>
                <w:szCs w:val="18"/>
                <w:color w:val="auto"/>
              </w:rPr>
              <w:t>(3.5)</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(10.7)%</w:t>
            </w:r>
          </w:p>
        </w:tc>
      </w:tr>
      <w:tr>
        <w:trPr>
          <w:trHeight w:val="27"/>
        </w:trPr>
        <w:tc>
          <w:tcPr>
            <w:tcW w:w="31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89"/>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contract assets</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18.1</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318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The $18.1 million increase in net contract assets from December 31, 2019 to September 30, 2020 was primarily the result of timing of milestone payments and impact of foreign currency fluctuations. Approximately 80% of our contract liabilities at December 31, 2019 were recognized in revenue in the first nine months of 2020. There were no impairment losses recognized on our contract assets for the three or nine months ended September 30, 2020.</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7" w:lineRule="exact"/>
        <w:rPr>
          <w:sz w:val="20"/>
          <w:szCs w:val="20"/>
          <w:color w:val="auto"/>
        </w:rPr>
      </w:pPr>
    </w:p>
    <w:p>
      <w:pPr>
        <w:ind w:right="340"/>
        <w:spacing w:after="0" w:line="260" w:lineRule="auto"/>
        <w:rPr>
          <w:sz w:val="20"/>
          <w:szCs w:val="20"/>
          <w:color w:val="auto"/>
        </w:rPr>
      </w:pPr>
      <w:r>
        <w:rPr>
          <w:rFonts w:ascii="Arial" w:cs="Arial" w:eastAsia="Arial" w:hAnsi="Arial"/>
          <w:sz w:val="18"/>
          <w:szCs w:val="18"/>
          <w:color w:val="auto"/>
        </w:rPr>
        <w:t>In February 2019, as part of Consumer Solutions, we completed the acquisitions of Aquion, Inc. (“Aquion”) and Pelican Water Systems (“Pelican”) for $163.4 million and $121.1 million, respectively, in cash, net of cash acquired and final working capital true-ups.</w:t>
      </w:r>
    </w:p>
    <w:p>
      <w:pPr>
        <w:spacing w:after="0" w:line="21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For Aquion, the excess of purchase price over tangible net assets and identified intangible assets acquired has been allocated to goodwill in the amount of $101.9 million, $4.6 million of which is expected to be deductible for income tax purposes. Identifiable intangible assets acquired as part of the Aquion acquisition include $15.7 million of indefinite-lived trade name intangible assets and $78.8 million of definite-lived customer relationships with an estimated useful life of 15 years.</w:t>
      </w:r>
    </w:p>
    <w:p>
      <w:pPr>
        <w:spacing w:after="0" w:line="21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For Pelican, the excess purchase price over tangible net assets acquired has been allocated to goodwill in the amount of $118.0 million, $7.6 million of which is expected to be deductible for income tax purposes.</w:t>
      </w:r>
    </w:p>
    <w:p>
      <w:pPr>
        <w:spacing w:after="0" w:line="19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During the first nine months of 2020, our Consumer Solutions reporting segment completed acquisitions with purchase prices totaling $28.5 million in cash, net of cash acquired.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pro forma impact of these acquisitions is not material.</w:t>
      </w:r>
    </w:p>
    <w:p>
      <w:pPr>
        <w:spacing w:after="0" w:line="248"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Share Plans</w:t>
      </w:r>
    </w:p>
    <w:p>
      <w:pPr>
        <w:spacing w:after="0" w:line="27" w:lineRule="exact"/>
        <w:rPr>
          <w:sz w:val="20"/>
          <w:szCs w:val="20"/>
          <w:color w:val="auto"/>
        </w:rPr>
      </w:pPr>
    </w:p>
    <w:p>
      <w:pPr>
        <w:jc w:val="both"/>
        <w:ind w:right="220"/>
        <w:spacing w:after="0" w:line="302" w:lineRule="auto"/>
        <w:rPr>
          <w:sz w:val="20"/>
          <w:szCs w:val="20"/>
          <w:color w:val="auto"/>
        </w:rPr>
      </w:pPr>
      <w:r>
        <w:rPr>
          <w:rFonts w:ascii="Arial" w:cs="Arial" w:eastAsia="Arial" w:hAnsi="Arial"/>
          <w:sz w:val="16"/>
          <w:szCs w:val="16"/>
          <w:color w:val="auto"/>
        </w:rPr>
        <w:t>In May 2020, the Pentair plc 2020 Share and Incentive Plan (“2020 Share Plan”) was approved during the Annual General Meeting of Shareholders. The Pentair plc 2012 Stock and Incentive Plan (“2012 Stock Plan”) terminated upon the approval of the 2020 Share Plan, although awards outstanding under the 2012 Stock Plan continue in effect. Beginning May 5, 2020, all share-based compensation grants were made under the 2020 Share Plan.</w:t>
      </w:r>
    </w:p>
    <w:p>
      <w:pPr>
        <w:spacing w:after="0" w:line="182"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The 2020 Share Plan authorizes the issuance of 3.3 million of our ordinary shares, plus the number of shares reserved under the 2012 Stock Plan that were not the subject of outstanding awards as of the date the 2020 Share Plan became effective, which was 2.5 million shares, plus certain shares that would become available under the 2012 Stock Plan if it had remained in effect. The shares may be issued as new shares or from shares held in treasury. Our practice is to settle equity-based awards by issuing new shares. The 2020 Share Plan terminates on the date all shares reserved for issuance have been issued. The 2020 Share Plan allows for the granting to our employees, consultants and directors of stock options, stock appreciation rights, performance share units, restricted shares, restricted stock units, deferred stock rights, incentive awards, dividend equivalent units and other equity-based awards.</w:t>
      </w:r>
    </w:p>
    <w:p>
      <w:pPr>
        <w:spacing w:after="0" w:line="19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2020 Share Plan is administered by our compensation committee (the “Committee”), which is made up of independent members of our Board of Directors. Employees eligible to receive awards under the 2020 Share Plan are managerial, administrative or professional employees. The Committee has the authority to select the recipients of awards, determine the type and size of awards, establish certain terms and conditions of award grants and take certain other actions as permitted under the 2020 Share Plan. The 2020 Share Plan prohibits the Committee from re-pricing awards or canceling and reissuing awards at lower prices.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Total share-based compensation expense for the three and nine months ended September 30, 2020 and 2019 was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0" w:type="dxa"/>
            <w:vAlign w:val="bottom"/>
            <w:gridSpan w:val="4"/>
          </w:tcPr>
          <w:p>
            <w:pPr>
              <w:ind w:left="48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0"/>
                <w:szCs w:val="20"/>
                <w:color w:val="auto"/>
              </w:rPr>
            </w:pPr>
          </w:p>
        </w:tc>
        <w:tc>
          <w:tcPr>
            <w:tcW w:w="290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Nine months ended</w:t>
            </w:r>
          </w:p>
        </w:tc>
      </w:tr>
      <w:tr>
        <w:trPr>
          <w:trHeight w:val="27"/>
        </w:trPr>
        <w:tc>
          <w:tcPr>
            <w:tcW w:w="50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8"/>
        </w:trPr>
        <w:tc>
          <w:tcPr>
            <w:tcW w:w="5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September 30,</w:t>
            </w:r>
          </w:p>
        </w:tc>
        <w:tc>
          <w:tcPr>
            <w:tcW w:w="200" w:type="dxa"/>
            <w:vAlign w:val="bottom"/>
          </w:tcPr>
          <w:p>
            <w:pPr>
              <w:spacing w:after="0"/>
              <w:rPr>
                <w:sz w:val="18"/>
                <w:szCs w:val="18"/>
                <w:color w:val="auto"/>
              </w:rPr>
            </w:pPr>
          </w:p>
        </w:tc>
        <w:tc>
          <w:tcPr>
            <w:tcW w:w="148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18"/>
                <w:szCs w:val="18"/>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September 30,</w:t>
            </w:r>
          </w:p>
        </w:tc>
        <w:tc>
          <w:tcPr>
            <w:tcW w:w="200" w:type="dxa"/>
            <w:vAlign w:val="bottom"/>
          </w:tcPr>
          <w:p>
            <w:pPr>
              <w:spacing w:after="0"/>
              <w:rPr>
                <w:sz w:val="18"/>
                <w:szCs w:val="18"/>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September 30,</w:t>
            </w:r>
          </w:p>
        </w:tc>
      </w:tr>
      <w:tr>
        <w:trPr>
          <w:trHeight w:val="234"/>
        </w:trPr>
        <w:tc>
          <w:tcPr>
            <w:tcW w:w="5020" w:type="dxa"/>
            <w:vAlign w:val="bottom"/>
          </w:tcPr>
          <w:p>
            <w:pPr>
              <w:ind w:left="20"/>
              <w:spacing w:after="0"/>
              <w:rPr>
                <w:sz w:val="20"/>
                <w:szCs w:val="20"/>
                <w:color w:val="auto"/>
              </w:rPr>
            </w:pPr>
            <w:r>
              <w:rPr>
                <w:rFonts w:ascii="Arial" w:cs="Arial" w:eastAsia="Arial" w:hAnsi="Arial"/>
                <w:sz w:val="18"/>
                <w:szCs w:val="18"/>
                <w:i w:val="1"/>
                <w:iCs w:val="1"/>
                <w:color w:val="auto"/>
              </w:rPr>
              <w:t>In millions</w:t>
            </w:r>
          </w:p>
        </w:tc>
        <w:tc>
          <w:tcPr>
            <w:tcW w:w="160" w:type="dxa"/>
            <w:vAlign w:val="bottom"/>
          </w:tcPr>
          <w:p>
            <w:pPr>
              <w:spacing w:after="0"/>
              <w:rPr>
                <w:sz w:val="20"/>
                <w:szCs w:val="20"/>
                <w:color w:val="auto"/>
              </w:rPr>
            </w:pPr>
          </w:p>
        </w:tc>
        <w:tc>
          <w:tcPr>
            <w:tcW w:w="132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13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r>
      <w:tr>
        <w:trPr>
          <w:trHeight w:val="27"/>
        </w:trPr>
        <w:tc>
          <w:tcPr>
            <w:tcW w:w="5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stock units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Stock options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0.6</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
        </w:trPr>
        <w:tc>
          <w:tcPr>
            <w:tcW w:w="5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5"/>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Performance share units</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37"/>
        </w:trPr>
        <w:tc>
          <w:tcPr>
            <w:tcW w:w="50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share-based compensation expense</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w:t>
            </w:r>
          </w:p>
        </w:tc>
      </w:tr>
      <w:tr>
        <w:trPr>
          <w:trHeight w:val="27"/>
        </w:trPr>
        <w:tc>
          <w:tcPr>
            <w:tcW w:w="5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5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In the first quarter of 2020, we issued our annual share-based compensation grants under the 2012 Stock Plan to eligible employees. The total number of awards issued was approximately 0.8 million, of which 0.3 million were restricted stock units (“RSUs”), 0.4 million were stock options and 0.1 million were performance share units (“PSUs”). The weighted-average grant date fair value of the RSUs, stock options and PSUs issued was $42.77, $9.58, and $45.40, respectively.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estimated the fair value of each stock option award issued in the annual share-based compensation grant using a Black-Scholes option pricing model, modified for dividends and using the following assumptions: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20" w:type="dxa"/>
            <w:vAlign w:val="bottom"/>
          </w:tcPr>
          <w:p>
            <w:pPr>
              <w:spacing w:after="0"/>
              <w:rPr>
                <w:sz w:val="18"/>
                <w:szCs w:val="18"/>
                <w:color w:val="auto"/>
              </w:rPr>
            </w:pPr>
          </w:p>
        </w:tc>
        <w:tc>
          <w:tcPr>
            <w:tcW w:w="502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8"/>
                <w:szCs w:val="18"/>
                <w:color w:val="auto"/>
              </w:rPr>
            </w:pPr>
          </w:p>
        </w:tc>
      </w:tr>
      <w:tr>
        <w:trPr>
          <w:trHeight w:val="234"/>
        </w:trPr>
        <w:tc>
          <w:tcPr>
            <w:tcW w:w="6020" w:type="dxa"/>
            <w:vAlign w:val="bottom"/>
          </w:tcPr>
          <w:p>
            <w:pPr>
              <w:spacing w:after="0"/>
              <w:rPr>
                <w:sz w:val="20"/>
                <w:szCs w:val="20"/>
                <w:color w:val="auto"/>
              </w:rPr>
            </w:pPr>
          </w:p>
        </w:tc>
        <w:tc>
          <w:tcPr>
            <w:tcW w:w="5020" w:type="dxa"/>
            <w:vAlign w:val="bottom"/>
          </w:tcPr>
          <w:p>
            <w:pPr>
              <w:jc w:val="right"/>
              <w:ind w:right="30"/>
              <w:spacing w:after="0"/>
              <w:rPr>
                <w:sz w:val="20"/>
                <w:szCs w:val="20"/>
                <w:color w:val="auto"/>
              </w:rPr>
            </w:pPr>
            <w:r>
              <w:rPr>
                <w:rFonts w:ascii="Arial" w:cs="Arial" w:eastAsia="Arial" w:hAnsi="Arial"/>
                <w:sz w:val="18"/>
                <w:szCs w:val="18"/>
                <w:b w:val="1"/>
                <w:bCs w:val="1"/>
                <w:color w:val="auto"/>
              </w:rPr>
              <w:t>Annual Grant</w:t>
            </w:r>
          </w:p>
        </w:tc>
        <w:tc>
          <w:tcPr>
            <w:tcW w:w="200" w:type="dxa"/>
            <w:vAlign w:val="bottom"/>
          </w:tcPr>
          <w:p>
            <w:pPr>
              <w:spacing w:after="0"/>
              <w:rPr>
                <w:sz w:val="20"/>
                <w:szCs w:val="20"/>
                <w:color w:val="auto"/>
              </w:rPr>
            </w:pPr>
          </w:p>
        </w:tc>
      </w:tr>
      <w:tr>
        <w:trPr>
          <w:trHeight w:val="27"/>
        </w:trPr>
        <w:tc>
          <w:tcPr>
            <w:tcW w:w="6020" w:type="dxa"/>
            <w:vAlign w:val="bottom"/>
            <w:tcBorders>
              <w:bottom w:val="single" w:sz="8" w:color="auto"/>
            </w:tcBorders>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43"/>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5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602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5020" w:type="dxa"/>
            <w:vAlign w:val="bottom"/>
          </w:tcPr>
          <w:p>
            <w:pPr>
              <w:jc w:val="right"/>
              <w:spacing w:after="0"/>
              <w:rPr>
                <w:sz w:val="20"/>
                <w:szCs w:val="20"/>
                <w:color w:val="auto"/>
              </w:rPr>
            </w:pPr>
            <w:r>
              <w:rPr>
                <w:rFonts w:ascii="Arial" w:cs="Arial" w:eastAsia="Arial" w:hAnsi="Arial"/>
                <w:sz w:val="18"/>
                <w:szCs w:val="18"/>
                <w:color w:val="auto"/>
              </w:rPr>
              <w:t>1.80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60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share price volatility</w:t>
            </w:r>
          </w:p>
        </w:tc>
        <w:tc>
          <w:tcPr>
            <w:tcW w:w="5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6020" w:type="dxa"/>
            <w:vAlign w:val="bottom"/>
          </w:tcPr>
          <w:p>
            <w:pPr>
              <w:ind w:left="20"/>
              <w:spacing w:after="0"/>
              <w:rPr>
                <w:sz w:val="20"/>
                <w:szCs w:val="20"/>
                <w:color w:val="auto"/>
              </w:rPr>
            </w:pPr>
            <w:r>
              <w:rPr>
                <w:rFonts w:ascii="Arial" w:cs="Arial" w:eastAsia="Arial" w:hAnsi="Arial"/>
                <w:sz w:val="18"/>
                <w:szCs w:val="18"/>
                <w:color w:val="auto"/>
              </w:rPr>
              <w:t>Expected term (years)</w:t>
            </w:r>
          </w:p>
        </w:tc>
        <w:tc>
          <w:tcPr>
            <w:tcW w:w="5220" w:type="dxa"/>
            <w:vAlign w:val="bottom"/>
            <w:gridSpan w:val="2"/>
          </w:tcPr>
          <w:p>
            <w:pPr>
              <w:jc w:val="right"/>
              <w:spacing w:after="0"/>
              <w:rPr>
                <w:sz w:val="20"/>
                <w:szCs w:val="20"/>
                <w:color w:val="auto"/>
              </w:rPr>
            </w:pPr>
            <w:r>
              <w:rPr>
                <w:rFonts w:ascii="Arial" w:cs="Arial" w:eastAsia="Arial" w:hAnsi="Arial"/>
                <w:sz w:val="18"/>
                <w:szCs w:val="18"/>
                <w:color w:val="auto"/>
              </w:rPr>
              <w:t>6.8</w:t>
            </w:r>
          </w:p>
        </w:tc>
      </w:tr>
    </w:tbl>
    <w:p>
      <w:pPr>
        <w:spacing w:after="0" w:line="33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These estimates require us to make assumptions based on historical results, observance of trends in our share price, changes in option exercise behavior, future expectations and other relevant factors. If other assumptions had been used, share-based compensation expense, as calculated and recorded under the accounting guidance, could have been affected. We based the expected life assumption on historical experience as well as the terms and vesting periods of the options granted. For purposes of determining expected share price volatility, we considered a rolling average of historical volatility measured over a period approximately equal to the expected option term. The risk-free interest rate for periods that coincide with the expected life of the options is based on the United States (“U.S”). Treasury Department yield curve in effect at the time of grant.</w:t>
      </w:r>
    </w:p>
    <w:p>
      <w:pPr>
        <w:spacing w:after="0" w:line="201"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w:t>
      </w:r>
    </w:p>
    <w:p>
      <w:pPr>
        <w:spacing w:after="0" w:line="2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During the nine months ended September 30, 2020 and the year ended December 31, 2019, we initiated and continued execution of certain business restructuring initiatives aimed at reducing our fixed cost structure and realigning our business, including the reduction in headcount of approximately 150 and 375 employees, respectively.</w:t>
      </w:r>
    </w:p>
    <w:p>
      <w:pPr>
        <w:spacing w:after="0" w:line="13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 xml:space="preserve">Restructuring-related costs within </w:t>
      </w:r>
      <w:r>
        <w:rPr>
          <w:rFonts w:ascii="Arial" w:cs="Arial" w:eastAsia="Arial" w:hAnsi="Arial"/>
          <w:sz w:val="16"/>
          <w:szCs w:val="16"/>
          <w:i w:val="1"/>
          <w:iCs w:val="1"/>
          <w:color w:val="auto"/>
        </w:rPr>
        <w:t>Selling, general and administrative expenses</w:t>
      </w:r>
      <w:r>
        <w:rPr>
          <w:rFonts w:ascii="Arial" w:cs="Arial" w:eastAsia="Arial" w:hAnsi="Arial"/>
          <w:sz w:val="18"/>
          <w:szCs w:val="18"/>
          <w:color w:val="auto"/>
        </w:rPr>
        <w:t xml:space="preserve"> in the Condensed Consolidated Statements of Operations and Comprehensive Income included the following:</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80" w:type="dxa"/>
            <w:vAlign w:val="bottom"/>
            <w:gridSpan w:val="4"/>
          </w:tcPr>
          <w:p>
            <w:pPr>
              <w:ind w:left="48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0"/>
                <w:szCs w:val="20"/>
                <w:color w:val="auto"/>
              </w:rPr>
            </w:pPr>
          </w:p>
        </w:tc>
        <w:tc>
          <w:tcPr>
            <w:tcW w:w="2860" w:type="dxa"/>
            <w:vAlign w:val="bottom"/>
            <w:gridSpan w:val="3"/>
          </w:tcPr>
          <w:p>
            <w:pPr>
              <w:jc w:val="right"/>
              <w:ind w:right="690"/>
              <w:spacing w:after="0"/>
              <w:rPr>
                <w:sz w:val="20"/>
                <w:szCs w:val="20"/>
                <w:color w:val="auto"/>
              </w:rPr>
            </w:pPr>
            <w:r>
              <w:rPr>
                <w:rFonts w:ascii="Arial" w:cs="Arial" w:eastAsia="Arial" w:hAnsi="Arial"/>
                <w:sz w:val="18"/>
                <w:szCs w:val="18"/>
                <w:b w:val="1"/>
                <w:bCs w:val="1"/>
                <w:color w:val="auto"/>
              </w:rPr>
              <w:t>Nine months ended</w:t>
            </w:r>
          </w:p>
        </w:tc>
      </w:tr>
      <w:tr>
        <w:trPr>
          <w:trHeight w:val="27"/>
        </w:trPr>
        <w:tc>
          <w:tcPr>
            <w:tcW w:w="50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8"/>
        </w:trPr>
        <w:tc>
          <w:tcPr>
            <w:tcW w:w="5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September 30,</w:t>
            </w:r>
          </w:p>
        </w:tc>
        <w:tc>
          <w:tcPr>
            <w:tcW w:w="20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18"/>
                <w:szCs w:val="18"/>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September 30,</w:t>
            </w:r>
          </w:p>
        </w:tc>
        <w:tc>
          <w:tcPr>
            <w:tcW w:w="180" w:type="dxa"/>
            <w:vAlign w:val="bottom"/>
          </w:tcPr>
          <w:p>
            <w:pPr>
              <w:spacing w:after="0"/>
              <w:rPr>
                <w:sz w:val="18"/>
                <w:szCs w:val="18"/>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September 30,</w:t>
            </w:r>
          </w:p>
        </w:tc>
      </w:tr>
      <w:tr>
        <w:trPr>
          <w:trHeight w:val="234"/>
        </w:trPr>
        <w:tc>
          <w:tcPr>
            <w:tcW w:w="5080" w:type="dxa"/>
            <w:vAlign w:val="bottom"/>
          </w:tcPr>
          <w:p>
            <w:pPr>
              <w:ind w:left="20"/>
              <w:spacing w:after="0"/>
              <w:rPr>
                <w:sz w:val="20"/>
                <w:szCs w:val="20"/>
                <w:color w:val="auto"/>
              </w:rPr>
            </w:pPr>
            <w:r>
              <w:rPr>
                <w:rFonts w:ascii="Arial" w:cs="Arial" w:eastAsia="Arial" w:hAnsi="Arial"/>
                <w:sz w:val="18"/>
                <w:szCs w:val="18"/>
                <w:i w:val="1"/>
                <w:iCs w:val="1"/>
                <w:color w:val="auto"/>
              </w:rPr>
              <w:t>In millions</w:t>
            </w:r>
          </w:p>
        </w:tc>
        <w:tc>
          <w:tcPr>
            <w:tcW w:w="160" w:type="dxa"/>
            <w:vAlign w:val="bottom"/>
          </w:tcPr>
          <w:p>
            <w:pPr>
              <w:spacing w:after="0"/>
              <w:rPr>
                <w:sz w:val="20"/>
                <w:szCs w:val="20"/>
                <w:color w:val="auto"/>
              </w:rPr>
            </w:pPr>
          </w:p>
        </w:tc>
        <w:tc>
          <w:tcPr>
            <w:tcW w:w="132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r>
      <w:tr>
        <w:trPr>
          <w:trHeight w:val="27"/>
        </w:trPr>
        <w:tc>
          <w:tcPr>
            <w:tcW w:w="5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Severance and related costs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0.6</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0.6</w:t>
            </w: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5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89"/>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restructuring costs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0"/>
        </w:trPr>
        <w:tc>
          <w:tcPr>
            <w:tcW w:w="5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352"/>
        </w:trPr>
        <w:tc>
          <w:tcPr>
            <w:tcW w:w="5080" w:type="dxa"/>
            <w:vAlign w:val="bottom"/>
          </w:tcPr>
          <w:p>
            <w:pPr>
              <w:spacing w:after="0"/>
              <w:rPr>
                <w:sz w:val="20"/>
                <w:szCs w:val="20"/>
                <w:color w:val="auto"/>
              </w:rPr>
            </w:pPr>
            <w:r>
              <w:rPr>
                <w:rFonts w:ascii="Arial" w:cs="Arial" w:eastAsia="Arial" w:hAnsi="Arial"/>
                <w:sz w:val="18"/>
                <w:szCs w:val="18"/>
                <w:color w:val="auto"/>
              </w:rPr>
              <w:t>Restructuring costs by reportable segment were as follows:</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80" w:type="dxa"/>
            <w:vAlign w:val="bottom"/>
            <w:gridSpan w:val="4"/>
          </w:tcPr>
          <w:p>
            <w:pPr>
              <w:ind w:left="56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0"/>
                <w:szCs w:val="20"/>
                <w:color w:val="auto"/>
              </w:rPr>
            </w:pPr>
          </w:p>
        </w:tc>
        <w:tc>
          <w:tcPr>
            <w:tcW w:w="2860" w:type="dxa"/>
            <w:vAlign w:val="bottom"/>
            <w:gridSpan w:val="3"/>
          </w:tcPr>
          <w:p>
            <w:pPr>
              <w:jc w:val="right"/>
              <w:ind w:right="690"/>
              <w:spacing w:after="0"/>
              <w:rPr>
                <w:sz w:val="20"/>
                <w:szCs w:val="20"/>
                <w:color w:val="auto"/>
              </w:rPr>
            </w:pPr>
            <w:r>
              <w:rPr>
                <w:rFonts w:ascii="Arial" w:cs="Arial" w:eastAsia="Arial" w:hAnsi="Arial"/>
                <w:sz w:val="18"/>
                <w:szCs w:val="18"/>
                <w:b w:val="1"/>
                <w:bCs w:val="1"/>
                <w:color w:val="auto"/>
              </w:rPr>
              <w:t>Nine months ended</w:t>
            </w:r>
          </w:p>
        </w:tc>
      </w:tr>
      <w:tr>
        <w:trPr>
          <w:trHeight w:val="27"/>
        </w:trPr>
        <w:tc>
          <w:tcPr>
            <w:tcW w:w="50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8"/>
        </w:trPr>
        <w:tc>
          <w:tcPr>
            <w:tcW w:w="5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September 30,</w:t>
            </w:r>
          </w:p>
        </w:tc>
        <w:tc>
          <w:tcPr>
            <w:tcW w:w="20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18"/>
                <w:szCs w:val="18"/>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September 30,</w:t>
            </w:r>
          </w:p>
        </w:tc>
        <w:tc>
          <w:tcPr>
            <w:tcW w:w="180" w:type="dxa"/>
            <w:vAlign w:val="bottom"/>
          </w:tcPr>
          <w:p>
            <w:pPr>
              <w:spacing w:after="0"/>
              <w:rPr>
                <w:sz w:val="18"/>
                <w:szCs w:val="18"/>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September 30,</w:t>
            </w:r>
          </w:p>
        </w:tc>
      </w:tr>
      <w:tr>
        <w:trPr>
          <w:trHeight w:val="234"/>
        </w:trPr>
        <w:tc>
          <w:tcPr>
            <w:tcW w:w="5080" w:type="dxa"/>
            <w:vAlign w:val="bottom"/>
          </w:tcPr>
          <w:p>
            <w:pPr>
              <w:ind w:left="20"/>
              <w:spacing w:after="0"/>
              <w:rPr>
                <w:sz w:val="20"/>
                <w:szCs w:val="20"/>
                <w:color w:val="auto"/>
              </w:rPr>
            </w:pPr>
            <w:r>
              <w:rPr>
                <w:rFonts w:ascii="Arial" w:cs="Arial" w:eastAsia="Arial" w:hAnsi="Arial"/>
                <w:sz w:val="18"/>
                <w:szCs w:val="18"/>
                <w:i w:val="1"/>
                <w:iCs w:val="1"/>
                <w:color w:val="auto"/>
              </w:rPr>
              <w:t>In millions</w:t>
            </w:r>
          </w:p>
        </w:tc>
        <w:tc>
          <w:tcPr>
            <w:tcW w:w="160" w:type="dxa"/>
            <w:vAlign w:val="bottom"/>
          </w:tcPr>
          <w:p>
            <w:pPr>
              <w:spacing w:after="0"/>
              <w:rPr>
                <w:sz w:val="20"/>
                <w:szCs w:val="20"/>
                <w:color w:val="auto"/>
              </w:rPr>
            </w:pPr>
          </w:p>
        </w:tc>
        <w:tc>
          <w:tcPr>
            <w:tcW w:w="132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r>
      <w:tr>
        <w:trPr>
          <w:trHeight w:val="27"/>
        </w:trPr>
        <w:tc>
          <w:tcPr>
            <w:tcW w:w="5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Consumer Solutions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auto"/>
              </w:rPr>
              <w:t>Industrial &amp; Flow Technologies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
        </w:trPr>
        <w:tc>
          <w:tcPr>
            <w:tcW w:w="5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5"/>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37"/>
        </w:trPr>
        <w:tc>
          <w:tcPr>
            <w:tcW w:w="50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Consolidated</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w:t>
            </w:r>
          </w:p>
        </w:tc>
      </w:tr>
      <w:tr>
        <w:trPr>
          <w:trHeight w:val="27"/>
        </w:trPr>
        <w:tc>
          <w:tcPr>
            <w:tcW w:w="5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5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xml:space="preserve">Activity related to accrued severance and related costs recorded in </w:t>
      </w:r>
      <w:r>
        <w:rPr>
          <w:rFonts w:ascii="Arial" w:cs="Arial" w:eastAsia="Arial" w:hAnsi="Arial"/>
          <w:sz w:val="18"/>
          <w:szCs w:val="18"/>
          <w:i w:val="1"/>
          <w:iCs w:val="1"/>
          <w:color w:val="auto"/>
        </w:rPr>
        <w:t>Other current liabilities</w:t>
      </w:r>
      <w:r>
        <w:rPr>
          <w:rFonts w:ascii="Arial" w:cs="Arial" w:eastAsia="Arial" w:hAnsi="Arial"/>
          <w:sz w:val="18"/>
          <w:szCs w:val="18"/>
          <w:color w:val="auto"/>
        </w:rPr>
        <w:t xml:space="preserve"> in the Condensed Consolidated Balance Sheets is summarized as follows for the nine months ended September 30, 2020:</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44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September 30,</w:t>
            </w:r>
          </w:p>
        </w:tc>
      </w:tr>
      <w:tr>
        <w:trPr>
          <w:trHeight w:val="234"/>
        </w:trPr>
        <w:tc>
          <w:tcPr>
            <w:tcW w:w="5740" w:type="dxa"/>
            <w:vAlign w:val="bottom"/>
          </w:tcPr>
          <w:p>
            <w:pPr>
              <w:ind w:left="20"/>
              <w:spacing w:after="0"/>
              <w:rPr>
                <w:sz w:val="20"/>
                <w:szCs w:val="20"/>
                <w:color w:val="auto"/>
              </w:rPr>
            </w:pPr>
            <w:r>
              <w:rPr>
                <w:rFonts w:ascii="Arial" w:cs="Arial" w:eastAsia="Arial" w:hAnsi="Arial"/>
                <w:sz w:val="18"/>
                <w:szCs w:val="18"/>
                <w:i w:val="1"/>
                <w:iCs w:val="1"/>
                <w:color w:val="auto"/>
              </w:rPr>
              <w:t>In millions</w:t>
            </w:r>
          </w:p>
        </w:tc>
        <w:tc>
          <w:tcPr>
            <w:tcW w:w="4060" w:type="dxa"/>
            <w:vAlign w:val="bottom"/>
          </w:tcPr>
          <w:p>
            <w:pPr>
              <w:spacing w:after="0"/>
              <w:rPr>
                <w:sz w:val="20"/>
                <w:szCs w:val="20"/>
                <w:color w:val="auto"/>
              </w:rPr>
            </w:pPr>
          </w:p>
        </w:tc>
        <w:tc>
          <w:tcPr>
            <w:tcW w:w="1440" w:type="dxa"/>
            <w:vAlign w:val="bottom"/>
          </w:tcPr>
          <w:p>
            <w:pPr>
              <w:jc w:val="right"/>
              <w:ind w:right="530"/>
              <w:spacing w:after="0"/>
              <w:rPr>
                <w:sz w:val="20"/>
                <w:szCs w:val="20"/>
                <w:color w:val="auto"/>
              </w:rPr>
            </w:pPr>
            <w:r>
              <w:rPr>
                <w:rFonts w:ascii="Arial" w:cs="Arial" w:eastAsia="Arial" w:hAnsi="Arial"/>
                <w:sz w:val="18"/>
                <w:szCs w:val="18"/>
                <w:b w:val="1"/>
                <w:bCs w:val="1"/>
                <w:color w:val="auto"/>
              </w:rPr>
              <w:t>2020</w:t>
            </w:r>
          </w:p>
        </w:tc>
      </w:tr>
      <w:tr>
        <w:trPr>
          <w:trHeight w:val="27"/>
        </w:trPr>
        <w:tc>
          <w:tcPr>
            <w:tcW w:w="574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3"/>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4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r>
      <w:tr>
        <w:trPr>
          <w:trHeight w:val="243"/>
        </w:trPr>
        <w:tc>
          <w:tcPr>
            <w:tcW w:w="5740" w:type="dxa"/>
            <w:vAlign w:val="bottom"/>
          </w:tcPr>
          <w:p>
            <w:pPr>
              <w:ind w:left="20"/>
              <w:spacing w:after="0"/>
              <w:rPr>
                <w:sz w:val="20"/>
                <w:szCs w:val="20"/>
                <w:color w:val="auto"/>
              </w:rPr>
            </w:pPr>
            <w:r>
              <w:rPr>
                <w:rFonts w:ascii="Arial" w:cs="Arial" w:eastAsia="Arial" w:hAnsi="Arial"/>
                <w:sz w:val="18"/>
                <w:szCs w:val="18"/>
                <w:color w:val="auto"/>
              </w:rPr>
              <w:t>Costs incurred</w:t>
            </w:r>
          </w:p>
        </w:tc>
        <w:tc>
          <w:tcPr>
            <w:tcW w:w="40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
        </w:trPr>
        <w:tc>
          <w:tcPr>
            <w:tcW w:w="574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5"/>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payments and other</w:t>
            </w:r>
          </w:p>
        </w:tc>
        <w:tc>
          <w:tcPr>
            <w:tcW w:w="40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36"/>
        </w:trPr>
        <w:tc>
          <w:tcPr>
            <w:tcW w:w="57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Ending balance</w:t>
            </w:r>
          </w:p>
        </w:tc>
        <w:tc>
          <w:tcPr>
            <w:tcW w:w="4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w:t>
            </w:r>
          </w:p>
        </w:tc>
      </w:tr>
      <w:tr>
        <w:trPr>
          <w:trHeight w:val="27"/>
        </w:trPr>
        <w:tc>
          <w:tcPr>
            <w:tcW w:w="574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
        </w:trPr>
        <w:tc>
          <w:tcPr>
            <w:tcW w:w="5740" w:type="dxa"/>
            <w:vAlign w:val="bottom"/>
            <w:tcBorders>
              <w:bottom w:val="single" w:sz="8" w:color="auto"/>
            </w:tcBorders>
          </w:tcPr>
          <w:p>
            <w:pPr>
              <w:spacing w:after="0" w:line="20" w:lineRule="exact"/>
              <w:rPr>
                <w:sz w:val="1"/>
                <w:szCs w:val="1"/>
                <w:color w:val="auto"/>
              </w:rPr>
            </w:pPr>
          </w:p>
        </w:tc>
        <w:tc>
          <w:tcPr>
            <w:tcW w:w="40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1" w:name="page12"/>
    <w:bookmarkEnd w:id="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earnings per share were calculated as follows: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80" w:type="dxa"/>
            <w:vAlign w:val="bottom"/>
            <w:gridSpan w:val="4"/>
          </w:tcPr>
          <w:p>
            <w:pPr>
              <w:ind w:left="48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0"/>
                <w:szCs w:val="20"/>
                <w:color w:val="auto"/>
              </w:rPr>
            </w:pPr>
          </w:p>
        </w:tc>
        <w:tc>
          <w:tcPr>
            <w:tcW w:w="2860" w:type="dxa"/>
            <w:vAlign w:val="bottom"/>
            <w:gridSpan w:val="3"/>
          </w:tcPr>
          <w:p>
            <w:pPr>
              <w:jc w:val="right"/>
              <w:ind w:right="69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September 30,</w:t>
            </w:r>
          </w:p>
        </w:tc>
        <w:tc>
          <w:tcPr>
            <w:tcW w:w="20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18"/>
                <w:szCs w:val="18"/>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September 30,</w:t>
            </w:r>
          </w:p>
        </w:tc>
        <w:tc>
          <w:tcPr>
            <w:tcW w:w="160" w:type="dxa"/>
            <w:vAlign w:val="bottom"/>
          </w:tcPr>
          <w:p>
            <w:pPr>
              <w:spacing w:after="0"/>
              <w:rPr>
                <w:sz w:val="18"/>
                <w:szCs w:val="18"/>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September 30,</w:t>
            </w:r>
          </w:p>
        </w:tc>
        <w:tc>
          <w:tcPr>
            <w:tcW w:w="0" w:type="dxa"/>
            <w:vAlign w:val="bottom"/>
          </w:tcPr>
          <w:p>
            <w:pPr>
              <w:spacing w:after="0"/>
              <w:rPr>
                <w:sz w:val="1"/>
                <w:szCs w:val="1"/>
                <w:color w:val="auto"/>
              </w:rPr>
            </w:pPr>
          </w:p>
        </w:tc>
      </w:tr>
      <w:tr>
        <w:trPr>
          <w:trHeight w:val="234"/>
        </w:trPr>
        <w:tc>
          <w:tcPr>
            <w:tcW w:w="5080" w:type="dxa"/>
            <w:vAlign w:val="bottom"/>
          </w:tcPr>
          <w:p>
            <w:pPr>
              <w:ind w:left="20"/>
              <w:spacing w:after="0"/>
              <w:rPr>
                <w:sz w:val="20"/>
                <w:szCs w:val="20"/>
                <w:color w:val="auto"/>
              </w:rPr>
            </w:pPr>
            <w:r>
              <w:rPr>
                <w:rFonts w:ascii="Arial" w:cs="Arial" w:eastAsia="Arial" w:hAnsi="Arial"/>
                <w:sz w:val="18"/>
                <w:szCs w:val="18"/>
                <w:i w:val="1"/>
                <w:iCs w:val="1"/>
                <w:color w:val="auto"/>
              </w:rPr>
              <w:t>In millions, except per-share data</w:t>
            </w:r>
          </w:p>
        </w:tc>
        <w:tc>
          <w:tcPr>
            <w:tcW w:w="160" w:type="dxa"/>
            <w:vAlign w:val="bottom"/>
          </w:tcPr>
          <w:p>
            <w:pPr>
              <w:spacing w:after="0"/>
              <w:rPr>
                <w:sz w:val="20"/>
                <w:szCs w:val="20"/>
                <w:color w:val="auto"/>
              </w:rPr>
            </w:pPr>
          </w:p>
        </w:tc>
        <w:tc>
          <w:tcPr>
            <w:tcW w:w="132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5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257.9</w:t>
            </w:r>
          </w:p>
        </w:tc>
        <w:tc>
          <w:tcPr>
            <w:tcW w:w="0" w:type="dxa"/>
            <w:vAlign w:val="bottom"/>
          </w:tcPr>
          <w:p>
            <w:pPr>
              <w:spacing w:after="0"/>
              <w:rPr>
                <w:sz w:val="1"/>
                <w:szCs w:val="1"/>
                <w:color w:val="auto"/>
              </w:rPr>
            </w:pPr>
          </w:p>
        </w:tc>
      </w:tr>
      <w:tr>
        <w:trPr>
          <w:trHeight w:val="20"/>
        </w:trPr>
        <w:tc>
          <w:tcPr>
            <w:tcW w:w="5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080" w:type="dxa"/>
            <w:vAlign w:val="bottom"/>
          </w:tcPr>
          <w:p>
            <w:pPr>
              <w:ind w:left="20"/>
              <w:spacing w:after="0"/>
              <w:rPr>
                <w:sz w:val="20"/>
                <w:szCs w:val="20"/>
                <w:color w:val="auto"/>
              </w:rPr>
            </w:pPr>
            <w:r>
              <w:rPr>
                <w:rFonts w:ascii="Arial" w:cs="Arial" w:eastAsia="Arial" w:hAnsi="Arial"/>
                <w:sz w:val="18"/>
                <w:szCs w:val="18"/>
                <w:b w:val="1"/>
                <w:bCs w:val="1"/>
                <w:color w:val="auto"/>
              </w:rPr>
              <w:t>Net income from continuing operations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110.8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91.3</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257.3</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258.8</w:t>
            </w:r>
          </w:p>
        </w:tc>
        <w:tc>
          <w:tcPr>
            <w:tcW w:w="0" w:type="dxa"/>
            <w:vAlign w:val="bottom"/>
          </w:tcPr>
          <w:p>
            <w:pPr>
              <w:spacing w:after="0"/>
              <w:rPr>
                <w:sz w:val="1"/>
                <w:szCs w:val="1"/>
                <w:color w:val="auto"/>
              </w:rPr>
            </w:pPr>
          </w:p>
        </w:tc>
      </w:tr>
      <w:tr>
        <w:trPr>
          <w:trHeight w:val="27"/>
        </w:trPr>
        <w:tc>
          <w:tcPr>
            <w:tcW w:w="5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ordinary shares outstanding</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auto"/>
              </w:rPr>
              <w:t>Basic</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166.1</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168.1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166.6</w:t>
            </w: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169.7</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50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Dilutive impact of stock options, restricted stock units and</w:t>
            </w:r>
          </w:p>
        </w:tc>
        <w:tc>
          <w:tcPr>
            <w:tcW w:w="16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6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9"/>
        </w:trPr>
        <w:tc>
          <w:tcPr>
            <w:tcW w:w="50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performance share units</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080" w:type="dxa"/>
            <w:vAlign w:val="bottom"/>
          </w:tcPr>
          <w:p>
            <w:pPr>
              <w:ind w:left="2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167.1</w:t>
            </w: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168.6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167.4</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170.3</w:t>
            </w:r>
          </w:p>
        </w:tc>
        <w:tc>
          <w:tcPr>
            <w:tcW w:w="0" w:type="dxa"/>
            <w:vAlign w:val="bottom"/>
          </w:tcPr>
          <w:p>
            <w:pPr>
              <w:spacing w:after="0"/>
              <w:rPr>
                <w:sz w:val="1"/>
                <w:szCs w:val="1"/>
                <w:color w:val="auto"/>
              </w:rPr>
            </w:pPr>
          </w:p>
        </w:tc>
      </w:tr>
      <w:tr>
        <w:trPr>
          <w:trHeight w:val="27"/>
        </w:trPr>
        <w:tc>
          <w:tcPr>
            <w:tcW w:w="5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Earnings (loss) per ordinary share</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Basic</w:t>
            </w: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Continuing operations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auto"/>
              </w:rPr>
              <w:t>Discontinued operations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(0.01)</w:t>
            </w: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5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earnings per ordinary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0"/>
        </w:trPr>
        <w:tc>
          <w:tcPr>
            <w:tcW w:w="5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0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Diluted</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Continuing operations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auto"/>
              </w:rPr>
              <w:t>Discontinued operations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(0.01)</w:t>
            </w: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5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per ordinary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0"/>
        </w:trPr>
        <w:tc>
          <w:tcPr>
            <w:tcW w:w="5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080" w:type="dxa"/>
            <w:vAlign w:val="bottom"/>
          </w:tcPr>
          <w:p>
            <w:pPr>
              <w:ind w:left="20"/>
              <w:spacing w:after="0" w:line="150" w:lineRule="exact"/>
              <w:rPr>
                <w:sz w:val="20"/>
                <w:szCs w:val="20"/>
                <w:color w:val="auto"/>
              </w:rPr>
            </w:pPr>
            <w:r>
              <w:rPr>
                <w:rFonts w:ascii="Arial" w:cs="Arial" w:eastAsia="Arial" w:hAnsi="Arial"/>
                <w:sz w:val="17"/>
                <w:szCs w:val="17"/>
                <w:b w:val="1"/>
                <w:bCs w:val="1"/>
                <w:color w:val="auto"/>
              </w:rPr>
              <w:t>Anti-dilutive stock options excluded from the calculation of</w:t>
            </w:r>
          </w:p>
        </w:tc>
        <w:tc>
          <w:tcPr>
            <w:tcW w:w="160" w:type="dxa"/>
            <w:vAlign w:val="bottom"/>
          </w:tcPr>
          <w:p>
            <w:pPr>
              <w:spacing w:after="0"/>
              <w:rPr>
                <w:sz w:val="13"/>
                <w:szCs w:val="13"/>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3"/>
                <w:szCs w:val="13"/>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3"/>
                <w:szCs w:val="13"/>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50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diluted earnings per share</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Supplemental Balance Sheet Information</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0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380" w:type="dxa"/>
            <w:vAlign w:val="bottom"/>
          </w:tcPr>
          <w:p>
            <w:pPr>
              <w:jc w:val="right"/>
              <w:ind w:right="199"/>
              <w:spacing w:after="0"/>
              <w:rPr>
                <w:sz w:val="20"/>
                <w:szCs w:val="20"/>
                <w:color w:val="auto"/>
              </w:rPr>
            </w:pPr>
            <w:r>
              <w:rPr>
                <w:rFonts w:ascii="Arial" w:cs="Arial" w:eastAsia="Arial" w:hAnsi="Arial"/>
                <w:sz w:val="16"/>
                <w:szCs w:val="16"/>
                <w:b w:val="1"/>
                <w:bCs w:val="1"/>
                <w:color w:val="auto"/>
                <w:w w:val="98"/>
              </w:rPr>
              <w:t>September 30,</w:t>
            </w:r>
          </w:p>
        </w:tc>
        <w:tc>
          <w:tcPr>
            <w:tcW w:w="260" w:type="dxa"/>
            <w:vAlign w:val="bottom"/>
          </w:tcPr>
          <w:p>
            <w:pPr>
              <w:spacing w:after="0"/>
              <w:rPr>
                <w:sz w:val="17"/>
                <w:szCs w:val="17"/>
                <w:color w:val="auto"/>
              </w:rPr>
            </w:pPr>
          </w:p>
        </w:tc>
        <w:tc>
          <w:tcPr>
            <w:tcW w:w="1420" w:type="dxa"/>
            <w:vAlign w:val="bottom"/>
          </w:tcPr>
          <w:p>
            <w:pPr>
              <w:jc w:val="right"/>
              <w:ind w:right="279"/>
              <w:spacing w:after="0"/>
              <w:rPr>
                <w:sz w:val="20"/>
                <w:szCs w:val="20"/>
                <w:color w:val="auto"/>
              </w:rPr>
            </w:pPr>
            <w:r>
              <w:rPr>
                <w:rFonts w:ascii="Arial" w:cs="Arial" w:eastAsia="Arial" w:hAnsi="Arial"/>
                <w:sz w:val="16"/>
                <w:szCs w:val="16"/>
                <w:b w:val="1"/>
                <w:bCs w:val="1"/>
                <w:color w:val="auto"/>
                <w:w w:val="99"/>
              </w:rPr>
              <w:t>December 31,</w:t>
            </w:r>
          </w:p>
        </w:tc>
      </w:tr>
      <w:tr>
        <w:trPr>
          <w:trHeight w:val="210"/>
        </w:trPr>
        <w:tc>
          <w:tcPr>
            <w:tcW w:w="5400" w:type="dxa"/>
            <w:vAlign w:val="bottom"/>
          </w:tcPr>
          <w:p>
            <w:pPr>
              <w:ind w:left="20"/>
              <w:spacing w:after="0"/>
              <w:rPr>
                <w:sz w:val="20"/>
                <w:szCs w:val="20"/>
                <w:color w:val="auto"/>
              </w:rPr>
            </w:pPr>
            <w:r>
              <w:rPr>
                <w:rFonts w:ascii="Arial" w:cs="Arial" w:eastAsia="Arial" w:hAnsi="Arial"/>
                <w:sz w:val="16"/>
                <w:szCs w:val="16"/>
                <w:i w:val="1"/>
                <w:iCs w:val="1"/>
                <w:color w:val="auto"/>
              </w:rPr>
              <w:t>In millions</w:t>
            </w:r>
          </w:p>
        </w:tc>
        <w:tc>
          <w:tcPr>
            <w:tcW w:w="2720" w:type="dxa"/>
            <w:vAlign w:val="bottom"/>
          </w:tcPr>
          <w:p>
            <w:pPr>
              <w:spacing w:after="0"/>
              <w:rPr>
                <w:sz w:val="18"/>
                <w:szCs w:val="18"/>
                <w:color w:val="auto"/>
              </w:rPr>
            </w:pPr>
          </w:p>
        </w:tc>
        <w:tc>
          <w:tcPr>
            <w:tcW w:w="1380" w:type="dxa"/>
            <w:vAlign w:val="bottom"/>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260" w:type="dxa"/>
            <w:vAlign w:val="bottom"/>
          </w:tcPr>
          <w:p>
            <w:pPr>
              <w:spacing w:after="0"/>
              <w:rPr>
                <w:sz w:val="18"/>
                <w:szCs w:val="18"/>
                <w:color w:val="auto"/>
              </w:rPr>
            </w:pPr>
          </w:p>
        </w:tc>
        <w:tc>
          <w:tcPr>
            <w:tcW w:w="1420" w:type="dxa"/>
            <w:vAlign w:val="bottom"/>
          </w:tcPr>
          <w:p>
            <w:pPr>
              <w:jc w:val="right"/>
              <w:ind w:right="579"/>
              <w:spacing w:after="0"/>
              <w:rPr>
                <w:sz w:val="20"/>
                <w:szCs w:val="20"/>
                <w:color w:val="auto"/>
              </w:rPr>
            </w:pPr>
            <w:r>
              <w:rPr>
                <w:rFonts w:ascii="Arial" w:cs="Arial" w:eastAsia="Arial" w:hAnsi="Arial"/>
                <w:sz w:val="16"/>
                <w:szCs w:val="16"/>
                <w:b w:val="1"/>
                <w:bCs w:val="1"/>
                <w:color w:val="auto"/>
              </w:rPr>
              <w:t>2019</w:t>
            </w:r>
          </w:p>
        </w:tc>
      </w:tr>
      <w:tr>
        <w:trPr>
          <w:trHeight w:val="33"/>
        </w:trPr>
        <w:tc>
          <w:tcPr>
            <w:tcW w:w="540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0"/>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Inventories</w:t>
            </w:r>
          </w:p>
        </w:tc>
        <w:tc>
          <w:tcPr>
            <w:tcW w:w="27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r>
      <w:tr>
        <w:trPr>
          <w:trHeight w:val="223"/>
        </w:trPr>
        <w:tc>
          <w:tcPr>
            <w:tcW w:w="5400" w:type="dxa"/>
            <w:vAlign w:val="bottom"/>
          </w:tcPr>
          <w:p>
            <w:pPr>
              <w:ind w:left="20"/>
              <w:spacing w:after="0"/>
              <w:rPr>
                <w:sz w:val="20"/>
                <w:szCs w:val="20"/>
                <w:color w:val="auto"/>
              </w:rPr>
            </w:pPr>
            <w:r>
              <w:rPr>
                <w:rFonts w:ascii="Arial" w:cs="Arial" w:eastAsia="Arial" w:hAnsi="Arial"/>
                <w:sz w:val="16"/>
                <w:szCs w:val="16"/>
                <w:color w:val="auto"/>
              </w:rPr>
              <w:t>Raw materials and supplies</w:t>
            </w:r>
          </w:p>
        </w:tc>
        <w:tc>
          <w:tcPr>
            <w:tcW w:w="27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213.0</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196.2</w:t>
            </w:r>
          </w:p>
        </w:tc>
      </w:tr>
      <w:tr>
        <w:trPr>
          <w:trHeight w:val="33"/>
        </w:trPr>
        <w:tc>
          <w:tcPr>
            <w:tcW w:w="54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7"/>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Work-in-process</w:t>
            </w:r>
          </w:p>
        </w:tc>
        <w:tc>
          <w:tcPr>
            <w:tcW w:w="27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65.7</w:t>
            </w:r>
          </w:p>
        </w:tc>
        <w:tc>
          <w:tcPr>
            <w:tcW w:w="2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65.2</w:t>
            </w:r>
          </w:p>
        </w:tc>
      </w:tr>
      <w:tr>
        <w:trPr>
          <w:trHeight w:val="224"/>
        </w:trPr>
        <w:tc>
          <w:tcPr>
            <w:tcW w:w="5400" w:type="dxa"/>
            <w:vAlign w:val="bottom"/>
          </w:tcPr>
          <w:p>
            <w:pPr>
              <w:ind w:left="20"/>
              <w:spacing w:after="0"/>
              <w:rPr>
                <w:sz w:val="20"/>
                <w:szCs w:val="20"/>
                <w:color w:val="auto"/>
              </w:rPr>
            </w:pPr>
            <w:r>
              <w:rPr>
                <w:rFonts w:ascii="Arial" w:cs="Arial" w:eastAsia="Arial" w:hAnsi="Arial"/>
                <w:sz w:val="16"/>
                <w:szCs w:val="16"/>
                <w:color w:val="auto"/>
              </w:rPr>
              <w:t>Finished goods</w:t>
            </w:r>
          </w:p>
        </w:tc>
        <w:tc>
          <w:tcPr>
            <w:tcW w:w="27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123.0</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116.0</w:t>
            </w:r>
          </w:p>
        </w:tc>
      </w:tr>
      <w:tr>
        <w:trPr>
          <w:trHeight w:val="33"/>
        </w:trPr>
        <w:tc>
          <w:tcPr>
            <w:tcW w:w="540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75"/>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inventories</w:t>
            </w:r>
          </w:p>
        </w:tc>
        <w:tc>
          <w:tcPr>
            <w:tcW w:w="2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401.7</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377.4</w:t>
            </w:r>
          </w:p>
        </w:tc>
      </w:tr>
      <w:tr>
        <w:trPr>
          <w:trHeight w:val="20"/>
        </w:trPr>
        <w:tc>
          <w:tcPr>
            <w:tcW w:w="5400" w:type="dxa"/>
            <w:vAlign w:val="bottom"/>
            <w:tcBorders>
              <w:top w:val="single" w:sz="8" w:color="auto"/>
              <w:bottom w:val="single" w:sz="8" w:color="auto"/>
            </w:tcBorders>
          </w:tcPr>
          <w:p>
            <w:pPr>
              <w:spacing w:after="0" w:line="20" w:lineRule="exact"/>
              <w:rPr>
                <w:sz w:val="1"/>
                <w:szCs w:val="1"/>
                <w:color w:val="auto"/>
              </w:rPr>
            </w:pPr>
          </w:p>
        </w:tc>
        <w:tc>
          <w:tcPr>
            <w:tcW w:w="27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198"/>
        </w:trPr>
        <w:tc>
          <w:tcPr>
            <w:tcW w:w="5400" w:type="dxa"/>
            <w:vAlign w:val="bottom"/>
          </w:tcPr>
          <w:p>
            <w:pPr>
              <w:ind w:left="20"/>
              <w:spacing w:after="0"/>
              <w:rPr>
                <w:sz w:val="20"/>
                <w:szCs w:val="20"/>
                <w:color w:val="auto"/>
              </w:rPr>
            </w:pPr>
            <w:r>
              <w:rPr>
                <w:rFonts w:ascii="Arial" w:cs="Arial" w:eastAsia="Arial" w:hAnsi="Arial"/>
                <w:sz w:val="16"/>
                <w:szCs w:val="16"/>
                <w:b w:val="1"/>
                <w:bCs w:val="1"/>
                <w:color w:val="auto"/>
              </w:rPr>
              <w:t>Other current assets</w:t>
            </w:r>
          </w:p>
        </w:tc>
        <w:tc>
          <w:tcPr>
            <w:tcW w:w="27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33"/>
        </w:trPr>
        <w:tc>
          <w:tcPr>
            <w:tcW w:w="54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7"/>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in excess of billings</w:t>
            </w:r>
          </w:p>
        </w:tc>
        <w:tc>
          <w:tcPr>
            <w:tcW w:w="2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55.6</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41.0</w:t>
            </w:r>
          </w:p>
        </w:tc>
      </w:tr>
      <w:tr>
        <w:trPr>
          <w:trHeight w:val="224"/>
        </w:trPr>
        <w:tc>
          <w:tcPr>
            <w:tcW w:w="5400" w:type="dxa"/>
            <w:vAlign w:val="bottom"/>
          </w:tcPr>
          <w:p>
            <w:pPr>
              <w:ind w:left="20"/>
              <w:spacing w:after="0"/>
              <w:rPr>
                <w:sz w:val="20"/>
                <w:szCs w:val="20"/>
                <w:color w:val="auto"/>
              </w:rPr>
            </w:pPr>
            <w:r>
              <w:rPr>
                <w:rFonts w:ascii="Arial" w:cs="Arial" w:eastAsia="Arial" w:hAnsi="Arial"/>
                <w:sz w:val="16"/>
                <w:szCs w:val="16"/>
                <w:color w:val="auto"/>
              </w:rPr>
              <w:t>Prepaid expenses</w:t>
            </w:r>
          </w:p>
        </w:tc>
        <w:tc>
          <w:tcPr>
            <w:tcW w:w="27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51.0</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48.3</w:t>
            </w:r>
          </w:p>
        </w:tc>
      </w:tr>
      <w:tr>
        <w:trPr>
          <w:trHeight w:val="33"/>
        </w:trPr>
        <w:tc>
          <w:tcPr>
            <w:tcW w:w="54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7"/>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Prepaid income taxes</w:t>
            </w:r>
          </w:p>
        </w:tc>
        <w:tc>
          <w:tcPr>
            <w:tcW w:w="27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2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w:t>
            </w:r>
          </w:p>
        </w:tc>
      </w:tr>
      <w:tr>
        <w:trPr>
          <w:trHeight w:val="223"/>
        </w:trPr>
        <w:tc>
          <w:tcPr>
            <w:tcW w:w="5400" w:type="dxa"/>
            <w:vAlign w:val="bottom"/>
          </w:tcPr>
          <w:p>
            <w:pPr>
              <w:ind w:left="20"/>
              <w:spacing w:after="0"/>
              <w:rPr>
                <w:sz w:val="20"/>
                <w:szCs w:val="20"/>
                <w:color w:val="auto"/>
              </w:rPr>
            </w:pPr>
            <w:r>
              <w:rPr>
                <w:rFonts w:ascii="Arial" w:cs="Arial" w:eastAsia="Arial" w:hAnsi="Arial"/>
                <w:sz w:val="16"/>
                <w:szCs w:val="16"/>
                <w:color w:val="auto"/>
              </w:rPr>
              <w:t>Other current assets</w:t>
            </w:r>
          </w:p>
        </w:tc>
        <w:tc>
          <w:tcPr>
            <w:tcW w:w="27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3.2</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33"/>
        </w:trPr>
        <w:tc>
          <w:tcPr>
            <w:tcW w:w="540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75"/>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other current assets</w:t>
            </w:r>
          </w:p>
        </w:tc>
        <w:tc>
          <w:tcPr>
            <w:tcW w:w="2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117.1</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99.1</w:t>
            </w:r>
          </w:p>
        </w:tc>
      </w:tr>
      <w:tr>
        <w:trPr>
          <w:trHeight w:val="20"/>
        </w:trPr>
        <w:tc>
          <w:tcPr>
            <w:tcW w:w="5400" w:type="dxa"/>
            <w:vAlign w:val="bottom"/>
            <w:tcBorders>
              <w:top w:val="single" w:sz="8" w:color="auto"/>
              <w:bottom w:val="single" w:sz="8" w:color="auto"/>
            </w:tcBorders>
          </w:tcPr>
          <w:p>
            <w:pPr>
              <w:spacing w:after="0" w:line="20" w:lineRule="exact"/>
              <w:rPr>
                <w:sz w:val="1"/>
                <w:szCs w:val="1"/>
                <w:color w:val="auto"/>
              </w:rPr>
            </w:pPr>
          </w:p>
        </w:tc>
        <w:tc>
          <w:tcPr>
            <w:tcW w:w="27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198"/>
        </w:trPr>
        <w:tc>
          <w:tcPr>
            <w:tcW w:w="5400" w:type="dxa"/>
            <w:vAlign w:val="bottom"/>
          </w:tcPr>
          <w:p>
            <w:pPr>
              <w:ind w:left="20"/>
              <w:spacing w:after="0"/>
              <w:rPr>
                <w:sz w:val="20"/>
                <w:szCs w:val="20"/>
                <w:color w:val="auto"/>
              </w:rPr>
            </w:pPr>
            <w:r>
              <w:rPr>
                <w:rFonts w:ascii="Arial" w:cs="Arial" w:eastAsia="Arial" w:hAnsi="Arial"/>
                <w:sz w:val="16"/>
                <w:szCs w:val="16"/>
                <w:b w:val="1"/>
                <w:bCs w:val="1"/>
                <w:color w:val="auto"/>
              </w:rPr>
              <w:t>Property, plant and equipment, net</w:t>
            </w:r>
          </w:p>
        </w:tc>
        <w:tc>
          <w:tcPr>
            <w:tcW w:w="27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33"/>
        </w:trPr>
        <w:tc>
          <w:tcPr>
            <w:tcW w:w="54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7"/>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Land and land improvements</w:t>
            </w:r>
          </w:p>
        </w:tc>
        <w:tc>
          <w:tcPr>
            <w:tcW w:w="2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34.7</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33.7</w:t>
            </w:r>
          </w:p>
        </w:tc>
      </w:tr>
      <w:tr>
        <w:trPr>
          <w:trHeight w:val="223"/>
        </w:trPr>
        <w:tc>
          <w:tcPr>
            <w:tcW w:w="5400" w:type="dxa"/>
            <w:vAlign w:val="bottom"/>
          </w:tcPr>
          <w:p>
            <w:pPr>
              <w:ind w:left="20"/>
              <w:spacing w:after="0"/>
              <w:rPr>
                <w:sz w:val="20"/>
                <w:szCs w:val="20"/>
                <w:color w:val="auto"/>
              </w:rPr>
            </w:pPr>
            <w:r>
              <w:rPr>
                <w:rFonts w:ascii="Arial" w:cs="Arial" w:eastAsia="Arial" w:hAnsi="Arial"/>
                <w:sz w:val="16"/>
                <w:szCs w:val="16"/>
                <w:color w:val="auto"/>
              </w:rPr>
              <w:t>Buildings and leasehold improvements</w:t>
            </w:r>
          </w:p>
        </w:tc>
        <w:tc>
          <w:tcPr>
            <w:tcW w:w="27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190.7</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188.1</w:t>
            </w:r>
          </w:p>
        </w:tc>
      </w:tr>
      <w:tr>
        <w:trPr>
          <w:trHeight w:val="33"/>
        </w:trPr>
        <w:tc>
          <w:tcPr>
            <w:tcW w:w="54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6"/>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Machinery and equipment</w:t>
            </w:r>
          </w:p>
        </w:tc>
        <w:tc>
          <w:tcPr>
            <w:tcW w:w="27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566.2</w:t>
            </w:r>
          </w:p>
        </w:tc>
        <w:tc>
          <w:tcPr>
            <w:tcW w:w="2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537.2</w:t>
            </w:r>
          </w:p>
        </w:tc>
      </w:tr>
      <w:tr>
        <w:trPr>
          <w:trHeight w:val="224"/>
        </w:trPr>
        <w:tc>
          <w:tcPr>
            <w:tcW w:w="5400" w:type="dxa"/>
            <w:vAlign w:val="bottom"/>
          </w:tcPr>
          <w:p>
            <w:pPr>
              <w:ind w:left="20"/>
              <w:spacing w:after="0"/>
              <w:rPr>
                <w:sz w:val="20"/>
                <w:szCs w:val="20"/>
                <w:color w:val="auto"/>
              </w:rPr>
            </w:pPr>
            <w:r>
              <w:rPr>
                <w:rFonts w:ascii="Arial" w:cs="Arial" w:eastAsia="Arial" w:hAnsi="Arial"/>
                <w:sz w:val="16"/>
                <w:szCs w:val="16"/>
                <w:color w:val="auto"/>
              </w:rPr>
              <w:t>Capitalized software</w:t>
            </w:r>
          </w:p>
        </w:tc>
        <w:tc>
          <w:tcPr>
            <w:tcW w:w="27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74.5</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73.5</w:t>
            </w:r>
          </w:p>
        </w:tc>
      </w:tr>
      <w:tr>
        <w:trPr>
          <w:trHeight w:val="33"/>
        </w:trPr>
        <w:tc>
          <w:tcPr>
            <w:tcW w:w="54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62"/>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Construction in progress</w:t>
            </w:r>
          </w:p>
        </w:tc>
        <w:tc>
          <w:tcPr>
            <w:tcW w:w="27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54.2</w:t>
            </w:r>
          </w:p>
        </w:tc>
        <w:tc>
          <w:tcPr>
            <w:tcW w:w="2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48.1</w:t>
            </w:r>
          </w:p>
        </w:tc>
      </w:tr>
      <w:tr>
        <w:trPr>
          <w:trHeight w:val="217"/>
        </w:trPr>
        <w:tc>
          <w:tcPr>
            <w:tcW w:w="54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Total property, plant and equipment</w:t>
            </w:r>
          </w:p>
        </w:tc>
        <w:tc>
          <w:tcPr>
            <w:tcW w:w="27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920.3</w:t>
            </w:r>
          </w:p>
        </w:tc>
        <w:tc>
          <w:tcPr>
            <w:tcW w:w="2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880.6</w:t>
            </w:r>
          </w:p>
        </w:tc>
      </w:tr>
      <w:tr>
        <w:trPr>
          <w:trHeight w:val="33"/>
        </w:trPr>
        <w:tc>
          <w:tcPr>
            <w:tcW w:w="54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62"/>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Accumulated depreciation and amortization</w:t>
            </w:r>
          </w:p>
        </w:tc>
        <w:tc>
          <w:tcPr>
            <w:tcW w:w="27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629.2</w:t>
            </w:r>
          </w:p>
        </w:tc>
        <w:tc>
          <w:tcPr>
            <w:tcW w:w="2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597.4</w:t>
            </w:r>
          </w:p>
        </w:tc>
      </w:tr>
      <w:tr>
        <w:trPr>
          <w:trHeight w:val="217"/>
        </w:trPr>
        <w:tc>
          <w:tcPr>
            <w:tcW w:w="54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Total property, plant and equipment, net</w:t>
            </w:r>
          </w:p>
        </w:tc>
        <w:tc>
          <w:tcPr>
            <w:tcW w:w="27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291.1</w:t>
            </w: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283.2</w:t>
            </w:r>
          </w:p>
        </w:tc>
      </w:tr>
      <w:tr>
        <w:trPr>
          <w:trHeight w:val="33"/>
        </w:trPr>
        <w:tc>
          <w:tcPr>
            <w:tcW w:w="540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5400" w:type="dxa"/>
            <w:vAlign w:val="bottom"/>
            <w:tcBorders>
              <w:bottom w:val="single" w:sz="8" w:color="auto"/>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31"/>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Other non-current assets</w:t>
            </w:r>
          </w:p>
        </w:tc>
        <w:tc>
          <w:tcPr>
            <w:tcW w:w="27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r>
      <w:tr>
        <w:trPr>
          <w:trHeight w:val="223"/>
        </w:trPr>
        <w:tc>
          <w:tcPr>
            <w:tcW w:w="5400" w:type="dxa"/>
            <w:vAlign w:val="bottom"/>
          </w:tcPr>
          <w:p>
            <w:pPr>
              <w:ind w:left="20"/>
              <w:spacing w:after="0"/>
              <w:rPr>
                <w:sz w:val="20"/>
                <w:szCs w:val="20"/>
                <w:color w:val="auto"/>
              </w:rPr>
            </w:pPr>
            <w:r>
              <w:rPr>
                <w:rFonts w:ascii="Arial" w:cs="Arial" w:eastAsia="Arial" w:hAnsi="Arial"/>
                <w:sz w:val="16"/>
                <w:szCs w:val="16"/>
                <w:color w:val="auto"/>
              </w:rPr>
              <w:t>Right-of-use lease assets</w:t>
            </w:r>
          </w:p>
        </w:tc>
        <w:tc>
          <w:tcPr>
            <w:tcW w:w="27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78.0</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77.2</w:t>
            </w:r>
          </w:p>
        </w:tc>
      </w:tr>
      <w:tr>
        <w:trPr>
          <w:trHeight w:val="33"/>
        </w:trPr>
        <w:tc>
          <w:tcPr>
            <w:tcW w:w="54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7"/>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income taxes</w:t>
            </w:r>
          </w:p>
        </w:tc>
        <w:tc>
          <w:tcPr>
            <w:tcW w:w="27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2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29.6</w:t>
            </w:r>
          </w:p>
        </w:tc>
      </w:tr>
      <w:tr>
        <w:trPr>
          <w:trHeight w:val="223"/>
        </w:trPr>
        <w:tc>
          <w:tcPr>
            <w:tcW w:w="5400" w:type="dxa"/>
            <w:vAlign w:val="bottom"/>
          </w:tcPr>
          <w:p>
            <w:pPr>
              <w:ind w:left="20"/>
              <w:spacing w:after="0"/>
              <w:rPr>
                <w:sz w:val="20"/>
                <w:szCs w:val="20"/>
                <w:color w:val="auto"/>
              </w:rPr>
            </w:pPr>
            <w:r>
              <w:rPr>
                <w:rFonts w:ascii="Arial" w:cs="Arial" w:eastAsia="Arial" w:hAnsi="Arial"/>
                <w:sz w:val="16"/>
                <w:szCs w:val="16"/>
                <w:color w:val="auto"/>
              </w:rPr>
              <w:t>Deferred compensation plan assets</w:t>
            </w:r>
          </w:p>
        </w:tc>
        <w:tc>
          <w:tcPr>
            <w:tcW w:w="27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19.8</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21.3</w:t>
            </w:r>
          </w:p>
        </w:tc>
      </w:tr>
      <w:tr>
        <w:trPr>
          <w:trHeight w:val="33"/>
        </w:trPr>
        <w:tc>
          <w:tcPr>
            <w:tcW w:w="54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62"/>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non-current assets</w:t>
            </w:r>
          </w:p>
        </w:tc>
        <w:tc>
          <w:tcPr>
            <w:tcW w:w="27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68.6</w:t>
            </w:r>
          </w:p>
        </w:tc>
        <w:tc>
          <w:tcPr>
            <w:tcW w:w="2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68.8</w:t>
            </w:r>
          </w:p>
        </w:tc>
      </w:tr>
      <w:tr>
        <w:trPr>
          <w:trHeight w:val="217"/>
        </w:trPr>
        <w:tc>
          <w:tcPr>
            <w:tcW w:w="54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Total other non-current assets</w:t>
            </w:r>
          </w:p>
        </w:tc>
        <w:tc>
          <w:tcPr>
            <w:tcW w:w="27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196.0</w:t>
            </w: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196.9</w:t>
            </w:r>
          </w:p>
        </w:tc>
      </w:tr>
      <w:tr>
        <w:trPr>
          <w:trHeight w:val="33"/>
        </w:trPr>
        <w:tc>
          <w:tcPr>
            <w:tcW w:w="540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5400" w:type="dxa"/>
            <w:vAlign w:val="bottom"/>
            <w:tcBorders>
              <w:bottom w:val="single" w:sz="8" w:color="auto"/>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30"/>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Other current liabilities</w:t>
            </w:r>
          </w:p>
        </w:tc>
        <w:tc>
          <w:tcPr>
            <w:tcW w:w="27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r>
      <w:tr>
        <w:trPr>
          <w:trHeight w:val="223"/>
        </w:trPr>
        <w:tc>
          <w:tcPr>
            <w:tcW w:w="5400" w:type="dxa"/>
            <w:vAlign w:val="bottom"/>
          </w:tcPr>
          <w:p>
            <w:pPr>
              <w:ind w:left="20"/>
              <w:spacing w:after="0"/>
              <w:rPr>
                <w:sz w:val="20"/>
                <w:szCs w:val="20"/>
                <w:color w:val="auto"/>
              </w:rPr>
            </w:pPr>
            <w:r>
              <w:rPr>
                <w:rFonts w:ascii="Arial" w:cs="Arial" w:eastAsia="Arial" w:hAnsi="Arial"/>
                <w:sz w:val="16"/>
                <w:szCs w:val="16"/>
                <w:color w:val="auto"/>
              </w:rPr>
              <w:t>Dividends payable</w:t>
            </w:r>
          </w:p>
        </w:tc>
        <w:tc>
          <w:tcPr>
            <w:tcW w:w="27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31.7</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32.0</w:t>
            </w:r>
          </w:p>
        </w:tc>
      </w:tr>
      <w:tr>
        <w:trPr>
          <w:trHeight w:val="33"/>
        </w:trPr>
        <w:tc>
          <w:tcPr>
            <w:tcW w:w="54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7"/>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Accrued warranty</w:t>
            </w:r>
          </w:p>
        </w:tc>
        <w:tc>
          <w:tcPr>
            <w:tcW w:w="27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36.2</w:t>
            </w:r>
          </w:p>
        </w:tc>
        <w:tc>
          <w:tcPr>
            <w:tcW w:w="2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32.1</w:t>
            </w:r>
          </w:p>
        </w:tc>
      </w:tr>
      <w:tr>
        <w:trPr>
          <w:trHeight w:val="223"/>
        </w:trPr>
        <w:tc>
          <w:tcPr>
            <w:tcW w:w="5400" w:type="dxa"/>
            <w:vAlign w:val="bottom"/>
          </w:tcPr>
          <w:p>
            <w:pPr>
              <w:ind w:left="20"/>
              <w:spacing w:after="0"/>
              <w:rPr>
                <w:sz w:val="20"/>
                <w:szCs w:val="20"/>
                <w:color w:val="auto"/>
              </w:rPr>
            </w:pPr>
            <w:r>
              <w:rPr>
                <w:rFonts w:ascii="Arial" w:cs="Arial" w:eastAsia="Arial" w:hAnsi="Arial"/>
                <w:sz w:val="16"/>
                <w:szCs w:val="16"/>
                <w:color w:val="auto"/>
              </w:rPr>
              <w:t>Accrued rebates and incentives</w:t>
            </w:r>
          </w:p>
        </w:tc>
        <w:tc>
          <w:tcPr>
            <w:tcW w:w="27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148.7</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83.5</w:t>
            </w:r>
          </w:p>
        </w:tc>
      </w:tr>
      <w:tr>
        <w:trPr>
          <w:trHeight w:val="33"/>
        </w:trPr>
        <w:tc>
          <w:tcPr>
            <w:tcW w:w="54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6"/>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Billings in excess of cost</w:t>
            </w:r>
          </w:p>
        </w:tc>
        <w:tc>
          <w:tcPr>
            <w:tcW w:w="27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2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22.5</w:t>
            </w:r>
          </w:p>
        </w:tc>
      </w:tr>
      <w:tr>
        <w:trPr>
          <w:trHeight w:val="223"/>
        </w:trPr>
        <w:tc>
          <w:tcPr>
            <w:tcW w:w="5400" w:type="dxa"/>
            <w:vAlign w:val="bottom"/>
          </w:tcPr>
          <w:p>
            <w:pPr>
              <w:ind w:left="20"/>
              <w:spacing w:after="0"/>
              <w:rPr>
                <w:sz w:val="20"/>
                <w:szCs w:val="20"/>
                <w:color w:val="auto"/>
              </w:rPr>
            </w:pPr>
            <w:r>
              <w:rPr>
                <w:rFonts w:ascii="Arial" w:cs="Arial" w:eastAsia="Arial" w:hAnsi="Arial"/>
                <w:sz w:val="16"/>
                <w:szCs w:val="16"/>
                <w:color w:val="auto"/>
              </w:rPr>
              <w:t>Current lease liability</w:t>
            </w:r>
          </w:p>
        </w:tc>
        <w:tc>
          <w:tcPr>
            <w:tcW w:w="27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20.2</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19.0</w:t>
            </w:r>
          </w:p>
        </w:tc>
      </w:tr>
      <w:tr>
        <w:trPr>
          <w:trHeight w:val="33"/>
        </w:trPr>
        <w:tc>
          <w:tcPr>
            <w:tcW w:w="54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6"/>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taxes payable</w:t>
            </w:r>
          </w:p>
        </w:tc>
        <w:tc>
          <w:tcPr>
            <w:tcW w:w="27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2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w:t>
            </w:r>
          </w:p>
        </w:tc>
      </w:tr>
      <w:tr>
        <w:trPr>
          <w:trHeight w:val="223"/>
        </w:trPr>
        <w:tc>
          <w:tcPr>
            <w:tcW w:w="5400" w:type="dxa"/>
            <w:vAlign w:val="bottom"/>
          </w:tcPr>
          <w:p>
            <w:pPr>
              <w:ind w:left="20"/>
              <w:spacing w:after="0"/>
              <w:rPr>
                <w:sz w:val="20"/>
                <w:szCs w:val="20"/>
                <w:color w:val="auto"/>
              </w:rPr>
            </w:pPr>
            <w:r>
              <w:rPr>
                <w:rFonts w:ascii="Arial" w:cs="Arial" w:eastAsia="Arial" w:hAnsi="Arial"/>
                <w:sz w:val="16"/>
                <w:szCs w:val="16"/>
                <w:color w:val="auto"/>
              </w:rPr>
              <w:t>Accrued restructuring</w:t>
            </w:r>
          </w:p>
        </w:tc>
        <w:tc>
          <w:tcPr>
            <w:tcW w:w="27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12.4</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16.2</w:t>
            </w:r>
          </w:p>
        </w:tc>
      </w:tr>
      <w:tr>
        <w:trPr>
          <w:trHeight w:val="33"/>
        </w:trPr>
        <w:tc>
          <w:tcPr>
            <w:tcW w:w="54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61"/>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current liabilities</w:t>
            </w:r>
          </w:p>
        </w:tc>
        <w:tc>
          <w:tcPr>
            <w:tcW w:w="27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141.6</w:t>
            </w:r>
          </w:p>
        </w:tc>
        <w:tc>
          <w:tcPr>
            <w:tcW w:w="2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136.5</w:t>
            </w:r>
          </w:p>
        </w:tc>
      </w:tr>
      <w:tr>
        <w:trPr>
          <w:trHeight w:val="217"/>
        </w:trPr>
        <w:tc>
          <w:tcPr>
            <w:tcW w:w="54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Total other current liabilities</w:t>
            </w:r>
          </w:p>
        </w:tc>
        <w:tc>
          <w:tcPr>
            <w:tcW w:w="27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435.3</w:t>
            </w: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352.9</w:t>
            </w:r>
          </w:p>
        </w:tc>
      </w:tr>
      <w:tr>
        <w:trPr>
          <w:trHeight w:val="33"/>
        </w:trPr>
        <w:tc>
          <w:tcPr>
            <w:tcW w:w="540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5400" w:type="dxa"/>
            <w:vAlign w:val="bottom"/>
            <w:tcBorders>
              <w:bottom w:val="single" w:sz="8" w:color="auto"/>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30"/>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Other non-current liabilities</w:t>
            </w:r>
          </w:p>
        </w:tc>
        <w:tc>
          <w:tcPr>
            <w:tcW w:w="27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r>
      <w:tr>
        <w:trPr>
          <w:trHeight w:val="223"/>
        </w:trPr>
        <w:tc>
          <w:tcPr>
            <w:tcW w:w="5400" w:type="dxa"/>
            <w:vAlign w:val="bottom"/>
          </w:tcPr>
          <w:p>
            <w:pPr>
              <w:ind w:left="20"/>
              <w:spacing w:after="0"/>
              <w:rPr>
                <w:sz w:val="20"/>
                <w:szCs w:val="20"/>
                <w:color w:val="auto"/>
              </w:rPr>
            </w:pPr>
            <w:r>
              <w:rPr>
                <w:rFonts w:ascii="Arial" w:cs="Arial" w:eastAsia="Arial" w:hAnsi="Arial"/>
                <w:sz w:val="16"/>
                <w:szCs w:val="16"/>
                <w:color w:val="auto"/>
              </w:rPr>
              <w:t>Long-term lease liability</w:t>
            </w:r>
          </w:p>
        </w:tc>
        <w:tc>
          <w:tcPr>
            <w:tcW w:w="27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62.4</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61.1</w:t>
            </w:r>
          </w:p>
        </w:tc>
      </w:tr>
      <w:tr>
        <w:trPr>
          <w:trHeight w:val="33"/>
        </w:trPr>
        <w:tc>
          <w:tcPr>
            <w:tcW w:w="54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6"/>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taxes payable</w:t>
            </w:r>
          </w:p>
        </w:tc>
        <w:tc>
          <w:tcPr>
            <w:tcW w:w="27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45.6</w:t>
            </w:r>
          </w:p>
        </w:tc>
        <w:tc>
          <w:tcPr>
            <w:tcW w:w="2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45.4</w:t>
            </w:r>
          </w:p>
        </w:tc>
      </w:tr>
      <w:tr>
        <w:trPr>
          <w:trHeight w:val="223"/>
        </w:trPr>
        <w:tc>
          <w:tcPr>
            <w:tcW w:w="5400" w:type="dxa"/>
            <w:vAlign w:val="bottom"/>
          </w:tcPr>
          <w:p>
            <w:pPr>
              <w:ind w:left="20"/>
              <w:spacing w:after="0"/>
              <w:rPr>
                <w:sz w:val="20"/>
                <w:szCs w:val="20"/>
                <w:color w:val="auto"/>
              </w:rPr>
            </w:pPr>
            <w:r>
              <w:rPr>
                <w:rFonts w:ascii="Arial" w:cs="Arial" w:eastAsia="Arial" w:hAnsi="Arial"/>
                <w:sz w:val="16"/>
                <w:szCs w:val="16"/>
                <w:color w:val="auto"/>
              </w:rPr>
              <w:t>Self-insurance liabilities</w:t>
            </w:r>
          </w:p>
        </w:tc>
        <w:tc>
          <w:tcPr>
            <w:tcW w:w="27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39.8</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41.6</w:t>
            </w:r>
          </w:p>
        </w:tc>
      </w:tr>
      <w:tr>
        <w:trPr>
          <w:trHeight w:val="33"/>
        </w:trPr>
        <w:tc>
          <w:tcPr>
            <w:tcW w:w="54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6"/>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compensation plan liabilities</w:t>
            </w:r>
          </w:p>
        </w:tc>
        <w:tc>
          <w:tcPr>
            <w:tcW w:w="27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2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21.3</w:t>
            </w:r>
          </w:p>
        </w:tc>
      </w:tr>
      <w:tr>
        <w:trPr>
          <w:trHeight w:val="224"/>
        </w:trPr>
        <w:tc>
          <w:tcPr>
            <w:tcW w:w="5400" w:type="dxa"/>
            <w:vAlign w:val="bottom"/>
          </w:tcPr>
          <w:p>
            <w:pPr>
              <w:ind w:left="20"/>
              <w:spacing w:after="0"/>
              <w:rPr>
                <w:sz w:val="20"/>
                <w:szCs w:val="20"/>
                <w:color w:val="auto"/>
              </w:rPr>
            </w:pPr>
            <w:r>
              <w:rPr>
                <w:rFonts w:ascii="Arial" w:cs="Arial" w:eastAsia="Arial" w:hAnsi="Arial"/>
                <w:sz w:val="16"/>
                <w:szCs w:val="16"/>
                <w:color w:val="auto"/>
              </w:rPr>
              <w:t>Foreign currency contract liabilities</w:t>
            </w:r>
          </w:p>
        </w:tc>
        <w:tc>
          <w:tcPr>
            <w:tcW w:w="27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27.8</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11.6</w:t>
            </w:r>
          </w:p>
        </w:tc>
      </w:tr>
      <w:tr>
        <w:trPr>
          <w:trHeight w:val="33"/>
        </w:trPr>
        <w:tc>
          <w:tcPr>
            <w:tcW w:w="54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61"/>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non-current liabilities</w:t>
            </w:r>
          </w:p>
        </w:tc>
        <w:tc>
          <w:tcPr>
            <w:tcW w:w="27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27.7</w:t>
            </w:r>
          </w:p>
        </w:tc>
        <w:tc>
          <w:tcPr>
            <w:tcW w:w="2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25.7</w:t>
            </w:r>
          </w:p>
        </w:tc>
      </w:tr>
      <w:tr>
        <w:trPr>
          <w:trHeight w:val="217"/>
        </w:trPr>
        <w:tc>
          <w:tcPr>
            <w:tcW w:w="54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Total other non-current liabilities</w:t>
            </w:r>
          </w:p>
        </w:tc>
        <w:tc>
          <w:tcPr>
            <w:tcW w:w="27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223.1</w:t>
            </w: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206.7</w:t>
            </w:r>
          </w:p>
        </w:tc>
      </w:tr>
      <w:tr>
        <w:trPr>
          <w:trHeight w:val="33"/>
        </w:trPr>
        <w:tc>
          <w:tcPr>
            <w:tcW w:w="540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
        </w:trPr>
        <w:tc>
          <w:tcPr>
            <w:tcW w:w="5400" w:type="dxa"/>
            <w:vAlign w:val="bottom"/>
            <w:tcBorders>
              <w:bottom w:val="single" w:sz="8" w:color="auto"/>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20" w:top="122" w:right="399" w:bottom="112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2" w:right="399" w:bottom="1128" w:gutter="0" w:footer="0" w:header="0"/>
          <w:type w:val="continuous"/>
        </w:sectPr>
      </w:pPr>
    </w:p>
    <w:bookmarkStart w:id="13" w:name="page14"/>
    <w:bookmarkEnd w:id="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Identifiable Intangible Assets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reportable segment were as follows: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December 31,</w:t>
            </w:r>
          </w:p>
        </w:tc>
        <w:tc>
          <w:tcPr>
            <w:tcW w:w="178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Purchase Accounting</w:t>
            </w: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Foreign currency</w:t>
            </w:r>
          </w:p>
        </w:tc>
        <w:tc>
          <w:tcPr>
            <w:tcW w:w="180" w:type="dxa"/>
            <w:vAlign w:val="bottom"/>
          </w:tcPr>
          <w:p>
            <w:pPr>
              <w:spacing w:after="0"/>
              <w:rPr>
                <w:sz w:val="18"/>
                <w:szCs w:val="18"/>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September 30,</w:t>
            </w:r>
          </w:p>
        </w:tc>
      </w:tr>
      <w:tr>
        <w:trPr>
          <w:trHeight w:val="234"/>
        </w:trPr>
        <w:tc>
          <w:tcPr>
            <w:tcW w:w="2620" w:type="dxa"/>
            <w:vAlign w:val="bottom"/>
          </w:tcPr>
          <w:p>
            <w:pPr>
              <w:ind w:left="20"/>
              <w:spacing w:after="0"/>
              <w:rPr>
                <w:sz w:val="20"/>
                <w:szCs w:val="20"/>
                <w:color w:val="auto"/>
              </w:rPr>
            </w:pPr>
            <w:r>
              <w:rPr>
                <w:rFonts w:ascii="Arial" w:cs="Arial" w:eastAsia="Arial" w:hAnsi="Arial"/>
                <w:sz w:val="18"/>
                <w:szCs w:val="18"/>
                <w:i w:val="1"/>
                <w:iCs w:val="1"/>
                <w:color w:val="auto"/>
              </w:rPr>
              <w:t>In millions</w:t>
            </w:r>
          </w:p>
        </w:tc>
        <w:tc>
          <w:tcPr>
            <w:tcW w:w="48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300" w:type="dxa"/>
            <w:vAlign w:val="bottom"/>
          </w:tcPr>
          <w:p>
            <w:pPr>
              <w:spacing w:after="0"/>
              <w:rPr>
                <w:sz w:val="20"/>
                <w:szCs w:val="20"/>
                <w:color w:val="auto"/>
              </w:rPr>
            </w:pPr>
          </w:p>
        </w:tc>
        <w:tc>
          <w:tcPr>
            <w:tcW w:w="1480" w:type="dxa"/>
            <w:vAlign w:val="bottom"/>
          </w:tcPr>
          <w:p>
            <w:pPr>
              <w:jc w:val="right"/>
              <w:ind w:right="270"/>
              <w:spacing w:after="0"/>
              <w:rPr>
                <w:sz w:val="20"/>
                <w:szCs w:val="20"/>
                <w:color w:val="auto"/>
              </w:rPr>
            </w:pPr>
            <w:r>
              <w:rPr>
                <w:rFonts w:ascii="Arial" w:cs="Arial" w:eastAsia="Arial" w:hAnsi="Arial"/>
                <w:sz w:val="18"/>
                <w:szCs w:val="18"/>
                <w:b w:val="1"/>
                <w:bCs w:val="1"/>
                <w:color w:val="auto"/>
              </w:rPr>
              <w:t>Adjustments</w:t>
            </w:r>
          </w:p>
        </w:tc>
        <w:tc>
          <w:tcPr>
            <w:tcW w:w="260" w:type="dxa"/>
            <w:vAlign w:val="bottom"/>
          </w:tcPr>
          <w:p>
            <w:pPr>
              <w:spacing w:after="0"/>
              <w:rPr>
                <w:sz w:val="20"/>
                <w:szCs w:val="20"/>
                <w:color w:val="auto"/>
              </w:rPr>
            </w:pPr>
          </w:p>
        </w:tc>
        <w:tc>
          <w:tcPr>
            <w:tcW w:w="1360" w:type="dxa"/>
            <w:vAlign w:val="bottom"/>
          </w:tcPr>
          <w:p>
            <w:pPr>
              <w:jc w:val="right"/>
              <w:ind w:right="210"/>
              <w:spacing w:after="0"/>
              <w:rPr>
                <w:sz w:val="20"/>
                <w:szCs w:val="20"/>
                <w:color w:val="auto"/>
              </w:rPr>
            </w:pPr>
            <w:r>
              <w:rPr>
                <w:rFonts w:ascii="Arial" w:cs="Arial" w:eastAsia="Arial" w:hAnsi="Arial"/>
                <w:sz w:val="18"/>
                <w:szCs w:val="18"/>
                <w:b w:val="1"/>
                <w:bCs w:val="1"/>
                <w:color w:val="auto"/>
                <w:w w:val="96"/>
              </w:rPr>
              <w:t>Acquisitions</w:t>
            </w:r>
          </w:p>
        </w:tc>
        <w:tc>
          <w:tcPr>
            <w:tcW w:w="200" w:type="dxa"/>
            <w:vAlign w:val="bottom"/>
          </w:tcPr>
          <w:p>
            <w:pPr>
              <w:spacing w:after="0"/>
              <w:rPr>
                <w:sz w:val="20"/>
                <w:szCs w:val="20"/>
                <w:color w:val="auto"/>
              </w:rPr>
            </w:pPr>
          </w:p>
        </w:tc>
        <w:tc>
          <w:tcPr>
            <w:tcW w:w="1660" w:type="dxa"/>
            <w:vAlign w:val="bottom"/>
          </w:tcPr>
          <w:p>
            <w:pPr>
              <w:jc w:val="right"/>
              <w:ind w:right="190"/>
              <w:spacing w:after="0"/>
              <w:rPr>
                <w:sz w:val="20"/>
                <w:szCs w:val="20"/>
                <w:color w:val="auto"/>
              </w:rPr>
            </w:pPr>
            <w:r>
              <w:rPr>
                <w:rFonts w:ascii="Arial" w:cs="Arial" w:eastAsia="Arial" w:hAnsi="Arial"/>
                <w:sz w:val="18"/>
                <w:szCs w:val="18"/>
                <w:b w:val="1"/>
                <w:bCs w:val="1"/>
                <w:color w:val="auto"/>
                <w:w w:val="95"/>
              </w:rPr>
              <w:t>translation/other</w:t>
            </w:r>
          </w:p>
        </w:tc>
        <w:tc>
          <w:tcPr>
            <w:tcW w:w="18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2020</w:t>
            </w:r>
          </w:p>
        </w:tc>
      </w:tr>
      <w:tr>
        <w:trPr>
          <w:trHeight w:val="27"/>
        </w:trPr>
        <w:tc>
          <w:tcPr>
            <w:tcW w:w="26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Consumer Solutions</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1,501.4</w:t>
            </w:r>
          </w:p>
        </w:tc>
        <w:tc>
          <w:tcPr>
            <w:tcW w:w="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1,548.0</w:t>
            </w:r>
          </w:p>
        </w:tc>
      </w:tr>
      <w:tr>
        <w:trPr>
          <w:trHeight w:val="243"/>
        </w:trPr>
        <w:tc>
          <w:tcPr>
            <w:tcW w:w="2620" w:type="dxa"/>
            <w:vAlign w:val="bottom"/>
          </w:tcPr>
          <w:p>
            <w:pPr>
              <w:ind w:left="20"/>
              <w:spacing w:after="0"/>
              <w:rPr>
                <w:sz w:val="20"/>
                <w:szCs w:val="20"/>
                <w:color w:val="auto"/>
              </w:rPr>
            </w:pPr>
            <w:r>
              <w:rPr>
                <w:rFonts w:ascii="Arial" w:cs="Arial" w:eastAsia="Arial" w:hAnsi="Arial"/>
                <w:sz w:val="18"/>
                <w:szCs w:val="18"/>
                <w:color w:val="auto"/>
              </w:rPr>
              <w:t>Industrial &amp; Flow Technologies</w:t>
            </w:r>
          </w:p>
        </w:tc>
        <w:tc>
          <w:tcPr>
            <w:tcW w:w="4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756.9</w:t>
            </w:r>
          </w:p>
        </w:tc>
        <w:tc>
          <w:tcPr>
            <w:tcW w:w="3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24.7</w:t>
            </w: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781.6</w:t>
            </w:r>
          </w:p>
        </w:tc>
      </w:tr>
      <w:tr>
        <w:trPr>
          <w:trHeight w:val="27"/>
        </w:trPr>
        <w:tc>
          <w:tcPr>
            <w:tcW w:w="26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88"/>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goodwill</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2,258.3</w:t>
            </w:r>
          </w:p>
        </w:tc>
        <w:tc>
          <w:tcPr>
            <w:tcW w:w="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2,329.6</w:t>
            </w:r>
          </w:p>
        </w:tc>
      </w:tr>
      <w:tr>
        <w:trPr>
          <w:trHeight w:val="20"/>
        </w:trPr>
        <w:tc>
          <w:tcPr>
            <w:tcW w:w="2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Identifiable intangible assets consisted of the following:</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September 30,</w:t>
            </w: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December 31,</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4"/>
        </w:trPr>
        <w:tc>
          <w:tcPr>
            <w:tcW w:w="3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2020</w:t>
            </w: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2019</w:t>
            </w: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3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8"/>
        </w:trPr>
        <w:tc>
          <w:tcPr>
            <w:tcW w:w="3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Accumulated</w:t>
            </w: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Accumulated</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4"/>
        </w:trPr>
        <w:tc>
          <w:tcPr>
            <w:tcW w:w="3120" w:type="dxa"/>
            <w:vAlign w:val="bottom"/>
          </w:tcPr>
          <w:p>
            <w:pPr>
              <w:ind w:left="20"/>
              <w:spacing w:after="0"/>
              <w:rPr>
                <w:sz w:val="20"/>
                <w:szCs w:val="20"/>
                <w:color w:val="auto"/>
              </w:rPr>
            </w:pPr>
            <w:r>
              <w:rPr>
                <w:rFonts w:ascii="Arial" w:cs="Arial" w:eastAsia="Arial" w:hAnsi="Arial"/>
                <w:sz w:val="18"/>
                <w:szCs w:val="18"/>
                <w:i w:val="1"/>
                <w:iCs w:val="1"/>
                <w:color w:val="auto"/>
              </w:rPr>
              <w:t>In millions</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Cost</w:t>
            </w:r>
          </w:p>
        </w:tc>
        <w:tc>
          <w:tcPr>
            <w:tcW w:w="160" w:type="dxa"/>
            <w:vAlign w:val="bottom"/>
          </w:tcPr>
          <w:p>
            <w:pPr>
              <w:spacing w:after="0"/>
              <w:rPr>
                <w:sz w:val="20"/>
                <w:szCs w:val="20"/>
                <w:color w:val="auto"/>
              </w:rPr>
            </w:pPr>
          </w:p>
        </w:tc>
        <w:tc>
          <w:tcPr>
            <w:tcW w:w="126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amortization</w:t>
            </w:r>
          </w:p>
        </w:tc>
        <w:tc>
          <w:tcPr>
            <w:tcW w:w="320" w:type="dxa"/>
            <w:vAlign w:val="bottom"/>
          </w:tcPr>
          <w:p>
            <w:pPr>
              <w:spacing w:after="0"/>
              <w:rPr>
                <w:sz w:val="20"/>
                <w:szCs w:val="20"/>
                <w:color w:val="auto"/>
              </w:rPr>
            </w:pPr>
          </w:p>
        </w:tc>
        <w:tc>
          <w:tcPr>
            <w:tcW w:w="1100" w:type="dxa"/>
            <w:vAlign w:val="bottom"/>
            <w:gridSpan w:val="2"/>
          </w:tcPr>
          <w:p>
            <w:pPr>
              <w:ind w:left="200"/>
              <w:spacing w:after="0"/>
              <w:rPr>
                <w:sz w:val="20"/>
                <w:szCs w:val="20"/>
                <w:color w:val="auto"/>
              </w:rPr>
            </w:pPr>
            <w:r>
              <w:rPr>
                <w:rFonts w:ascii="Arial" w:cs="Arial" w:eastAsia="Arial" w:hAnsi="Arial"/>
                <w:sz w:val="18"/>
                <w:szCs w:val="18"/>
                <w:b w:val="1"/>
                <w:bCs w:val="1"/>
                <w:color w:val="auto"/>
              </w:rPr>
              <w:t>Net</w:t>
            </w:r>
          </w:p>
        </w:tc>
        <w:tc>
          <w:tcPr>
            <w:tcW w:w="30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Cost</w:t>
            </w:r>
          </w:p>
        </w:tc>
        <w:tc>
          <w:tcPr>
            <w:tcW w:w="160" w:type="dxa"/>
            <w:vAlign w:val="bottom"/>
          </w:tcPr>
          <w:p>
            <w:pPr>
              <w:spacing w:after="0"/>
              <w:rPr>
                <w:sz w:val="20"/>
                <w:szCs w:val="20"/>
                <w:color w:val="auto"/>
              </w:rPr>
            </w:pPr>
          </w:p>
        </w:tc>
        <w:tc>
          <w:tcPr>
            <w:tcW w:w="126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amortization</w:t>
            </w:r>
          </w:p>
        </w:tc>
        <w:tc>
          <w:tcPr>
            <w:tcW w:w="320" w:type="dxa"/>
            <w:vAlign w:val="bottom"/>
          </w:tcPr>
          <w:p>
            <w:pPr>
              <w:spacing w:after="0"/>
              <w:rPr>
                <w:sz w:val="20"/>
                <w:szCs w:val="20"/>
                <w:color w:val="auto"/>
              </w:rPr>
            </w:pPr>
          </w:p>
        </w:tc>
        <w:tc>
          <w:tcPr>
            <w:tcW w:w="1000" w:type="dxa"/>
            <w:vAlign w:val="bottom"/>
          </w:tcPr>
          <w:p>
            <w:pPr>
              <w:jc w:val="right"/>
              <w:ind w:right="430"/>
              <w:spacing w:after="0"/>
              <w:rPr>
                <w:sz w:val="20"/>
                <w:szCs w:val="20"/>
                <w:color w:val="auto"/>
              </w:rPr>
            </w:pPr>
            <w:r>
              <w:rPr>
                <w:rFonts w:ascii="Arial" w:cs="Arial" w:eastAsia="Arial" w:hAnsi="Arial"/>
                <w:sz w:val="18"/>
                <w:szCs w:val="18"/>
                <w:b w:val="1"/>
                <w:bCs w:val="1"/>
                <w:color w:val="auto"/>
              </w:rPr>
              <w:t>Net</w:t>
            </w:r>
          </w:p>
        </w:tc>
      </w:tr>
      <w:tr>
        <w:trPr>
          <w:trHeight w:val="27"/>
        </w:trPr>
        <w:tc>
          <w:tcPr>
            <w:tcW w:w="3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Definite-life intangibles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312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426.1</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(294.6)</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131.5</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418.1</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(269.1)</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149.0</w:t>
            </w:r>
          </w:p>
        </w:tc>
      </w:tr>
      <w:tr>
        <w:trPr>
          <w:trHeight w:val="27"/>
        </w:trPr>
        <w:tc>
          <w:tcPr>
            <w:tcW w:w="3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Proprietary technology and patents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r>
      <w:tr>
        <w:trPr>
          <w:trHeight w:val="237"/>
        </w:trPr>
        <w:tc>
          <w:tcPr>
            <w:tcW w:w="31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definite-life intangibles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469.0</w:t>
            </w: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(322.7)</w:t>
            </w:r>
          </w:p>
        </w:tc>
        <w:tc>
          <w:tcPr>
            <w:tcW w:w="3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146.3</w:t>
            </w:r>
          </w:p>
        </w:tc>
        <w:tc>
          <w:tcPr>
            <w:tcW w:w="1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460.4</w:t>
            </w: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(294.6)</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165.8</w:t>
            </w:r>
          </w:p>
        </w:tc>
      </w:tr>
      <w:tr>
        <w:trPr>
          <w:trHeight w:val="27"/>
        </w:trPr>
        <w:tc>
          <w:tcPr>
            <w:tcW w:w="3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Indefinite-life intangibles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3120" w:type="dxa"/>
            <w:vAlign w:val="bottom"/>
          </w:tcPr>
          <w:p>
            <w:pPr>
              <w:ind w:left="20"/>
              <w:spacing w:after="0"/>
              <w:rPr>
                <w:sz w:val="20"/>
                <w:szCs w:val="20"/>
                <w:color w:val="auto"/>
              </w:rPr>
            </w:pPr>
            <w:r>
              <w:rPr>
                <w:rFonts w:ascii="Arial" w:cs="Arial" w:eastAsia="Arial" w:hAnsi="Arial"/>
                <w:sz w:val="18"/>
                <w:szCs w:val="18"/>
                <w:color w:val="auto"/>
              </w:rPr>
              <w:t>Trade names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177.0</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177.0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173.4</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173.4</w:t>
            </w:r>
          </w:p>
        </w:tc>
      </w:tr>
      <w:tr>
        <w:trPr>
          <w:trHeight w:val="27"/>
        </w:trPr>
        <w:tc>
          <w:tcPr>
            <w:tcW w:w="3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88"/>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intangibles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(322.7)</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323.3</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633.8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(294.6)</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339.2</w:t>
            </w:r>
          </w:p>
        </w:tc>
      </w:tr>
      <w:tr>
        <w:trPr>
          <w:trHeight w:val="20"/>
        </w:trPr>
        <w:tc>
          <w:tcPr>
            <w:tcW w:w="3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Identifiable intangible asset amortization expense was $6.9 million and $7.6 million for the three months ended September 30, 2020 and 2019, respectively, and $21.5 million and $24.1 million for the nine months ended September 30, 2020 and 2019,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Estimated future amortization expense for identifiable intangible assets during the remainder of 2020 and the next five years is as follows: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74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Q4</w:t>
            </w: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70"/>
        </w:trPr>
        <w:tc>
          <w:tcPr>
            <w:tcW w:w="3820" w:type="dxa"/>
            <w:vAlign w:val="bottom"/>
          </w:tcPr>
          <w:p>
            <w:pPr>
              <w:ind w:left="20"/>
              <w:spacing w:after="0"/>
              <w:rPr>
                <w:sz w:val="20"/>
                <w:szCs w:val="20"/>
                <w:color w:val="auto"/>
              </w:rPr>
            </w:pPr>
            <w:r>
              <w:rPr>
                <w:rFonts w:ascii="Arial" w:cs="Arial" w:eastAsia="Arial" w:hAnsi="Arial"/>
                <w:sz w:val="18"/>
                <w:szCs w:val="18"/>
                <w:i w:val="1"/>
                <w:iCs w:val="1"/>
                <w:color w:val="auto"/>
              </w:rPr>
              <w:t>In millions</w:t>
            </w:r>
          </w:p>
        </w:tc>
        <w:tc>
          <w:tcPr>
            <w:tcW w:w="1700" w:type="dxa"/>
            <w:vAlign w:val="bottom"/>
          </w:tcPr>
          <w:p>
            <w:pPr>
              <w:spacing w:after="0"/>
              <w:rPr>
                <w:sz w:val="23"/>
                <w:szCs w:val="23"/>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23"/>
                <w:szCs w:val="23"/>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23"/>
                <w:szCs w:val="23"/>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23"/>
                <w:szCs w:val="23"/>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2023</w:t>
            </w:r>
          </w:p>
        </w:tc>
        <w:tc>
          <w:tcPr>
            <w:tcW w:w="260" w:type="dxa"/>
            <w:vAlign w:val="bottom"/>
          </w:tcPr>
          <w:p>
            <w:pPr>
              <w:spacing w:after="0"/>
              <w:rPr>
                <w:sz w:val="23"/>
                <w:szCs w:val="23"/>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2024</w:t>
            </w:r>
          </w:p>
        </w:tc>
        <w:tc>
          <w:tcPr>
            <w:tcW w:w="260" w:type="dxa"/>
            <w:vAlign w:val="bottom"/>
          </w:tcPr>
          <w:p>
            <w:pPr>
              <w:spacing w:after="0"/>
              <w:rPr>
                <w:sz w:val="23"/>
                <w:szCs w:val="23"/>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2025</w:t>
            </w:r>
          </w:p>
        </w:tc>
      </w:tr>
      <w:tr>
        <w:trPr>
          <w:trHeight w:val="27"/>
        </w:trPr>
        <w:tc>
          <w:tcPr>
            <w:tcW w:w="38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Estimated amortization expense</w:t>
            </w:r>
          </w:p>
        </w:tc>
        <w:tc>
          <w:tcPr>
            <w:tcW w:w="1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7"/>
        </w:trPr>
        <w:tc>
          <w:tcPr>
            <w:tcW w:w="382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Debt and the average interest rates on debt outstanding were as follows: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2700" w:type="dxa"/>
            <w:vAlign w:val="bottom"/>
          </w:tcPr>
          <w:p>
            <w:pPr>
              <w:jc w:val="center"/>
              <w:ind w:left="310"/>
              <w:spacing w:after="0"/>
              <w:rPr>
                <w:sz w:val="20"/>
                <w:szCs w:val="20"/>
                <w:color w:val="auto"/>
              </w:rPr>
            </w:pPr>
            <w:r>
              <w:rPr>
                <w:rFonts w:ascii="Arial" w:cs="Arial" w:eastAsia="Arial" w:hAnsi="Arial"/>
                <w:sz w:val="18"/>
                <w:szCs w:val="18"/>
                <w:b w:val="1"/>
                <w:bCs w:val="1"/>
                <w:color w:val="auto"/>
                <w:w w:val="89"/>
              </w:rPr>
              <w:t>Average interest rate as</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9"/>
              </w:rPr>
              <w:t>Maturity</w:t>
            </w:r>
          </w:p>
        </w:tc>
        <w:tc>
          <w:tcPr>
            <w:tcW w:w="360" w:type="dxa"/>
            <w:vAlign w:val="bottom"/>
          </w:tcPr>
          <w:p>
            <w:pPr>
              <w:spacing w:after="0"/>
              <w:rPr>
                <w:sz w:val="18"/>
                <w:szCs w:val="18"/>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September 30,</w:t>
            </w:r>
          </w:p>
        </w:tc>
        <w:tc>
          <w:tcPr>
            <w:tcW w:w="200" w:type="dxa"/>
            <w:vAlign w:val="bottom"/>
          </w:tcPr>
          <w:p>
            <w:pPr>
              <w:spacing w:after="0"/>
              <w:rPr>
                <w:sz w:val="18"/>
                <w:szCs w:val="18"/>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4040" w:type="dxa"/>
            <w:vAlign w:val="bottom"/>
          </w:tcPr>
          <w:p>
            <w:pPr>
              <w:ind w:left="20"/>
              <w:spacing w:after="0"/>
              <w:rPr>
                <w:sz w:val="20"/>
                <w:szCs w:val="20"/>
                <w:color w:val="auto"/>
              </w:rPr>
            </w:pPr>
            <w:r>
              <w:rPr>
                <w:rFonts w:ascii="Arial" w:cs="Arial" w:eastAsia="Arial" w:hAnsi="Arial"/>
                <w:sz w:val="18"/>
                <w:szCs w:val="18"/>
                <w:i w:val="1"/>
                <w:iCs w:val="1"/>
                <w:color w:val="auto"/>
              </w:rPr>
              <w:t>In millions</w:t>
            </w:r>
          </w:p>
        </w:tc>
        <w:tc>
          <w:tcPr>
            <w:tcW w:w="2700" w:type="dxa"/>
            <w:vAlign w:val="bottom"/>
          </w:tcPr>
          <w:p>
            <w:pPr>
              <w:jc w:val="center"/>
              <w:ind w:left="310"/>
              <w:spacing w:after="0"/>
              <w:rPr>
                <w:sz w:val="20"/>
                <w:szCs w:val="20"/>
                <w:color w:val="auto"/>
              </w:rPr>
            </w:pPr>
            <w:r>
              <w:rPr>
                <w:rFonts w:ascii="Arial" w:cs="Arial" w:eastAsia="Arial" w:hAnsi="Arial"/>
                <w:sz w:val="18"/>
                <w:szCs w:val="18"/>
                <w:b w:val="1"/>
                <w:bCs w:val="1"/>
                <w:color w:val="auto"/>
                <w:w w:val="89"/>
              </w:rPr>
              <w:t>of September 30, 2020</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2"/>
              </w:rPr>
              <w:t>Year</w:t>
            </w:r>
          </w:p>
        </w:tc>
        <w:tc>
          <w:tcPr>
            <w:tcW w:w="36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r>
      <w:tr>
        <w:trPr>
          <w:trHeight w:val="27"/>
        </w:trPr>
        <w:tc>
          <w:tcPr>
            <w:tcW w:w="404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2700" w:type="dxa"/>
            <w:vAlign w:val="bottom"/>
            <w:tcBorders>
              <w:bottom w:val="single" w:sz="8" w:color="CCEEFF"/>
            </w:tcBorders>
            <w:shd w:val="clear" w:color="auto" w:fill="CCEEFF"/>
          </w:tcPr>
          <w:p>
            <w:pPr>
              <w:jc w:val="center"/>
              <w:ind w:left="310"/>
              <w:spacing w:after="0"/>
              <w:rPr>
                <w:sz w:val="20"/>
                <w:szCs w:val="20"/>
                <w:color w:val="auto"/>
              </w:rPr>
            </w:pPr>
            <w:r>
              <w:rPr>
                <w:rFonts w:ascii="Arial" w:cs="Arial" w:eastAsia="Arial" w:hAnsi="Arial"/>
                <w:sz w:val="18"/>
                <w:szCs w:val="18"/>
                <w:color w:val="auto"/>
                <w:w w:val="99"/>
              </w:rPr>
              <w:t>N/A</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2023</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117.8</w:t>
            </w:r>
          </w:p>
        </w:tc>
      </w:tr>
      <w:tr>
        <w:trPr>
          <w:trHeight w:val="243"/>
        </w:trPr>
        <w:tc>
          <w:tcPr>
            <w:tcW w:w="4040" w:type="dxa"/>
            <w:vAlign w:val="bottom"/>
          </w:tcPr>
          <w:p>
            <w:pPr>
              <w:ind w:left="20"/>
              <w:spacing w:after="0"/>
              <w:rPr>
                <w:sz w:val="20"/>
                <w:szCs w:val="20"/>
                <w:color w:val="auto"/>
              </w:rPr>
            </w:pPr>
            <w:r>
              <w:rPr>
                <w:rFonts w:ascii="Arial" w:cs="Arial" w:eastAsia="Arial" w:hAnsi="Arial"/>
                <w:sz w:val="18"/>
                <w:szCs w:val="18"/>
                <w:color w:val="auto"/>
              </w:rPr>
              <w:t>Revolving credit facilities</w:t>
            </w:r>
          </w:p>
        </w:tc>
        <w:tc>
          <w:tcPr>
            <w:tcW w:w="2700" w:type="dxa"/>
            <w:vAlign w:val="bottom"/>
          </w:tcPr>
          <w:p>
            <w:pPr>
              <w:jc w:val="center"/>
              <w:ind w:left="310"/>
              <w:spacing w:after="0"/>
              <w:rPr>
                <w:sz w:val="20"/>
                <w:szCs w:val="20"/>
                <w:color w:val="auto"/>
              </w:rPr>
            </w:pPr>
            <w:r>
              <w:rPr>
                <w:rFonts w:ascii="Arial" w:cs="Arial" w:eastAsia="Arial" w:hAnsi="Arial"/>
                <w:sz w:val="18"/>
                <w:szCs w:val="18"/>
                <w:color w:val="auto"/>
                <w:w w:val="88"/>
              </w:rPr>
              <w:t>1.248%</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2023</w:t>
            </w:r>
          </w:p>
        </w:tc>
        <w:tc>
          <w:tcPr>
            <w:tcW w:w="3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35.8</w:t>
            </w:r>
          </w:p>
        </w:tc>
      </w:tr>
      <w:tr>
        <w:trPr>
          <w:trHeight w:val="27"/>
        </w:trPr>
        <w:tc>
          <w:tcPr>
            <w:tcW w:w="40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loans</w:t>
            </w:r>
          </w:p>
        </w:tc>
        <w:tc>
          <w:tcPr>
            <w:tcW w:w="2700" w:type="dxa"/>
            <w:vAlign w:val="bottom"/>
            <w:tcBorders>
              <w:bottom w:val="single" w:sz="8" w:color="CCEEFF"/>
            </w:tcBorders>
            <w:shd w:val="clear" w:color="auto" w:fill="CCEEFF"/>
          </w:tcPr>
          <w:p>
            <w:pPr>
              <w:jc w:val="center"/>
              <w:ind w:left="310"/>
              <w:spacing w:after="0"/>
              <w:rPr>
                <w:sz w:val="20"/>
                <w:szCs w:val="20"/>
                <w:color w:val="auto"/>
              </w:rPr>
            </w:pPr>
            <w:r>
              <w:rPr>
                <w:rFonts w:ascii="Arial" w:cs="Arial" w:eastAsia="Arial" w:hAnsi="Arial"/>
                <w:sz w:val="18"/>
                <w:szCs w:val="18"/>
                <w:color w:val="auto"/>
                <w:w w:val="88"/>
              </w:rPr>
              <w:t>1.244%</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2023</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200.0</w:t>
            </w:r>
          </w:p>
        </w:tc>
      </w:tr>
      <w:tr>
        <w:trPr>
          <w:trHeight w:val="270"/>
        </w:trPr>
        <w:tc>
          <w:tcPr>
            <w:tcW w:w="4040" w:type="dxa"/>
            <w:vAlign w:val="bottom"/>
          </w:tcPr>
          <w:p>
            <w:pPr>
              <w:ind w:left="20"/>
              <w:spacing w:after="0"/>
              <w:rPr>
                <w:sz w:val="20"/>
                <w:szCs w:val="20"/>
                <w:color w:val="auto"/>
              </w:rPr>
            </w:pPr>
            <w:r>
              <w:rPr>
                <w:rFonts w:ascii="Arial" w:cs="Arial" w:eastAsia="Arial" w:hAnsi="Arial"/>
                <w:sz w:val="18"/>
                <w:szCs w:val="18"/>
                <w:color w:val="auto"/>
              </w:rPr>
              <w:t xml:space="preserve">Senior notes - fixed rate </w:t>
            </w:r>
            <w:r>
              <w:rPr>
                <w:rFonts w:ascii="Arial" w:cs="Arial" w:eastAsia="Arial" w:hAnsi="Arial"/>
                <w:sz w:val="23"/>
                <w:szCs w:val="23"/>
                <w:color w:val="auto"/>
                <w:vertAlign w:val="superscript"/>
              </w:rPr>
              <w:t>(1)</w:t>
            </w:r>
          </w:p>
        </w:tc>
        <w:tc>
          <w:tcPr>
            <w:tcW w:w="2700" w:type="dxa"/>
            <w:vAlign w:val="bottom"/>
          </w:tcPr>
          <w:p>
            <w:pPr>
              <w:jc w:val="center"/>
              <w:ind w:left="310"/>
              <w:spacing w:after="0"/>
              <w:rPr>
                <w:sz w:val="20"/>
                <w:szCs w:val="20"/>
                <w:color w:val="auto"/>
              </w:rPr>
            </w:pPr>
            <w:r>
              <w:rPr>
                <w:rFonts w:ascii="Arial" w:cs="Arial" w:eastAsia="Arial" w:hAnsi="Arial"/>
                <w:sz w:val="18"/>
                <w:szCs w:val="18"/>
                <w:color w:val="auto"/>
                <w:w w:val="88"/>
              </w:rPr>
              <w:t>3.625%</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36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74.0</w:t>
            </w:r>
          </w:p>
        </w:tc>
      </w:tr>
      <w:tr>
        <w:trPr>
          <w:trHeight w:val="27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Senior notes - fixed rate </w:t>
            </w:r>
            <w:r>
              <w:rPr>
                <w:rFonts w:ascii="Arial" w:cs="Arial" w:eastAsia="Arial" w:hAnsi="Arial"/>
                <w:sz w:val="23"/>
                <w:szCs w:val="23"/>
                <w:color w:val="auto"/>
                <w:vertAlign w:val="superscript"/>
              </w:rPr>
              <w:t>(1)</w:t>
            </w:r>
          </w:p>
        </w:tc>
        <w:tc>
          <w:tcPr>
            <w:tcW w:w="270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88"/>
              </w:rPr>
              <w:t>5.000%</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36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20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103.8</w:t>
            </w:r>
          </w:p>
        </w:tc>
      </w:tr>
      <w:tr>
        <w:trPr>
          <w:trHeight w:val="270"/>
        </w:trPr>
        <w:tc>
          <w:tcPr>
            <w:tcW w:w="4040" w:type="dxa"/>
            <w:vAlign w:val="bottom"/>
          </w:tcPr>
          <w:p>
            <w:pPr>
              <w:ind w:left="20"/>
              <w:spacing w:after="0"/>
              <w:rPr>
                <w:sz w:val="20"/>
                <w:szCs w:val="20"/>
                <w:color w:val="auto"/>
              </w:rPr>
            </w:pPr>
            <w:r>
              <w:rPr>
                <w:rFonts w:ascii="Arial" w:cs="Arial" w:eastAsia="Arial" w:hAnsi="Arial"/>
                <w:sz w:val="18"/>
                <w:szCs w:val="18"/>
                <w:color w:val="auto"/>
              </w:rPr>
              <w:t xml:space="preserve">Senior notes - fixed rate </w:t>
            </w:r>
            <w:r>
              <w:rPr>
                <w:rFonts w:ascii="Arial" w:cs="Arial" w:eastAsia="Arial" w:hAnsi="Arial"/>
                <w:sz w:val="23"/>
                <w:szCs w:val="23"/>
                <w:color w:val="auto"/>
                <w:vertAlign w:val="superscript"/>
              </w:rPr>
              <w:t>(1)</w:t>
            </w:r>
          </w:p>
        </w:tc>
        <w:tc>
          <w:tcPr>
            <w:tcW w:w="2700" w:type="dxa"/>
            <w:vAlign w:val="bottom"/>
          </w:tcPr>
          <w:p>
            <w:pPr>
              <w:jc w:val="center"/>
              <w:ind w:left="310"/>
              <w:spacing w:after="0"/>
              <w:rPr>
                <w:sz w:val="20"/>
                <w:szCs w:val="20"/>
                <w:color w:val="auto"/>
              </w:rPr>
            </w:pPr>
            <w:r>
              <w:rPr>
                <w:rFonts w:ascii="Arial" w:cs="Arial" w:eastAsia="Arial" w:hAnsi="Arial"/>
                <w:sz w:val="18"/>
                <w:szCs w:val="18"/>
                <w:color w:val="auto"/>
                <w:w w:val="88"/>
              </w:rPr>
              <w:t>3.150%</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36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88.3</w:t>
            </w:r>
          </w:p>
        </w:tc>
        <w:tc>
          <w:tcPr>
            <w:tcW w:w="20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88.3</w:t>
            </w:r>
          </w:p>
        </w:tc>
      </w:tr>
      <w:tr>
        <w:trPr>
          <w:trHeight w:val="27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Senior notes - fixed rate </w:t>
            </w:r>
            <w:r>
              <w:rPr>
                <w:rFonts w:ascii="Arial" w:cs="Arial" w:eastAsia="Arial" w:hAnsi="Arial"/>
                <w:sz w:val="23"/>
                <w:szCs w:val="23"/>
                <w:color w:val="auto"/>
                <w:vertAlign w:val="superscript"/>
              </w:rPr>
              <w:t>(1)</w:t>
            </w:r>
          </w:p>
        </w:tc>
        <w:tc>
          <w:tcPr>
            <w:tcW w:w="270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88"/>
              </w:rPr>
              <w:t>4.650%</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2025</w:t>
            </w:r>
          </w:p>
        </w:tc>
        <w:tc>
          <w:tcPr>
            <w:tcW w:w="36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20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19.3</w:t>
            </w:r>
          </w:p>
        </w:tc>
      </w:tr>
      <w:tr>
        <w:trPr>
          <w:trHeight w:val="270"/>
        </w:trPr>
        <w:tc>
          <w:tcPr>
            <w:tcW w:w="4040" w:type="dxa"/>
            <w:vAlign w:val="bottom"/>
          </w:tcPr>
          <w:p>
            <w:pPr>
              <w:ind w:left="20"/>
              <w:spacing w:after="0"/>
              <w:rPr>
                <w:sz w:val="20"/>
                <w:szCs w:val="20"/>
                <w:color w:val="auto"/>
              </w:rPr>
            </w:pPr>
            <w:r>
              <w:rPr>
                <w:rFonts w:ascii="Arial" w:cs="Arial" w:eastAsia="Arial" w:hAnsi="Arial"/>
                <w:sz w:val="18"/>
                <w:szCs w:val="18"/>
                <w:color w:val="auto"/>
              </w:rPr>
              <w:t xml:space="preserve">Senior notes - fixed rate </w:t>
            </w:r>
            <w:r>
              <w:rPr>
                <w:rFonts w:ascii="Arial" w:cs="Arial" w:eastAsia="Arial" w:hAnsi="Arial"/>
                <w:sz w:val="23"/>
                <w:szCs w:val="23"/>
                <w:color w:val="auto"/>
                <w:vertAlign w:val="superscript"/>
              </w:rPr>
              <w:t>(1)</w:t>
            </w:r>
          </w:p>
        </w:tc>
        <w:tc>
          <w:tcPr>
            <w:tcW w:w="2700" w:type="dxa"/>
            <w:vAlign w:val="bottom"/>
          </w:tcPr>
          <w:p>
            <w:pPr>
              <w:jc w:val="center"/>
              <w:ind w:left="310"/>
              <w:spacing w:after="0"/>
              <w:rPr>
                <w:sz w:val="20"/>
                <w:szCs w:val="20"/>
                <w:color w:val="auto"/>
              </w:rPr>
            </w:pPr>
            <w:r>
              <w:rPr>
                <w:rFonts w:ascii="Arial" w:cs="Arial" w:eastAsia="Arial" w:hAnsi="Arial"/>
                <w:sz w:val="18"/>
                <w:szCs w:val="18"/>
                <w:color w:val="auto"/>
                <w:w w:val="88"/>
              </w:rPr>
              <w:t>4.500%</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2029</w:t>
            </w:r>
          </w:p>
        </w:tc>
        <w:tc>
          <w:tcPr>
            <w:tcW w:w="36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400.0</w:t>
            </w:r>
          </w:p>
        </w:tc>
        <w:tc>
          <w:tcPr>
            <w:tcW w:w="20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400.0</w:t>
            </w:r>
          </w:p>
        </w:tc>
      </w:tr>
      <w:tr>
        <w:trPr>
          <w:trHeight w:val="275"/>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Unamortized debt issuance costs and discounts</w:t>
            </w:r>
          </w:p>
        </w:tc>
        <w:tc>
          <w:tcPr>
            <w:tcW w:w="2700" w:type="dxa"/>
            <w:vAlign w:val="bottom"/>
            <w:tcBorders>
              <w:bottom w:val="single" w:sz="8" w:color="CCEEFF"/>
            </w:tcBorders>
            <w:shd w:val="clear" w:color="auto" w:fill="CCEEFF"/>
          </w:tcPr>
          <w:p>
            <w:pPr>
              <w:jc w:val="center"/>
              <w:ind w:left="310"/>
              <w:spacing w:after="0"/>
              <w:rPr>
                <w:sz w:val="20"/>
                <w:szCs w:val="20"/>
                <w:color w:val="auto"/>
              </w:rPr>
            </w:pPr>
            <w:r>
              <w:rPr>
                <w:rFonts w:ascii="Arial" w:cs="Arial" w:eastAsia="Arial" w:hAnsi="Arial"/>
                <w:sz w:val="18"/>
                <w:szCs w:val="18"/>
                <w:color w:val="auto"/>
                <w:w w:val="99"/>
              </w:rPr>
              <w:t>N/A</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3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37"/>
        </w:trPr>
        <w:tc>
          <w:tcPr>
            <w:tcW w:w="40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Total debt</w:t>
            </w:r>
          </w:p>
        </w:tc>
        <w:tc>
          <w:tcPr>
            <w:tcW w:w="270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805.2</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1,029.1</w:t>
            </w:r>
          </w:p>
        </w:tc>
      </w:tr>
      <w:tr>
        <w:trPr>
          <w:trHeight w:val="21"/>
        </w:trPr>
        <w:tc>
          <w:tcPr>
            <w:tcW w:w="404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ind w:left="200" w:hanging="174"/>
        <w:spacing w:after="0" w:line="208" w:lineRule="auto"/>
        <w:tabs>
          <w:tab w:leader="none" w:pos="200" w:val="left"/>
        </w:tabs>
        <w:numPr>
          <w:ilvl w:val="0"/>
          <w:numId w:val="11"/>
        </w:numPr>
        <w:rPr>
          <w:rFonts w:ascii="Arial" w:cs="Arial" w:eastAsia="Arial" w:hAnsi="Arial"/>
          <w:sz w:val="21"/>
          <w:szCs w:val="21"/>
          <w:color w:val="auto"/>
          <w:vertAlign w:val="superscript"/>
        </w:rPr>
      </w:pPr>
      <w:r>
        <w:rPr>
          <w:rFonts w:ascii="Arial" w:cs="Arial" w:eastAsia="Arial" w:hAnsi="Arial"/>
          <w:sz w:val="15"/>
          <w:szCs w:val="15"/>
          <w:color w:val="auto"/>
        </w:rPr>
        <w:t>Senior notes are guaranteed as to payment by Pentair plc.</w:t>
      </w:r>
    </w:p>
    <w:p>
      <w:pPr>
        <w:spacing w:after="0" w:line="15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April 2018, Pentair, Pentair Investments Switzerland GmbH (“PISG”), Pentair Finance S.à r.l (“PFSA“) and Pentair, Inc. entered into a credit agreement, providing for an $800.0 million senior unsecured revolving credit facility with a term of five years (the “Senior Credit Facility”), with Pentair and PISG as guarantors and PFSA and Pentair, Inc. as borrowers. In June 2020, Pentair assumed the PISG guarantee. The Senior Credit Facility has a maturity date of April 25, 2023. Borrowings under the Senior Credit Facility bear interest at a rate equal to an adjusted base rate or the London Interbank Offered Rate, plus, in each case, an applicable margin. The applicable margin is based on, at PFSA’s election, Pentair’s leverage level or PFSA’s public credit rating. In May 2019, PFSA executed an increase of the Senior Credit Facility by $100.0 million for a total commitment up to $900.0 million in the aggregate.</w:t>
      </w:r>
    </w:p>
    <w:p>
      <w:pPr>
        <w:spacing w:after="0" w:line="11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December 2019, the Senior Credit Facility was amended to provide for the extension of term loans in an aggregate amount of $200.0 million (the “Term Loans”). The Term Loans are in addition to the Senior Credit Facility commitment. In addition, PFSA has the option to further increase the Senior Credit Facility in an aggregate amount of up to $300.0 million, through a combination of increases to the total commitment amount of the Senior Credit Facility and/or one or more tranches of term loans in addition to the Term Loans, subject to customary conditions, including the commitment of the participating lenders.</w:t>
      </w:r>
    </w:p>
    <w:p>
      <w:pPr>
        <w:spacing w:after="0" w:line="134"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PFSA is authorized to sell short-term commercial paper notes to the extent availability exists under the Senior Credit Facility. PFSA uses the Senior Credit Facility as back-up liquidity to support 100% of commercial paper outstanding. PFSA had no commercial paper outstanding as of September 30, 2020 and $117.8 million as of December 31, 2019, all of which was classified as long-term debt as we have the intent and the ability to refinance such obligations on a long-term basis under the Senior Credit Facility.</w:t>
      </w:r>
    </w:p>
    <w:p>
      <w:pPr>
        <w:spacing w:after="0" w:line="133"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In March 2020, the commercial paper market began to experience high levels of volatility due to uncertainty related to the COVID-19 pandemic. The volatility impacted both market access to and pricing of commercial paper. As a cost mitigation action, we withdrew our credit ratings to access the commercial paper market in the second quarter of 2020 and continued to use the revolving credit facility, along with cash generated from operations, to fund our general operations. As of September 30, 2020, total availability under the Senior Credit Facility was $897.8 million.</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Our debt agreements contain various financial covenants, but the most restrictive covenants are contained in the Senior Credit Facility. The Senior Credit Facility contains covenants requiring us not to permit (i) the ratio of our consolidated debt (net of our consolidated unrestricted cash in excess of $5.0 million but not to exceed $250.0 million) to our consolidated net income (excluding, among other things, non-cash gains and losses) before interest, taxes, depreciation, amortization and non-cash share-based compensation expense (“EBITDA”) on the last day of any period of four consecutive fiscal quarters to exceed 3.75 to 1.00 (the “Leverage Ratio”) and (ii) the ratio of our EBITDA to our consolidated interest expense, for the same period to be less than 3.00 to 1.00 as of the end of each fiscal quarter. For purposes of the Leverage Ratio, the Senior Credit Facility provides for the calculation of EBITDA giving pro forma effect to certain acquisitions, divestitures and liquidations during the period to which such calculation relates.</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 addition to the Senior Credit Facility, we have various other credit facilities with an aggregate availability of $21.1 million, of which there were no outstanding borrowings at September 30, 2020. Borrowings under these credit facilities bear interest at variable rates.</w:t>
      </w:r>
    </w:p>
    <w:p>
      <w:pPr>
        <w:spacing w:after="0" w:line="197"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We have $103.8 million aggregate principal amount of fixed rate senior notes maturing in the next twelve months. We classified this debt as long-term as of September 30, 2020 as we have the intent and ability to refinance such obligation on a long-term basis under the Senior Credit Facility.</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Debt outstanding, excluding unamortized issuance costs and discounts, at September 30, 2020 matures on a calendar year basis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960" w:type="dxa"/>
            <w:vAlign w:val="bottom"/>
          </w:tcPr>
          <w:p>
            <w:pPr>
              <w:jc w:val="center"/>
              <w:ind w:left="470"/>
              <w:spacing w:after="0"/>
              <w:rPr>
                <w:sz w:val="20"/>
                <w:szCs w:val="20"/>
                <w:color w:val="auto"/>
              </w:rPr>
            </w:pPr>
            <w:r>
              <w:rPr>
                <w:rFonts w:ascii="Arial" w:cs="Arial" w:eastAsia="Arial" w:hAnsi="Arial"/>
                <w:sz w:val="18"/>
                <w:szCs w:val="18"/>
                <w:b w:val="1"/>
                <w:bCs w:val="1"/>
                <w:color w:val="auto"/>
                <w:w w:val="99"/>
              </w:rPr>
              <w:t>Q4</w:t>
            </w:r>
          </w:p>
        </w:tc>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70"/>
        </w:trPr>
        <w:tc>
          <w:tcPr>
            <w:tcW w:w="3080" w:type="dxa"/>
            <w:vAlign w:val="bottom"/>
          </w:tcPr>
          <w:p>
            <w:pPr>
              <w:ind w:left="20"/>
              <w:spacing w:after="0"/>
              <w:rPr>
                <w:sz w:val="20"/>
                <w:szCs w:val="20"/>
                <w:color w:val="auto"/>
              </w:rPr>
            </w:pPr>
            <w:r>
              <w:rPr>
                <w:rFonts w:ascii="Arial" w:cs="Arial" w:eastAsia="Arial" w:hAnsi="Arial"/>
                <w:sz w:val="18"/>
                <w:szCs w:val="18"/>
                <w:i w:val="1"/>
                <w:iCs w:val="1"/>
                <w:color w:val="auto"/>
              </w:rPr>
              <w:t>In millions</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480" w:type="dxa"/>
            <w:vAlign w:val="bottom"/>
          </w:tcPr>
          <w:p>
            <w:pPr>
              <w:spacing w:after="0"/>
              <w:rPr>
                <w:sz w:val="23"/>
                <w:szCs w:val="23"/>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23"/>
                <w:szCs w:val="23"/>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23"/>
                <w:szCs w:val="23"/>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23"/>
                <w:szCs w:val="23"/>
                <w:color w:val="auto"/>
              </w:rPr>
            </w:pPr>
          </w:p>
        </w:tc>
        <w:tc>
          <w:tcPr>
            <w:tcW w:w="940" w:type="dxa"/>
            <w:vAlign w:val="bottom"/>
          </w:tcPr>
          <w:p>
            <w:pPr>
              <w:jc w:val="right"/>
              <w:ind w:right="410"/>
              <w:spacing w:after="0"/>
              <w:rPr>
                <w:sz w:val="20"/>
                <w:szCs w:val="20"/>
                <w:color w:val="auto"/>
              </w:rPr>
            </w:pPr>
            <w:r>
              <w:rPr>
                <w:rFonts w:ascii="Arial" w:cs="Arial" w:eastAsia="Arial" w:hAnsi="Arial"/>
                <w:sz w:val="18"/>
                <w:szCs w:val="18"/>
                <w:b w:val="1"/>
                <w:bCs w:val="1"/>
                <w:color w:val="auto"/>
              </w:rPr>
              <w:t>2024</w:t>
            </w: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2025</w:t>
            </w:r>
          </w:p>
        </w:tc>
        <w:tc>
          <w:tcPr>
            <w:tcW w:w="180" w:type="dxa"/>
            <w:vAlign w:val="bottom"/>
          </w:tcPr>
          <w:p>
            <w:pPr>
              <w:spacing w:after="0"/>
              <w:rPr>
                <w:sz w:val="23"/>
                <w:szCs w:val="23"/>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w w:val="95"/>
              </w:rPr>
              <w:t>Thereafter</w:t>
            </w:r>
          </w:p>
        </w:tc>
        <w:tc>
          <w:tcPr>
            <w:tcW w:w="240" w:type="dxa"/>
            <w:vAlign w:val="bottom"/>
          </w:tcPr>
          <w:p>
            <w:pPr>
              <w:spacing w:after="0"/>
              <w:rPr>
                <w:sz w:val="23"/>
                <w:szCs w:val="23"/>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b w:val="1"/>
                <w:bCs w:val="1"/>
                <w:color w:val="auto"/>
              </w:rPr>
              <w:t>Total</w:t>
            </w:r>
          </w:p>
        </w:tc>
      </w:tr>
      <w:tr>
        <w:trPr>
          <w:trHeight w:val="27"/>
        </w:trPr>
        <w:tc>
          <w:tcPr>
            <w:tcW w:w="30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3"/>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Contractual debt obligation maturities</w:t>
            </w:r>
          </w:p>
        </w:tc>
        <w:tc>
          <w:tcPr>
            <w:tcW w:w="9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 $</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813.6</w:t>
            </w:r>
          </w:p>
        </w:tc>
      </w:tr>
    </w:tbl>
    <w:p>
      <w:pPr>
        <w:spacing w:after="0" w:line="63" w:lineRule="exact"/>
        <w:rPr>
          <w:sz w:val="20"/>
          <w:szCs w:val="20"/>
          <w:color w:val="auto"/>
        </w:rPr>
      </w:pPr>
    </w:p>
    <w:p>
      <w:pPr>
        <w:ind w:right="7640" w:firstLine="8"/>
        <w:spacing w:after="0" w:line="276" w:lineRule="auto"/>
        <w:tabs>
          <w:tab w:leader="none" w:pos="643" w:val="left"/>
        </w:tabs>
        <w:numPr>
          <w:ilvl w:val="0"/>
          <w:numId w:val="1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Derivatives and Financial Instruments </w:t>
      </w:r>
      <w:r>
        <w:rPr>
          <w:rFonts w:ascii="Arial" w:cs="Arial" w:eastAsia="Arial" w:hAnsi="Arial"/>
          <w:sz w:val="17"/>
          <w:szCs w:val="17"/>
          <w:b w:val="1"/>
          <w:bCs w:val="1"/>
          <w:i w:val="1"/>
          <w:iCs w:val="1"/>
          <w:color w:val="auto"/>
        </w:rPr>
        <w:t>Derivative financial instruments</w:t>
      </w:r>
    </w:p>
    <w:p>
      <w:pPr>
        <w:spacing w:after="0" w:line="271" w:lineRule="auto"/>
        <w:rPr>
          <w:rFonts w:ascii="Arial" w:cs="Arial" w:eastAsia="Arial" w:hAnsi="Arial"/>
          <w:sz w:val="17"/>
          <w:szCs w:val="17"/>
          <w:b w:val="1"/>
          <w:bCs w:val="1"/>
          <w:color w:val="auto"/>
        </w:rPr>
      </w:pPr>
      <w:r>
        <w:rPr>
          <w:rFonts w:ascii="Arial" w:cs="Arial" w:eastAsia="Arial" w:hAnsi="Arial"/>
          <w:sz w:val="17"/>
          <w:szCs w:val="17"/>
          <w:color w:val="auto"/>
        </w:rPr>
        <w:t>We are exposed to market risk related to changes in foreign currency exchange rates. To manage the volatility related to this exposure, we periodically enter into a variety of derivative financial instruments. Our objective is to reduce, where it is deemed appropriate to do so, fluctuations in earnings and cash flows associated with changes in foreign currency exchange rates. The derivative contracts contain credit risk to the extent that our bank counterparties may be unable to meet the terms of the agreements. The amount of such credit risk is generally limited to the unrealized gains, if any, in such contracts. Such risk is minimized by limiting those counterparties to major financial institutions of high credit quality.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contracts</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We conduct business in various locations throughout the world and are subject to market risk due to changes in the value of foreign currencies in relation to our reporting currency, the U.S. dollar. We manage our economic and transaction exposure to certain market-based risks through the use of foreign currency derivative financial instruments. Our objective in holding these derivatives is to reduce the volatility of net earnings and cash flows associated with changes in foreign currency exchange rates. The majority of our foreign currency contracts have an original maturity date of less than one year.</w:t>
      </w:r>
    </w:p>
    <w:p>
      <w:pPr>
        <w:spacing w:after="0" w:line="188"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At September 30, 2020 and December 31, 2019, we had outstanding foreign currency derivative contracts with gross notional U.S. dollar equivalent amounts of $19.5 million and $17.0 million, respectively. The impact of these contracts on the Condensed Consolidated Statements of Operations and Comprehensive Income was not material for any period presented.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Cross Currency Swaps</w:t>
      </w:r>
    </w:p>
    <w:p>
      <w:pPr>
        <w:spacing w:after="0" w:line="23"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 xml:space="preserve">At September 30, 2020 and December 31, 2019, we had outstanding cross currency swap agreements with a combined notional amount of $816.6 million and $770.0 million, respectively. The agreements are accounted for as either cash flow hedges, to hedge foreign currency fluctuations on certain intercompany debt, or as net investment hedges to manage our exposure to fluctuations in the Euro-U.S. Dollar exchange rate. We had deferred foreign currency losses of $4.0 million and $1.8 million at September 30, 2020 and December 31, 2019, respectively, in </w:t>
      </w:r>
      <w:r>
        <w:rPr>
          <w:rFonts w:ascii="Arial" w:cs="Arial" w:eastAsia="Arial" w:hAnsi="Arial"/>
          <w:sz w:val="16"/>
          <w:szCs w:val="16"/>
          <w:i w:val="1"/>
          <w:iCs w:val="1"/>
          <w:color w:val="auto"/>
        </w:rPr>
        <w:t>Accumulated other comprehensive loss</w:t>
      </w:r>
      <w:r>
        <w:rPr>
          <w:rFonts w:ascii="Arial" w:cs="Arial" w:eastAsia="Arial" w:hAnsi="Arial"/>
          <w:sz w:val="18"/>
          <w:szCs w:val="18"/>
          <w:color w:val="auto"/>
        </w:rPr>
        <w:t xml:space="preserve"> associated with our cross currency swap activity.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Assets and liabilities measured at fair value are classified using the following hierarchy, which is based upon the transparency of inputs to the valuation as of the measurement date:</w:t>
      </w:r>
    </w:p>
    <w:p>
      <w:pPr>
        <w:spacing w:after="0" w:line="122" w:lineRule="exact"/>
        <w:rPr>
          <w:sz w:val="20"/>
          <w:szCs w:val="20"/>
          <w:color w:val="auto"/>
        </w:rPr>
      </w:pPr>
    </w:p>
    <w:p>
      <w:pPr>
        <w:ind w:left="640"/>
        <w:spacing w:after="0"/>
        <w:tabs>
          <w:tab w:leader="none" w:pos="136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6"/>
          <w:szCs w:val="16"/>
          <w:color w:val="auto"/>
        </w:rPr>
        <w:t>Valuation is based on observable inputs such as quoted market prices (unadjusted) for identical assets or liabilities in active markets.</w:t>
      </w:r>
    </w:p>
    <w:p>
      <w:pPr>
        <w:spacing w:after="0" w:line="117" w:lineRule="exact"/>
        <w:rPr>
          <w:sz w:val="20"/>
          <w:szCs w:val="20"/>
          <w:color w:val="auto"/>
        </w:rPr>
      </w:pPr>
    </w:p>
    <w:p>
      <w:pPr>
        <w:ind w:left="1380" w:right="580" w:hanging="741"/>
        <w:spacing w:after="0" w:line="342" w:lineRule="auto"/>
        <w:tabs>
          <w:tab w:leader="none" w:pos="1360" w:val="left"/>
        </w:tabs>
        <w:rPr>
          <w:sz w:val="20"/>
          <w:szCs w:val="20"/>
          <w:color w:val="auto"/>
        </w:rPr>
      </w:pPr>
      <w:r>
        <w:rPr>
          <w:rFonts w:ascii="Arial" w:cs="Arial" w:eastAsia="Arial" w:hAnsi="Arial"/>
          <w:sz w:val="18"/>
          <w:szCs w:val="18"/>
          <w:i w:val="1"/>
          <w:iCs w:val="1"/>
          <w:color w:val="auto"/>
        </w:rPr>
        <w:t>Level 2:</w:t>
      </w:r>
      <w:r>
        <w:rPr>
          <w:sz w:val="20"/>
          <w:szCs w:val="20"/>
          <w:color w:val="auto"/>
        </w:rPr>
        <w:tab/>
      </w:r>
      <w:r>
        <w:rPr>
          <w:rFonts w:ascii="Arial" w:cs="Arial" w:eastAsia="Arial" w:hAnsi="Arial"/>
          <w:sz w:val="16"/>
          <w:szCs w:val="16"/>
          <w:color w:val="auto"/>
        </w:rPr>
        <w:t>Valuation is based on inputs such as quoted market prices for similar assets or liabilities in active markets or other inputs that are observable for the asset or liability, either directly or indirectly, for substantially the full term of the financial instrument.</w:t>
      </w:r>
    </w:p>
    <w:p>
      <w:pPr>
        <w:spacing w:after="0" w:line="16" w:lineRule="exact"/>
        <w:rPr>
          <w:sz w:val="20"/>
          <w:szCs w:val="20"/>
          <w:color w:val="auto"/>
        </w:rPr>
      </w:pPr>
    </w:p>
    <w:p>
      <w:pPr>
        <w:ind w:left="640"/>
        <w:spacing w:after="0"/>
        <w:tabs>
          <w:tab w:leader="none" w:pos="1360" w:val="left"/>
        </w:tabs>
        <w:rPr>
          <w:sz w:val="20"/>
          <w:szCs w:val="20"/>
          <w:color w:val="auto"/>
        </w:rPr>
      </w:pPr>
      <w:r>
        <w:rPr>
          <w:rFonts w:ascii="Arial" w:cs="Arial" w:eastAsia="Arial" w:hAnsi="Arial"/>
          <w:sz w:val="18"/>
          <w:szCs w:val="18"/>
          <w:i w:val="1"/>
          <w:iCs w:val="1"/>
          <w:color w:val="auto"/>
        </w:rPr>
        <w:t>Level 3:</w:t>
      </w:r>
      <w:r>
        <w:rPr>
          <w:sz w:val="20"/>
          <w:szCs w:val="20"/>
          <w:color w:val="auto"/>
        </w:rPr>
        <w:tab/>
      </w:r>
      <w:r>
        <w:rPr>
          <w:rFonts w:ascii="Arial" w:cs="Arial" w:eastAsia="Arial" w:hAnsi="Arial"/>
          <w:sz w:val="16"/>
          <w:szCs w:val="16"/>
          <w:color w:val="auto"/>
        </w:rPr>
        <w:t>Valuation is based upon other unobservable inputs that are significant to the fair value measurement.</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 making fair value measurements, observable market data must be used when available. When inputs used to measure fair value fall within different levels of the hierarchy, the level within which the fair value measurement is categorized is based on the lowest level input that is significant to the fair value measurement.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methods were used to estimate the fair values of each class of financial instruments:</w:t>
      </w:r>
    </w:p>
    <w:p>
      <w:pPr>
        <w:spacing w:after="0" w:line="157" w:lineRule="exact"/>
        <w:rPr>
          <w:sz w:val="20"/>
          <w:szCs w:val="20"/>
          <w:color w:val="auto"/>
        </w:rPr>
      </w:pPr>
    </w:p>
    <w:p>
      <w:pPr>
        <w:ind w:left="460" w:right="180" w:hanging="331"/>
        <w:spacing w:after="0" w:line="277" w:lineRule="auto"/>
        <w:tabs>
          <w:tab w:leader="none" w:pos="455"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short-term financial instruments (cash and cash equivalents, accounts and notes receivable, accounts and notes payable and variable-rate debt) </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recorded amount approximates fair value because of the short maturity period;</w:t>
      </w:r>
    </w:p>
    <w:p>
      <w:pPr>
        <w:spacing w:after="0" w:line="116" w:lineRule="exact"/>
        <w:rPr>
          <w:rFonts w:ascii="Arial" w:cs="Arial" w:eastAsia="Arial" w:hAnsi="Arial"/>
          <w:sz w:val="18"/>
          <w:szCs w:val="18"/>
          <w:i w:val="1"/>
          <w:iCs w:val="1"/>
          <w:color w:val="auto"/>
        </w:rPr>
      </w:pPr>
    </w:p>
    <w:p>
      <w:pPr>
        <w:ind w:left="500" w:right="420" w:hanging="330"/>
        <w:spacing w:after="0" w:line="277" w:lineRule="auto"/>
        <w:tabs>
          <w:tab w:leader="none" w:pos="495" w:val="left"/>
        </w:tabs>
        <w:numPr>
          <w:ilvl w:val="1"/>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long-term fixed-rate debt, including current maturities </w:t>
      </w:r>
      <w:r>
        <w:rPr>
          <w:rFonts w:ascii="Arial" w:cs="Arial" w:eastAsia="Arial" w:hAnsi="Arial"/>
          <w:sz w:val="18"/>
          <w:szCs w:val="18"/>
          <w:color w:val="auto"/>
        </w:rPr>
        <w:t>— fair value is based on market quotes available for issuance of debt with similar terms,</w:t>
      </w:r>
      <w:r>
        <w:rPr>
          <w:rFonts w:ascii="Arial" w:cs="Arial" w:eastAsia="Arial" w:hAnsi="Arial"/>
          <w:sz w:val="18"/>
          <w:szCs w:val="18"/>
          <w:i w:val="1"/>
          <w:iCs w:val="1"/>
          <w:color w:val="auto"/>
        </w:rPr>
        <w:t xml:space="preserve"> </w:t>
      </w:r>
      <w:r>
        <w:rPr>
          <w:rFonts w:ascii="Arial" w:cs="Arial" w:eastAsia="Arial" w:hAnsi="Arial"/>
          <w:sz w:val="18"/>
          <w:szCs w:val="18"/>
          <w:color w:val="auto"/>
        </w:rPr>
        <w:t>which are inputs that are classified as Level 2 in the valuation hierarchy defined by the accounting guidance;</w:t>
      </w:r>
    </w:p>
    <w:p>
      <w:pPr>
        <w:spacing w:after="0" w:line="116" w:lineRule="exact"/>
        <w:rPr>
          <w:rFonts w:ascii="Arial" w:cs="Arial" w:eastAsia="Arial" w:hAnsi="Arial"/>
          <w:sz w:val="18"/>
          <w:szCs w:val="18"/>
          <w:color w:val="auto"/>
        </w:rPr>
      </w:pPr>
    </w:p>
    <w:p>
      <w:pPr>
        <w:ind w:left="500" w:right="40" w:hanging="330"/>
        <w:spacing w:after="0" w:line="263" w:lineRule="auto"/>
        <w:tabs>
          <w:tab w:leader="none" w:pos="495" w:val="left"/>
        </w:tabs>
        <w:numPr>
          <w:ilvl w:val="1"/>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foreign currency contract agreements </w:t>
      </w:r>
      <w:r>
        <w:rPr>
          <w:rFonts w:ascii="Arial" w:cs="Arial" w:eastAsia="Arial" w:hAnsi="Arial"/>
          <w:sz w:val="18"/>
          <w:szCs w:val="18"/>
          <w:color w:val="auto"/>
        </w:rPr>
        <w:t>— fair values are determined through the use of models that consider various assumptions, including time</w:t>
      </w:r>
      <w:r>
        <w:rPr>
          <w:rFonts w:ascii="Arial" w:cs="Arial" w:eastAsia="Arial" w:hAnsi="Arial"/>
          <w:sz w:val="18"/>
          <w:szCs w:val="18"/>
          <w:i w:val="1"/>
          <w:iCs w:val="1"/>
          <w:color w:val="auto"/>
        </w:rPr>
        <w:t xml:space="preserve"> </w:t>
      </w:r>
      <w:r>
        <w:rPr>
          <w:rFonts w:ascii="Arial" w:cs="Arial" w:eastAsia="Arial" w:hAnsi="Arial"/>
          <w:sz w:val="18"/>
          <w:szCs w:val="18"/>
          <w:color w:val="auto"/>
        </w:rPr>
        <w:t>value, yield curves, as well as other relevant economic measures, which are inputs that are classified as Level 2 in the valuation hierarchy defined by the accounting guidance; and</w:t>
      </w:r>
    </w:p>
    <w:p>
      <w:pPr>
        <w:spacing w:after="0" w:line="129" w:lineRule="exact"/>
        <w:rPr>
          <w:rFonts w:ascii="Arial" w:cs="Arial" w:eastAsia="Arial" w:hAnsi="Arial"/>
          <w:sz w:val="18"/>
          <w:szCs w:val="18"/>
          <w:color w:val="auto"/>
        </w:rPr>
      </w:pPr>
    </w:p>
    <w:p>
      <w:pPr>
        <w:ind w:left="460" w:right="40" w:hanging="331"/>
        <w:spacing w:after="0" w:line="301" w:lineRule="auto"/>
        <w:tabs>
          <w:tab w:leader="none" w:pos="455"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 xml:space="preserve">deferred compensation plan assets (mutual funds, common/collective trusts and cash equivalents for payment of certain non-qualified benefits for retired, terminated and active employees) </w:t>
      </w:r>
      <w:r>
        <w:rPr>
          <w:rFonts w:ascii="Arial" w:cs="Arial" w:eastAsia="Arial" w:hAnsi="Arial"/>
          <w:sz w:val="16"/>
          <w:szCs w:val="16"/>
          <w:color w:val="auto"/>
        </w:rPr>
        <w:t>— fair value of mutual funds and cash equivalents are based on quoted market prices in active markets that</w:t>
      </w:r>
      <w:r>
        <w:rPr>
          <w:rFonts w:ascii="Arial" w:cs="Arial" w:eastAsia="Arial" w:hAnsi="Arial"/>
          <w:sz w:val="16"/>
          <w:szCs w:val="16"/>
          <w:i w:val="1"/>
          <w:iCs w:val="1"/>
          <w:color w:val="auto"/>
        </w:rPr>
        <w:t xml:space="preserve"> </w:t>
      </w:r>
      <w:r>
        <w:rPr>
          <w:rFonts w:ascii="Arial" w:cs="Arial" w:eastAsia="Arial" w:hAnsi="Arial"/>
          <w:sz w:val="16"/>
          <w:szCs w:val="16"/>
          <w:color w:val="auto"/>
        </w:rPr>
        <w:t>are classified as Level 1 in the valuation hierarchy defined by the accounting guidance; fair value of common/collective trusts are valued at net asset value (“NAV”), which is based on the fair value of the underlying securities owned by the fund and divided by the number of shares outstanding.</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recorded amounts and estimated fair values of total debt, excluding unamortized issuance costs and discounts, were as follows: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80" w:type="dxa"/>
            <w:vAlign w:val="bottom"/>
            <w:gridSpan w:val="4"/>
          </w:tcPr>
          <w:p>
            <w:pPr>
              <w:ind w:left="54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18"/>
                <w:szCs w:val="18"/>
                <w:color w:val="auto"/>
              </w:rPr>
            </w:pPr>
          </w:p>
        </w:tc>
        <w:tc>
          <w:tcPr>
            <w:tcW w:w="2380" w:type="dxa"/>
            <w:vAlign w:val="bottom"/>
            <w:gridSpan w:val="3"/>
          </w:tcPr>
          <w:p>
            <w:pPr>
              <w:jc w:val="right"/>
              <w:ind w:right="6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2019</w:t>
            </w:r>
          </w:p>
        </w:tc>
        <w:tc>
          <w:tcPr>
            <w:tcW w:w="980" w:type="dxa"/>
            <w:vAlign w:val="bottom"/>
          </w:tcPr>
          <w:p>
            <w:pPr>
              <w:spacing w:after="0"/>
              <w:rPr>
                <w:sz w:val="20"/>
                <w:szCs w:val="20"/>
                <w:color w:val="auto"/>
              </w:rPr>
            </w:pPr>
          </w:p>
        </w:tc>
      </w:tr>
      <w:tr>
        <w:trPr>
          <w:trHeight w:val="27"/>
        </w:trPr>
        <w:tc>
          <w:tcPr>
            <w:tcW w:w="60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8"/>
        </w:trPr>
        <w:tc>
          <w:tcPr>
            <w:tcW w:w="6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b w:val="1"/>
                <w:bCs w:val="1"/>
                <w:color w:val="auto"/>
                <w:w w:val="96"/>
              </w:rPr>
              <w:t>Recorded</w:t>
            </w:r>
          </w:p>
        </w:tc>
        <w:tc>
          <w:tcPr>
            <w:tcW w:w="340" w:type="dxa"/>
            <w:vAlign w:val="bottom"/>
          </w:tcPr>
          <w:p>
            <w:pPr>
              <w:spacing w:after="0"/>
              <w:rPr>
                <w:sz w:val="18"/>
                <w:szCs w:val="18"/>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rPr>
              <w:t>Fair</w:t>
            </w:r>
          </w:p>
        </w:tc>
        <w:tc>
          <w:tcPr>
            <w:tcW w:w="180" w:type="dxa"/>
            <w:vAlign w:val="bottom"/>
          </w:tcPr>
          <w:p>
            <w:pPr>
              <w:spacing w:after="0"/>
              <w:rPr>
                <w:sz w:val="18"/>
                <w:szCs w:val="18"/>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b w:val="1"/>
                <w:bCs w:val="1"/>
                <w:color w:val="auto"/>
                <w:w w:val="96"/>
              </w:rPr>
              <w:t>Recorded</w:t>
            </w:r>
          </w:p>
        </w:tc>
        <w:tc>
          <w:tcPr>
            <w:tcW w:w="340" w:type="dxa"/>
            <w:vAlign w:val="bottom"/>
          </w:tcPr>
          <w:p>
            <w:pPr>
              <w:spacing w:after="0"/>
              <w:rPr>
                <w:sz w:val="18"/>
                <w:szCs w:val="18"/>
                <w:color w:val="auto"/>
              </w:rPr>
            </w:pPr>
          </w:p>
        </w:tc>
        <w:tc>
          <w:tcPr>
            <w:tcW w:w="980" w:type="dxa"/>
            <w:vAlign w:val="bottom"/>
          </w:tcPr>
          <w:p>
            <w:pPr>
              <w:jc w:val="right"/>
              <w:ind w:right="390"/>
              <w:spacing w:after="0"/>
              <w:rPr>
                <w:sz w:val="20"/>
                <w:szCs w:val="20"/>
                <w:color w:val="auto"/>
              </w:rPr>
            </w:pPr>
            <w:r>
              <w:rPr>
                <w:rFonts w:ascii="Arial" w:cs="Arial" w:eastAsia="Arial" w:hAnsi="Arial"/>
                <w:sz w:val="18"/>
                <w:szCs w:val="18"/>
                <w:b w:val="1"/>
                <w:bCs w:val="1"/>
                <w:color w:val="auto"/>
              </w:rPr>
              <w:t>Fair</w:t>
            </w:r>
          </w:p>
        </w:tc>
      </w:tr>
      <w:tr>
        <w:trPr>
          <w:trHeight w:val="234"/>
        </w:trPr>
        <w:tc>
          <w:tcPr>
            <w:tcW w:w="6020" w:type="dxa"/>
            <w:vAlign w:val="bottom"/>
          </w:tcPr>
          <w:p>
            <w:pPr>
              <w:ind w:left="20"/>
              <w:spacing w:after="0"/>
              <w:rPr>
                <w:sz w:val="20"/>
                <w:szCs w:val="20"/>
                <w:color w:val="auto"/>
              </w:rPr>
            </w:pPr>
            <w:r>
              <w:rPr>
                <w:rFonts w:ascii="Arial" w:cs="Arial" w:eastAsia="Arial" w:hAnsi="Arial"/>
                <w:sz w:val="18"/>
                <w:szCs w:val="18"/>
                <w:i w:val="1"/>
                <w:iCs w:val="1"/>
                <w:color w:val="auto"/>
              </w:rPr>
              <w:t>In millions</w:t>
            </w:r>
          </w:p>
        </w:tc>
        <w:tc>
          <w:tcPr>
            <w:tcW w:w="180" w:type="dxa"/>
            <w:vAlign w:val="bottom"/>
          </w:tcPr>
          <w:p>
            <w:pPr>
              <w:spacing w:after="0"/>
              <w:rPr>
                <w:sz w:val="20"/>
                <w:szCs w:val="20"/>
                <w:color w:val="auto"/>
              </w:rPr>
            </w:pPr>
          </w:p>
        </w:tc>
        <w:tc>
          <w:tcPr>
            <w:tcW w:w="1060" w:type="dxa"/>
            <w:vAlign w:val="bottom"/>
          </w:tcPr>
          <w:p>
            <w:pPr>
              <w:jc w:val="right"/>
              <w:ind w:right="190"/>
              <w:spacing w:after="0"/>
              <w:rPr>
                <w:sz w:val="20"/>
                <w:szCs w:val="20"/>
                <w:color w:val="auto"/>
              </w:rPr>
            </w:pPr>
            <w:r>
              <w:rPr>
                <w:rFonts w:ascii="Arial" w:cs="Arial" w:eastAsia="Arial" w:hAnsi="Arial"/>
                <w:sz w:val="18"/>
                <w:szCs w:val="18"/>
                <w:b w:val="1"/>
                <w:bCs w:val="1"/>
                <w:color w:val="auto"/>
              </w:rPr>
              <w:t>Amount</w:t>
            </w:r>
          </w:p>
        </w:tc>
        <w:tc>
          <w:tcPr>
            <w:tcW w:w="340" w:type="dxa"/>
            <w:vAlign w:val="bottom"/>
          </w:tcPr>
          <w:p>
            <w:pPr>
              <w:spacing w:after="0"/>
              <w:rPr>
                <w:sz w:val="20"/>
                <w:szCs w:val="20"/>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Value</w:t>
            </w:r>
          </w:p>
        </w:tc>
        <w:tc>
          <w:tcPr>
            <w:tcW w:w="180" w:type="dxa"/>
            <w:vAlign w:val="bottom"/>
          </w:tcPr>
          <w:p>
            <w:pPr>
              <w:spacing w:after="0"/>
              <w:rPr>
                <w:sz w:val="20"/>
                <w:szCs w:val="20"/>
                <w:color w:val="auto"/>
              </w:rPr>
            </w:pPr>
          </w:p>
        </w:tc>
        <w:tc>
          <w:tcPr>
            <w:tcW w:w="1060" w:type="dxa"/>
            <w:vAlign w:val="bottom"/>
          </w:tcPr>
          <w:p>
            <w:pPr>
              <w:jc w:val="right"/>
              <w:ind w:right="190"/>
              <w:spacing w:after="0"/>
              <w:rPr>
                <w:sz w:val="20"/>
                <w:szCs w:val="20"/>
                <w:color w:val="auto"/>
              </w:rPr>
            </w:pPr>
            <w:r>
              <w:rPr>
                <w:rFonts w:ascii="Arial" w:cs="Arial" w:eastAsia="Arial" w:hAnsi="Arial"/>
                <w:sz w:val="18"/>
                <w:szCs w:val="18"/>
                <w:b w:val="1"/>
                <w:bCs w:val="1"/>
                <w:color w:val="auto"/>
              </w:rPr>
              <w:t>Amount</w:t>
            </w:r>
          </w:p>
        </w:tc>
        <w:tc>
          <w:tcPr>
            <w:tcW w:w="340" w:type="dxa"/>
            <w:vAlign w:val="bottom"/>
          </w:tcPr>
          <w:p>
            <w:pPr>
              <w:spacing w:after="0"/>
              <w:rPr>
                <w:sz w:val="20"/>
                <w:szCs w:val="20"/>
                <w:color w:val="auto"/>
              </w:rPr>
            </w:pPr>
          </w:p>
        </w:tc>
        <w:tc>
          <w:tcPr>
            <w:tcW w:w="980" w:type="dxa"/>
            <w:vAlign w:val="bottom"/>
          </w:tcPr>
          <w:p>
            <w:pPr>
              <w:jc w:val="right"/>
              <w:ind w:right="330"/>
              <w:spacing w:after="0"/>
              <w:rPr>
                <w:sz w:val="20"/>
                <w:szCs w:val="20"/>
                <w:color w:val="auto"/>
              </w:rPr>
            </w:pPr>
            <w:r>
              <w:rPr>
                <w:rFonts w:ascii="Arial" w:cs="Arial" w:eastAsia="Arial" w:hAnsi="Arial"/>
                <w:sz w:val="18"/>
                <w:szCs w:val="18"/>
                <w:b w:val="1"/>
                <w:bCs w:val="1"/>
                <w:color w:val="auto"/>
              </w:rPr>
              <w:t>Value</w:t>
            </w:r>
          </w:p>
        </w:tc>
      </w:tr>
      <w:tr>
        <w:trPr>
          <w:trHeight w:val="27"/>
        </w:trPr>
        <w:tc>
          <w:tcPr>
            <w:tcW w:w="60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Variable rate debt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353.6</w:t>
            </w:r>
          </w:p>
        </w:tc>
        <w:tc>
          <w:tcPr>
            <w:tcW w:w="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353.6</w:t>
            </w:r>
          </w:p>
        </w:tc>
      </w:tr>
      <w:tr>
        <w:trPr>
          <w:trHeight w:val="243"/>
        </w:trPr>
        <w:tc>
          <w:tcPr>
            <w:tcW w:w="6020" w:type="dxa"/>
            <w:vAlign w:val="bottom"/>
          </w:tcPr>
          <w:p>
            <w:pPr>
              <w:ind w:left="20"/>
              <w:spacing w:after="0"/>
              <w:rPr>
                <w:sz w:val="20"/>
                <w:szCs w:val="20"/>
                <w:color w:val="auto"/>
              </w:rPr>
            </w:pPr>
            <w:r>
              <w:rPr>
                <w:rFonts w:ascii="Arial" w:cs="Arial" w:eastAsia="Arial" w:hAnsi="Arial"/>
                <w:sz w:val="18"/>
                <w:szCs w:val="18"/>
                <w:color w:val="auto"/>
              </w:rPr>
              <w:t>Fixed rate debt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611.4</w:t>
            </w: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674.5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685.4</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732.2</w:t>
            </w:r>
          </w:p>
        </w:tc>
      </w:tr>
      <w:tr>
        <w:trPr>
          <w:trHeight w:val="27"/>
        </w:trPr>
        <w:tc>
          <w:tcPr>
            <w:tcW w:w="60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88"/>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813.6</w:t>
            </w:r>
          </w:p>
        </w:tc>
        <w:tc>
          <w:tcPr>
            <w:tcW w:w="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876.7</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1,039.0</w:t>
            </w:r>
          </w:p>
        </w:tc>
        <w:tc>
          <w:tcPr>
            <w:tcW w:w="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1,085.8</w:t>
            </w:r>
          </w:p>
        </w:tc>
      </w:tr>
      <w:tr>
        <w:trPr>
          <w:trHeight w:val="20"/>
        </w:trPr>
        <w:tc>
          <w:tcPr>
            <w:tcW w:w="6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Financial assets and liabilities measured at fair value on a recurring and nonrecurring basis were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rPr>
              <w:t>September 30, 2020</w:t>
            </w: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54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5400" w:type="dxa"/>
            <w:vAlign w:val="bottom"/>
          </w:tcPr>
          <w:p>
            <w:pPr>
              <w:ind w:left="20"/>
              <w:spacing w:after="0"/>
              <w:rPr>
                <w:sz w:val="20"/>
                <w:szCs w:val="20"/>
                <w:color w:val="auto"/>
              </w:rPr>
            </w:pPr>
            <w:r>
              <w:rPr>
                <w:rFonts w:ascii="Arial" w:cs="Arial" w:eastAsia="Arial" w:hAnsi="Arial"/>
                <w:sz w:val="18"/>
                <w:szCs w:val="18"/>
                <w:i w:val="1"/>
                <w:iCs w:val="1"/>
                <w:color w:val="auto"/>
              </w:rPr>
              <w:t>In millions</w:t>
            </w:r>
          </w:p>
        </w:tc>
        <w:tc>
          <w:tcPr>
            <w:tcW w:w="120" w:type="dxa"/>
            <w:vAlign w:val="bottom"/>
          </w:tcPr>
          <w:p>
            <w:pPr>
              <w:spacing w:after="0"/>
              <w:rPr>
                <w:sz w:val="20"/>
                <w:szCs w:val="20"/>
                <w:color w:val="auto"/>
              </w:rPr>
            </w:pPr>
          </w:p>
        </w:tc>
        <w:tc>
          <w:tcPr>
            <w:tcW w:w="1000" w:type="dxa"/>
            <w:vAlign w:val="bottom"/>
          </w:tcPr>
          <w:p>
            <w:pPr>
              <w:jc w:val="right"/>
              <w:ind w:right="17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20"/>
                <w:szCs w:val="20"/>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b w:val="1"/>
                <w:bCs w:val="1"/>
                <w:color w:val="auto"/>
              </w:rPr>
              <w:t>Level 2</w:t>
            </w:r>
          </w:p>
        </w:tc>
        <w:tc>
          <w:tcPr>
            <w:tcW w:w="200" w:type="dxa"/>
            <w:vAlign w:val="bottom"/>
          </w:tcPr>
          <w:p>
            <w:pPr>
              <w:spacing w:after="0"/>
              <w:rPr>
                <w:sz w:val="20"/>
                <w:szCs w:val="20"/>
                <w:color w:val="auto"/>
              </w:rPr>
            </w:pPr>
          </w:p>
        </w:tc>
        <w:tc>
          <w:tcPr>
            <w:tcW w:w="940" w:type="dxa"/>
            <w:vAlign w:val="bottom"/>
          </w:tcPr>
          <w:p>
            <w:pPr>
              <w:ind w:left="100"/>
              <w:spacing w:after="0"/>
              <w:rPr>
                <w:sz w:val="20"/>
                <w:szCs w:val="20"/>
                <w:color w:val="auto"/>
              </w:rPr>
            </w:pPr>
            <w:r>
              <w:rPr>
                <w:rFonts w:ascii="Arial" w:cs="Arial" w:eastAsia="Arial" w:hAnsi="Arial"/>
                <w:sz w:val="18"/>
                <w:szCs w:val="18"/>
                <w:b w:val="1"/>
                <w:bCs w:val="1"/>
                <w:color w:val="auto"/>
              </w:rPr>
              <w:t>Level 3</w:t>
            </w:r>
          </w:p>
        </w:tc>
        <w:tc>
          <w:tcPr>
            <w:tcW w:w="30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NAV</w:t>
            </w:r>
          </w:p>
        </w:tc>
        <w:tc>
          <w:tcPr>
            <w:tcW w:w="280" w:type="dxa"/>
            <w:vAlign w:val="bottom"/>
          </w:tcPr>
          <w:p>
            <w:pPr>
              <w:spacing w:after="0"/>
              <w:rPr>
                <w:sz w:val="20"/>
                <w:szCs w:val="20"/>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Total</w:t>
            </w:r>
          </w:p>
        </w:tc>
      </w:tr>
      <w:tr>
        <w:trPr>
          <w:trHeight w:val="27"/>
        </w:trPr>
        <w:tc>
          <w:tcPr>
            <w:tcW w:w="5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Recurring fair value measurements</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Foreign currency contract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ind w:left="7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5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contract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w:t>
            </w: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Deferred compensation plan assets</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ind w:left="7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9.8</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19.8</w:t>
            </w:r>
          </w:p>
        </w:tc>
      </w:tr>
      <w:tr>
        <w:trPr>
          <w:trHeight w:val="27"/>
        </w:trPr>
        <w:tc>
          <w:tcPr>
            <w:tcW w:w="5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89"/>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recurring fair value measurements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0"/>
        </w:trPr>
        <w:tc>
          <w:tcPr>
            <w:tcW w:w="5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851"/>
        </w:trPr>
        <w:tc>
          <w:tcPr>
            <w:tcW w:w="5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710"/>
              <w:spacing w:after="0"/>
              <w:rPr>
                <w:sz w:val="20"/>
                <w:szCs w:val="20"/>
                <w:color w:val="auto"/>
              </w:rPr>
            </w:pPr>
            <w:r>
              <w:rPr>
                <w:rFonts w:ascii="Arial" w:cs="Arial" w:eastAsia="Arial" w:hAnsi="Arial"/>
                <w:sz w:val="18"/>
                <w:szCs w:val="18"/>
                <w:color w:val="auto"/>
                <w:w w:val="89"/>
              </w:rPr>
              <w:t>17</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15"/>
        </w:trPr>
        <w:tc>
          <w:tcPr>
            <w:tcW w:w="54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rPr>
              <w:t>December 31, 2019</w:t>
            </w: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54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5400" w:type="dxa"/>
            <w:vAlign w:val="bottom"/>
          </w:tcPr>
          <w:p>
            <w:pPr>
              <w:ind w:left="20"/>
              <w:spacing w:after="0"/>
              <w:rPr>
                <w:sz w:val="20"/>
                <w:szCs w:val="20"/>
                <w:color w:val="auto"/>
              </w:rPr>
            </w:pPr>
            <w:r>
              <w:rPr>
                <w:rFonts w:ascii="Arial" w:cs="Arial" w:eastAsia="Arial" w:hAnsi="Arial"/>
                <w:sz w:val="18"/>
                <w:szCs w:val="18"/>
                <w:i w:val="1"/>
                <w:iCs w:val="1"/>
                <w:color w:val="auto"/>
              </w:rPr>
              <w:t>In millions</w:t>
            </w:r>
          </w:p>
        </w:tc>
        <w:tc>
          <w:tcPr>
            <w:tcW w:w="200" w:type="dxa"/>
            <w:vAlign w:val="bottom"/>
          </w:tcPr>
          <w:p>
            <w:pPr>
              <w:spacing w:after="0"/>
              <w:rPr>
                <w:sz w:val="20"/>
                <w:szCs w:val="20"/>
                <w:color w:val="auto"/>
              </w:rPr>
            </w:pPr>
          </w:p>
        </w:tc>
        <w:tc>
          <w:tcPr>
            <w:tcW w:w="920" w:type="dxa"/>
            <w:vAlign w:val="bottom"/>
          </w:tcPr>
          <w:p>
            <w:pPr>
              <w:jc w:val="right"/>
              <w:ind w:right="17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20"/>
                <w:szCs w:val="20"/>
                <w:color w:val="auto"/>
              </w:rPr>
            </w:pPr>
          </w:p>
        </w:tc>
        <w:tc>
          <w:tcPr>
            <w:tcW w:w="940" w:type="dxa"/>
            <w:vAlign w:val="bottom"/>
          </w:tcPr>
          <w:p>
            <w:pPr>
              <w:jc w:val="right"/>
              <w:ind w:right="210"/>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20"/>
                <w:szCs w:val="20"/>
                <w:color w:val="auto"/>
              </w:rPr>
            </w:pPr>
          </w:p>
        </w:tc>
        <w:tc>
          <w:tcPr>
            <w:tcW w:w="960" w:type="dxa"/>
            <w:vAlign w:val="bottom"/>
          </w:tcPr>
          <w:p>
            <w:pPr>
              <w:ind w:left="100"/>
              <w:spacing w:after="0"/>
              <w:rPr>
                <w:sz w:val="20"/>
                <w:szCs w:val="20"/>
                <w:color w:val="auto"/>
              </w:rPr>
            </w:pPr>
            <w:r>
              <w:rPr>
                <w:rFonts w:ascii="Arial" w:cs="Arial" w:eastAsia="Arial" w:hAnsi="Arial"/>
                <w:sz w:val="18"/>
                <w:szCs w:val="18"/>
                <w:b w:val="1"/>
                <w:bCs w:val="1"/>
                <w:color w:val="auto"/>
              </w:rPr>
              <w:t>Level 3</w:t>
            </w:r>
          </w:p>
        </w:tc>
        <w:tc>
          <w:tcPr>
            <w:tcW w:w="28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NAV</w:t>
            </w:r>
          </w:p>
        </w:tc>
        <w:tc>
          <w:tcPr>
            <w:tcW w:w="280" w:type="dxa"/>
            <w:vAlign w:val="bottom"/>
          </w:tcPr>
          <w:p>
            <w:pPr>
              <w:spacing w:after="0"/>
              <w:rPr>
                <w:sz w:val="20"/>
                <w:szCs w:val="20"/>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Total</w:t>
            </w:r>
          </w:p>
        </w:tc>
      </w:tr>
      <w:tr>
        <w:trPr>
          <w:trHeight w:val="27"/>
        </w:trPr>
        <w:tc>
          <w:tcPr>
            <w:tcW w:w="5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3"/>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Recurring fair value measurements</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Foreign currency contract assets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ind w:left="7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5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contract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Deferred compensation plan assets</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12.5</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60" w:type="dxa"/>
            <w:vAlign w:val="bottom"/>
          </w:tcPr>
          <w:p>
            <w:pPr>
              <w:ind w:left="7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8.8</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21.3</w:t>
            </w:r>
          </w:p>
        </w:tc>
      </w:tr>
      <w:tr>
        <w:trPr>
          <w:trHeight w:val="27"/>
        </w:trPr>
        <w:tc>
          <w:tcPr>
            <w:tcW w:w="5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88"/>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recurring fair value measurements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0"/>
        </w:trPr>
        <w:tc>
          <w:tcPr>
            <w:tcW w:w="5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ind w:left="20"/>
        <w:spacing w:after="0"/>
        <w:rPr>
          <w:sz w:val="20"/>
          <w:szCs w:val="20"/>
          <w:color w:val="auto"/>
        </w:rPr>
      </w:pPr>
      <w:r>
        <w:rPr>
          <w:rFonts w:ascii="Arial" w:cs="Arial" w:eastAsia="Arial" w:hAnsi="Arial"/>
          <w:sz w:val="18"/>
          <w:szCs w:val="18"/>
          <w:b w:val="1"/>
          <w:bCs w:val="1"/>
          <w:color w:val="auto"/>
        </w:rPr>
        <w:t xml:space="preserve">Nonrecurring fair value measurements </w:t>
      </w:r>
      <w:r>
        <w:rPr>
          <w:rFonts w:ascii="Arial" w:cs="Arial" w:eastAsia="Arial" w:hAnsi="Arial"/>
          <w:sz w:val="23"/>
          <w:szCs w:val="23"/>
          <w:b w:val="1"/>
          <w:bCs w:val="1"/>
          <w:color w:val="auto"/>
          <w:vertAlign w:val="superscript"/>
        </w:rPr>
        <w:t>(1)</w:t>
      </w:r>
    </w:p>
    <w:p>
      <w:pPr>
        <w:spacing w:after="0" w:line="144" w:lineRule="exact"/>
        <w:rPr>
          <w:sz w:val="20"/>
          <w:szCs w:val="20"/>
          <w:color w:val="auto"/>
        </w:rPr>
      </w:pPr>
    </w:p>
    <w:p>
      <w:pPr>
        <w:ind w:left="180" w:right="180" w:hanging="172"/>
        <w:spacing w:after="0" w:line="268" w:lineRule="auto"/>
        <w:tabs>
          <w:tab w:leader="none" w:pos="168" w:val="left"/>
        </w:tabs>
        <w:numPr>
          <w:ilvl w:val="0"/>
          <w:numId w:val="14"/>
        </w:numPr>
        <w:rPr>
          <w:rFonts w:ascii="Arial" w:cs="Arial" w:eastAsia="Arial" w:hAnsi="Arial"/>
          <w:sz w:val="19"/>
          <w:szCs w:val="19"/>
          <w:color w:val="auto"/>
          <w:vertAlign w:val="superscript"/>
        </w:rPr>
      </w:pPr>
      <w:r>
        <w:rPr>
          <w:rFonts w:ascii="Arial" w:cs="Arial" w:eastAsia="Arial" w:hAnsi="Arial"/>
          <w:sz w:val="13"/>
          <w:szCs w:val="13"/>
          <w:color w:val="auto"/>
        </w:rPr>
        <w:t>During the year ended December 31, 2019, we recorded impairment charges for cost method investments in the amount of $21.2 million, of which $18.2 million was recorded in the nine months ended September 30, 2019. A valuation method using unobservable inputs was utilized to determine the fair value. We wrote the balance of the cost method investments to zero.</w:t>
      </w:r>
    </w:p>
    <w:p>
      <w:pPr>
        <w:spacing w:after="0" w:line="168" w:lineRule="exact"/>
        <w:rPr>
          <w:sz w:val="20"/>
          <w:szCs w:val="20"/>
          <w:color w:val="auto"/>
        </w:rPr>
      </w:pPr>
    </w:p>
    <w:p>
      <w:pPr>
        <w:ind w:left="680" w:hanging="672"/>
        <w:spacing w:after="0"/>
        <w:tabs>
          <w:tab w:leader="none" w:pos="6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7"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We manage our affairs so that we are centrally managed and controlled in the United Kingdom (“U.K.”) and therefore have our tax residency in the U.K. The provision for income taxes consists of provisions for the U.K. and international income taxes. We operate in an international environment with operations in various locations outside the U.K. Accordingly, the consolidated income tax rate is a composite rate reflecting the earnings in the various locations and the applicable rates.</w:t>
      </w:r>
    </w:p>
    <w:p>
      <w:pPr>
        <w:spacing w:after="0" w:line="139" w:lineRule="exact"/>
        <w:rPr>
          <w:sz w:val="20"/>
          <w:szCs w:val="20"/>
          <w:color w:val="auto"/>
        </w:rPr>
      </w:pPr>
    </w:p>
    <w:p>
      <w:pPr>
        <w:jc w:val="both"/>
        <w:ind w:right="380"/>
        <w:spacing w:after="0" w:line="263" w:lineRule="auto"/>
        <w:rPr>
          <w:sz w:val="20"/>
          <w:szCs w:val="20"/>
          <w:color w:val="auto"/>
        </w:rPr>
      </w:pPr>
      <w:r>
        <w:rPr>
          <w:rFonts w:ascii="Arial" w:cs="Arial" w:eastAsia="Arial" w:hAnsi="Arial"/>
          <w:sz w:val="18"/>
          <w:szCs w:val="18"/>
          <w:color w:val="auto"/>
        </w:rPr>
        <w:t>The effective income tax rate for the nine months ended September 30, 2020 was 19.9%, compared to 14.2% for the nine months ended September 30, 2019. We continue to actively pursue initiatives to reduce our effective tax rate. The tax rate in any quarter can be affected positively or negatively by adjustments that are required to be reported in the specific quarter of resolution.</w:t>
      </w:r>
    </w:p>
    <w:p>
      <w:pPr>
        <w:spacing w:after="0" w:line="13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On March 27, 2020, the U.S. enacted the Coronavirus Aid, Relief, and Economic Security Act (“CARES Act”) in response to the COVID-19 pandemic. The CARES Act contains numerous income tax provisions, such as relaxing limitations on the deductibility of interest and the ability to carryback net operating losses arising in taxable years from 2018 through 2020. The CARES Act provides positive cash benefits of approximately $28.7 million, offset by an increase to our 2020 annual effective tax rate of approximately 1.0% and $5.1 million in discrete tax items recorded in the first nine months of 2020 mainly attributable to base erosion and anti-abuse tax related to 2019.</w:t>
      </w:r>
    </w:p>
    <w:p>
      <w:pPr>
        <w:spacing w:after="0" w:line="134" w:lineRule="exact"/>
        <w:rPr>
          <w:sz w:val="20"/>
          <w:szCs w:val="20"/>
          <w:color w:val="auto"/>
        </w:rPr>
      </w:pPr>
    </w:p>
    <w:p>
      <w:pPr>
        <w:ind w:right="420"/>
        <w:spacing w:after="0" w:line="286" w:lineRule="auto"/>
        <w:rPr>
          <w:sz w:val="20"/>
          <w:szCs w:val="20"/>
          <w:color w:val="auto"/>
        </w:rPr>
      </w:pPr>
      <w:r>
        <w:rPr>
          <w:rFonts w:ascii="Arial" w:cs="Arial" w:eastAsia="Arial" w:hAnsi="Arial"/>
          <w:sz w:val="17"/>
          <w:szCs w:val="17"/>
          <w:color w:val="auto"/>
        </w:rPr>
        <w:t>In April 2020, the Internal Revenue Service released final regulations as part of the Tax Cuts and Jobs Act of 2017 that place limitations on the deductibility of certain interest expense for U.S. tax purposes. These regulations resulted in discrete tax expense of approximately $14.1 million in the second quarter of 2020, as well as an increase to our 2020 annual effective tax rate of approximately 0.5%.</w:t>
      </w:r>
    </w:p>
    <w:p>
      <w:pPr>
        <w:spacing w:after="0" w:line="138"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 xml:space="preserve">The liability for uncertain tax positions was $46.8 million and $47.4 million at September 30, 2020 and December 31, 2019, respectively. We record penalties and interest related to unrecognized tax benefits in </w:t>
      </w:r>
      <w:r>
        <w:rPr>
          <w:rFonts w:ascii="Arial" w:cs="Arial" w:eastAsia="Arial" w:hAnsi="Arial"/>
          <w:sz w:val="16"/>
          <w:szCs w:val="16"/>
          <w:i w:val="1"/>
          <w:iCs w:val="1"/>
          <w:color w:val="auto"/>
        </w:rPr>
        <w:t>Provision for income taxes</w:t>
      </w:r>
      <w:r>
        <w:rPr>
          <w:rFonts w:ascii="Arial" w:cs="Arial" w:eastAsia="Arial" w:hAnsi="Arial"/>
          <w:sz w:val="18"/>
          <w:szCs w:val="18"/>
          <w:color w:val="auto"/>
        </w:rPr>
        <w:t xml:space="preserve"> and </w:t>
      </w:r>
      <w:r>
        <w:rPr>
          <w:rFonts w:ascii="Arial" w:cs="Arial" w:eastAsia="Arial" w:hAnsi="Arial"/>
          <w:sz w:val="16"/>
          <w:szCs w:val="16"/>
          <w:i w:val="1"/>
          <w:iCs w:val="1"/>
          <w:color w:val="auto"/>
        </w:rPr>
        <w:t>Net interest expense</w:t>
      </w:r>
      <w:r>
        <w:rPr>
          <w:rFonts w:ascii="Arial" w:cs="Arial" w:eastAsia="Arial" w:hAnsi="Arial"/>
          <w:sz w:val="18"/>
          <w:szCs w:val="18"/>
          <w:color w:val="auto"/>
        </w:rPr>
        <w:t>, respectively, on the Condensed Consolidated Statements of Operations and Comprehensive Income, which is consistent with our past practices.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Benefit Plans</w:t>
      </w:r>
    </w:p>
    <w:p>
      <w:pPr>
        <w:spacing w:after="0" w:line="27" w:lineRule="exact"/>
        <w:rPr>
          <w:sz w:val="20"/>
          <w:szCs w:val="20"/>
          <w:color w:val="auto"/>
        </w:rPr>
      </w:pPr>
    </w:p>
    <w:p>
      <w:pPr>
        <w:ind w:right="380"/>
        <w:spacing w:after="0" w:line="260" w:lineRule="auto"/>
        <w:rPr>
          <w:sz w:val="20"/>
          <w:szCs w:val="20"/>
          <w:color w:val="auto"/>
        </w:rPr>
      </w:pPr>
      <w:r>
        <w:rPr>
          <w:rFonts w:ascii="Arial" w:cs="Arial" w:eastAsia="Arial" w:hAnsi="Arial"/>
          <w:sz w:val="18"/>
          <w:szCs w:val="18"/>
          <w:color w:val="auto"/>
        </w:rPr>
        <w:t>Components of net periodic benefit expense (income) for our pension plans for the three and nine months ended September 30, 2020 and 2019 were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80" w:type="dxa"/>
            <w:vAlign w:val="bottom"/>
            <w:gridSpan w:val="4"/>
          </w:tcPr>
          <w:p>
            <w:pPr>
              <w:ind w:left="56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0"/>
                <w:szCs w:val="20"/>
                <w:color w:val="auto"/>
              </w:rPr>
            </w:pPr>
          </w:p>
        </w:tc>
        <w:tc>
          <w:tcPr>
            <w:tcW w:w="2860" w:type="dxa"/>
            <w:vAlign w:val="bottom"/>
            <w:gridSpan w:val="3"/>
          </w:tcPr>
          <w:p>
            <w:pPr>
              <w:jc w:val="right"/>
              <w:ind w:right="690"/>
              <w:spacing w:after="0"/>
              <w:rPr>
                <w:sz w:val="20"/>
                <w:szCs w:val="20"/>
                <w:color w:val="auto"/>
              </w:rPr>
            </w:pPr>
            <w:r>
              <w:rPr>
                <w:rFonts w:ascii="Arial" w:cs="Arial" w:eastAsia="Arial" w:hAnsi="Arial"/>
                <w:sz w:val="18"/>
                <w:szCs w:val="18"/>
                <w:b w:val="1"/>
                <w:bCs w:val="1"/>
                <w:color w:val="auto"/>
              </w:rPr>
              <w:t>Nine months ended</w:t>
            </w:r>
          </w:p>
        </w:tc>
      </w:tr>
      <w:tr>
        <w:trPr>
          <w:trHeight w:val="27"/>
        </w:trPr>
        <w:tc>
          <w:tcPr>
            <w:tcW w:w="50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8"/>
        </w:trPr>
        <w:tc>
          <w:tcPr>
            <w:tcW w:w="5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September 30,</w:t>
            </w:r>
          </w:p>
        </w:tc>
        <w:tc>
          <w:tcPr>
            <w:tcW w:w="180" w:type="dxa"/>
            <w:vAlign w:val="bottom"/>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September 30,</w:t>
            </w:r>
          </w:p>
        </w:tc>
        <w:tc>
          <w:tcPr>
            <w:tcW w:w="160" w:type="dxa"/>
            <w:vAlign w:val="bottom"/>
          </w:tcPr>
          <w:p>
            <w:pPr>
              <w:spacing w:after="0"/>
              <w:rPr>
                <w:sz w:val="18"/>
                <w:szCs w:val="18"/>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September 30,</w:t>
            </w:r>
          </w:p>
        </w:tc>
        <w:tc>
          <w:tcPr>
            <w:tcW w:w="160" w:type="dxa"/>
            <w:vAlign w:val="bottom"/>
          </w:tcPr>
          <w:p>
            <w:pPr>
              <w:spacing w:after="0"/>
              <w:rPr>
                <w:sz w:val="18"/>
                <w:szCs w:val="18"/>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September 30,</w:t>
            </w:r>
          </w:p>
        </w:tc>
      </w:tr>
      <w:tr>
        <w:trPr>
          <w:trHeight w:val="234"/>
        </w:trPr>
        <w:tc>
          <w:tcPr>
            <w:tcW w:w="5080" w:type="dxa"/>
            <w:vAlign w:val="bottom"/>
          </w:tcPr>
          <w:p>
            <w:pPr>
              <w:ind w:left="20"/>
              <w:spacing w:after="0"/>
              <w:rPr>
                <w:sz w:val="20"/>
                <w:szCs w:val="20"/>
                <w:color w:val="auto"/>
              </w:rPr>
            </w:pPr>
            <w:r>
              <w:rPr>
                <w:rFonts w:ascii="Arial" w:cs="Arial" w:eastAsia="Arial" w:hAnsi="Arial"/>
                <w:sz w:val="18"/>
                <w:szCs w:val="18"/>
                <w:i w:val="1"/>
                <w:iCs w:val="1"/>
                <w:color w:val="auto"/>
              </w:rPr>
              <w:t>In millions</w:t>
            </w:r>
          </w:p>
        </w:tc>
        <w:tc>
          <w:tcPr>
            <w:tcW w:w="16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r>
      <w:tr>
        <w:trPr>
          <w:trHeight w:val="27"/>
        </w:trPr>
        <w:tc>
          <w:tcPr>
            <w:tcW w:w="5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center"/>
              <w:ind w:left="870"/>
              <w:spacing w:after="0"/>
              <w:rPr>
                <w:sz w:val="20"/>
                <w:szCs w:val="20"/>
                <w:color w:val="auto"/>
              </w:rPr>
            </w:pPr>
            <w:r>
              <w:rPr>
                <w:rFonts w:ascii="Arial" w:cs="Arial" w:eastAsia="Arial" w:hAnsi="Arial"/>
                <w:sz w:val="18"/>
                <w:szCs w:val="18"/>
                <w:color w:val="auto"/>
                <w:w w:val="87"/>
              </w:rPr>
              <w:t>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0.7</w:t>
            </w:r>
          </w:p>
        </w:tc>
        <w:tc>
          <w:tcPr>
            <w:tcW w:w="180" w:type="dxa"/>
            <w:vAlign w:val="bottom"/>
          </w:tcPr>
          <w:p>
            <w:pPr>
              <w:spacing w:after="0"/>
              <w:rPr>
                <w:sz w:val="21"/>
                <w:szCs w:val="21"/>
                <w:color w:val="auto"/>
              </w:rPr>
            </w:pPr>
          </w:p>
        </w:tc>
        <w:tc>
          <w:tcPr>
            <w:tcW w:w="1340" w:type="dxa"/>
            <w:vAlign w:val="bottom"/>
          </w:tcPr>
          <w:p>
            <w:pPr>
              <w:jc w:val="center"/>
              <w:ind w:left="870"/>
              <w:spacing w:after="0"/>
              <w:rPr>
                <w:sz w:val="20"/>
                <w:szCs w:val="20"/>
                <w:color w:val="auto"/>
              </w:rPr>
            </w:pPr>
            <w:r>
              <w:rPr>
                <w:rFonts w:ascii="Arial" w:cs="Arial" w:eastAsia="Arial" w:hAnsi="Arial"/>
                <w:sz w:val="18"/>
                <w:szCs w:val="18"/>
                <w:color w:val="auto"/>
                <w:w w:val="87"/>
              </w:rPr>
              <w:t>0.9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7"/>
        </w:trPr>
        <w:tc>
          <w:tcPr>
            <w:tcW w:w="5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center"/>
              <w:ind w:left="830"/>
              <w:spacing w:after="0"/>
              <w:rPr>
                <w:sz w:val="20"/>
                <w:szCs w:val="20"/>
                <w:color w:val="auto"/>
              </w:rPr>
            </w:pPr>
            <w:r>
              <w:rPr>
                <w:rFonts w:ascii="Arial" w:cs="Arial" w:eastAsia="Arial" w:hAnsi="Arial"/>
                <w:sz w:val="18"/>
                <w:szCs w:val="18"/>
                <w:color w:val="auto"/>
                <w:w w:val="91"/>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70"/>
        </w:trPr>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 xml:space="preserve">Plan settlement loss (gain) </w:t>
            </w:r>
            <w:r>
              <w:rPr>
                <w:rFonts w:ascii="Arial" w:cs="Arial" w:eastAsia="Arial" w:hAnsi="Arial"/>
                <w:sz w:val="23"/>
                <w:szCs w:val="23"/>
                <w:color w:val="auto"/>
                <w:vertAlign w:val="superscript"/>
              </w:rPr>
              <w:t>(1)</w:t>
            </w:r>
          </w:p>
        </w:tc>
        <w:tc>
          <w:tcPr>
            <w:tcW w:w="16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center"/>
              <w:ind w:left="870"/>
              <w:spacing w:after="0"/>
              <w:rPr>
                <w:sz w:val="20"/>
                <w:szCs w:val="20"/>
                <w:color w:val="auto"/>
              </w:rPr>
            </w:pPr>
            <w:r>
              <w:rPr>
                <w:rFonts w:ascii="Arial" w:cs="Arial" w:eastAsia="Arial" w:hAnsi="Arial"/>
                <w:sz w:val="18"/>
                <w:szCs w:val="18"/>
                <w:color w:val="auto"/>
                <w:w w:val="87"/>
              </w:rPr>
              <w:t>0.4</w:t>
            </w:r>
          </w:p>
        </w:tc>
        <w:tc>
          <w:tcPr>
            <w:tcW w:w="1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r>
      <w:tr>
        <w:trPr>
          <w:trHeight w:val="288"/>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periodic benefit expense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center"/>
              <w:ind w:left="870"/>
              <w:spacing w:after="0"/>
              <w:rPr>
                <w:sz w:val="20"/>
                <w:szCs w:val="20"/>
                <w:color w:val="auto"/>
              </w:rPr>
            </w:pPr>
            <w:r>
              <w:rPr>
                <w:rFonts w:ascii="Arial" w:cs="Arial" w:eastAsia="Arial" w:hAnsi="Arial"/>
                <w:sz w:val="18"/>
                <w:szCs w:val="18"/>
                <w:color w:val="auto"/>
                <w:w w:val="87"/>
              </w:rPr>
              <w:t>1.8</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0"/>
        </w:trPr>
        <w:tc>
          <w:tcPr>
            <w:tcW w:w="5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17" w:lineRule="exact"/>
        <w:rPr>
          <w:sz w:val="20"/>
          <w:szCs w:val="20"/>
          <w:color w:val="auto"/>
        </w:rPr>
      </w:pPr>
    </w:p>
    <w:p>
      <w:pPr>
        <w:ind w:left="180" w:right="380" w:hanging="154"/>
        <w:spacing w:after="0" w:line="218" w:lineRule="auto"/>
        <w:tabs>
          <w:tab w:leader="none" w:pos="199" w:val="left"/>
        </w:tabs>
        <w:numPr>
          <w:ilvl w:val="0"/>
          <w:numId w:val="17"/>
        </w:numPr>
        <w:rPr>
          <w:rFonts w:ascii="Arial" w:cs="Arial" w:eastAsia="Arial" w:hAnsi="Arial"/>
          <w:sz w:val="21"/>
          <w:szCs w:val="21"/>
          <w:color w:val="auto"/>
          <w:vertAlign w:val="superscript"/>
        </w:rPr>
      </w:pPr>
      <w:r>
        <w:rPr>
          <w:rFonts w:ascii="Arial" w:cs="Arial" w:eastAsia="Arial" w:hAnsi="Arial"/>
          <w:sz w:val="15"/>
          <w:szCs w:val="15"/>
          <w:color w:val="auto"/>
        </w:rPr>
        <w:t>In 2019, we received all required government approvals to terminate the Pentair Salaried Plan (the “Salaried Plan”) and entered into an agreement with an insurance company to purchase from us, through an annuity contract, our remaining obligations under the Salaried Plan. For the nine months ended September 30, 2019, we contributed $11.1 million to the Salaried Plan as part of the process to settle our obligations. As a result of these actions, a non-cash pre-tax settlement gain of $11.8 million was recorded for the nine months ended September 30, 2019.</w:t>
      </w:r>
    </w:p>
    <w:p>
      <w:pPr>
        <w:spacing w:after="0" w:line="15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Components of net periodic benefit expense (income) for our other post-retirement plans for the three and nine months ended September 30, 2020 and 2019 were not material.</w:t>
      </w:r>
    </w:p>
    <w:p>
      <w:pPr>
        <w:spacing w:after="0" w:line="126" w:lineRule="exact"/>
        <w:rPr>
          <w:sz w:val="20"/>
          <w:szCs w:val="20"/>
          <w:color w:val="auto"/>
        </w:rPr>
      </w:pPr>
    </w:p>
    <w:p>
      <w:pPr>
        <w:ind w:right="8960" w:firstLine="8"/>
        <w:spacing w:after="0" w:line="261" w:lineRule="auto"/>
        <w:tabs>
          <w:tab w:leader="none" w:pos="643"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Shareholders’ Equity </w:t>
      </w:r>
      <w:r>
        <w:rPr>
          <w:rFonts w:ascii="Arial" w:cs="Arial" w:eastAsia="Arial" w:hAnsi="Arial"/>
          <w:sz w:val="18"/>
          <w:szCs w:val="18"/>
          <w:b w:val="1"/>
          <w:bCs w:val="1"/>
          <w:i w:val="1"/>
          <w:iCs w:val="1"/>
          <w:color w:val="auto"/>
        </w:rPr>
        <w:t>Share repurchases</w:t>
      </w:r>
    </w:p>
    <w:p>
      <w:pPr>
        <w:ind w:right="2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May 2018, the Board of Directors authorized the repurchase of our ordinary shares up to a maximum dollar limit of $750.0 million. The authorization expires on May 31, 2021. During the nine months ended September 30, 2020, we repurchased 3.0 million of our shares for $115.2 million. As of September 30, 2020, we had $134.7 million available for share repurchases under this authorization.</w:t>
      </w:r>
    </w:p>
    <w:p>
      <w:pPr>
        <w:spacing w:after="0" w:line="217" w:lineRule="exact"/>
        <w:rPr>
          <w:sz w:val="20"/>
          <w:szCs w:val="20"/>
          <w:color w:val="auto"/>
        </w:rPr>
      </w:pPr>
    </w:p>
    <w:p>
      <w:pPr>
        <w:jc w:val="both"/>
        <w:ind w:right="120"/>
        <w:spacing w:after="0" w:line="294" w:lineRule="auto"/>
        <w:rPr>
          <w:sz w:val="20"/>
          <w:szCs w:val="20"/>
          <w:color w:val="auto"/>
        </w:rPr>
      </w:pPr>
      <w:r>
        <w:rPr>
          <w:rFonts w:ascii="Arial" w:cs="Arial" w:eastAsia="Arial" w:hAnsi="Arial"/>
          <w:sz w:val="16"/>
          <w:szCs w:val="16"/>
          <w:color w:val="auto"/>
        </w:rPr>
        <w:t>In March 2020, to enhance our liquidity position in response to the COVID-19 pandemic, we elected to temporarily suspend share repurchases under our existing share repurchase program. The temporary suspension of share repurchases has been lifted. The existing program remains authorized by the Board of Directors, and we may resume share repurchases in the future at any time, depending upon market conditions, our capital needs and other factors.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payable</w:t>
      </w:r>
    </w:p>
    <w:p>
      <w:pPr>
        <w:spacing w:after="0" w:line="2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 xml:space="preserve">On September 22, 2020, the Board of Directors declared a quarterly cash dividend of $0.19, payable on November 6, 2020 to shareholders of record at the close of business on October 23, 2020. As a result, the balance of dividends payable included in </w:t>
      </w:r>
      <w:r>
        <w:rPr>
          <w:rFonts w:ascii="Arial" w:cs="Arial" w:eastAsia="Arial" w:hAnsi="Arial"/>
          <w:sz w:val="16"/>
          <w:szCs w:val="16"/>
          <w:i w:val="1"/>
          <w:iCs w:val="1"/>
          <w:color w:val="auto"/>
        </w:rPr>
        <w:t>Other current liabilities</w:t>
      </w:r>
      <w:r>
        <w:rPr>
          <w:rFonts w:ascii="Arial" w:cs="Arial" w:eastAsia="Arial" w:hAnsi="Arial"/>
          <w:sz w:val="18"/>
          <w:szCs w:val="18"/>
          <w:color w:val="auto"/>
        </w:rPr>
        <w:t xml:space="preserve"> on our Condensed Consolidated Balance Sheets was $31.7 million at September 30, 2020, compared to $32.0 million at December 31, 2019.</w:t>
      </w:r>
    </w:p>
    <w:p>
      <w:pPr>
        <w:spacing w:after="0" w:line="159"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Effective January 1, 2020, we reorganized our business segments to better support our organization with our strategies and to better align with our customer base, resulting in a change to our reporting segments. All prior period amounts related to the segment change have been retrospectively reclassified to conform to the new presentation. As part of this reorganization, the legacy Aquatic Systems, Flow Technologies, and Filtration Solutions segments were realigned into two reportable business segments:</w:t>
      </w:r>
    </w:p>
    <w:p>
      <w:pPr>
        <w:spacing w:after="0" w:line="139" w:lineRule="exact"/>
        <w:rPr>
          <w:sz w:val="20"/>
          <w:szCs w:val="20"/>
          <w:color w:val="auto"/>
        </w:rPr>
      </w:pPr>
    </w:p>
    <w:p>
      <w:pPr>
        <w:ind w:left="660" w:right="40" w:hanging="328"/>
        <w:spacing w:after="0" w:line="271" w:lineRule="auto"/>
        <w:tabs>
          <w:tab w:leader="none" w:pos="655" w:val="left"/>
        </w:tabs>
        <w:numPr>
          <w:ilvl w:val="0"/>
          <w:numId w:val="2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Consumer Solutions </w:t>
      </w:r>
      <w:r>
        <w:rPr>
          <w:rFonts w:ascii="Arial" w:cs="Arial" w:eastAsia="Arial" w:hAnsi="Arial"/>
          <w:sz w:val="17"/>
          <w:szCs w:val="17"/>
          <w:color w:val="auto"/>
        </w:rPr>
        <w:t>— This segment designs, manufactures and sells energy-efficient residential and commercial pool equipment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accessories, and commercial and residential water treatment products and systems. Residential and commercial pool equipment and accessories include pumps, filters, heaters, lights, automatic controls, automatic cleaners, maintenance equipment and pool accessories. Water treatment products and systems include pressure tanks, control valves, activated carbon products, conventional filtration products, and point-of-entry and point-of-use systems. Applications for our pool business’s products include residential and commercial pool maintenance, repair, renovation, service and construction. Our water treatment products and systems are used in residential whole home water filtration, drinking water filtration and water softening solutions in addition to commercial total water management and filtration in foodservice operations. The primary focus of this segment is business-to-consumer.</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60" w:right="100" w:hanging="328"/>
        <w:spacing w:after="0" w:line="272" w:lineRule="auto"/>
        <w:tabs>
          <w:tab w:leader="none" w:pos="655" w:val="left"/>
        </w:tabs>
        <w:numPr>
          <w:ilvl w:val="0"/>
          <w:numId w:val="2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Industrial &amp; Flow Technologies </w:t>
      </w:r>
      <w:r>
        <w:rPr>
          <w:rFonts w:ascii="Arial" w:cs="Arial" w:eastAsia="Arial" w:hAnsi="Arial"/>
          <w:sz w:val="17"/>
          <w:szCs w:val="17"/>
          <w:color w:val="auto"/>
        </w:rPr>
        <w:t>— This segment manufactures and sells a variety of fluid treatment and pump products and systems, including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pressure vessels, gas recovery solutions, membrane bioreactors, wastewater reuse systems and advanced membrane filtration, separation systems, water disposal pumps, water supply pumps, fluid transfer pumps, turbine pumps, solid handling pumps, and agricultural spray nozzles, while serving the global residential, commercial and industrial markets. These products and systems are used in a range of applications, fluid delivery, ion exchange, desalination, food and beverage, separation technologies for the oil and gas industry, residential and municipal wells, water treatment, wastewater solids handling, pressure boosting, circulation and transfer, fire suppression, flood control, agricultural irrigation and crop spray. The primary focus of this segment is business-to-business.</w:t>
      </w:r>
    </w:p>
    <w:p>
      <w:pPr>
        <w:spacing w:after="0" w:line="123"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We evaluate performance based on net sales and segment income (loss) and use a variety of ratios to measure performance of our reporting segments. These results are not necessarily indicative of the results of operations that would have occurred had each segment been an independent, stand-alone entity during the periods presented. Segment income (loss) represents equity income of unconsolidated subsidiaries and operating income exclusive of intangible amortization, certain acquisition related expenses, costs of restructuring activities, impairments and other unusual non-operating items.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Financial information by reportable segment is as follows:</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32"/>
        </w:trPr>
        <w:tc>
          <w:tcPr>
            <w:tcW w:w="5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80" w:type="dxa"/>
            <w:vAlign w:val="bottom"/>
            <w:gridSpan w:val="4"/>
          </w:tcPr>
          <w:p>
            <w:pPr>
              <w:ind w:left="56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4"/>
                <w:szCs w:val="24"/>
                <w:color w:val="auto"/>
              </w:rPr>
            </w:pPr>
          </w:p>
        </w:tc>
        <w:tc>
          <w:tcPr>
            <w:tcW w:w="2860" w:type="dxa"/>
            <w:vAlign w:val="bottom"/>
            <w:gridSpan w:val="3"/>
          </w:tcPr>
          <w:p>
            <w:pPr>
              <w:jc w:val="right"/>
              <w:ind w:right="690"/>
              <w:spacing w:after="0"/>
              <w:rPr>
                <w:sz w:val="20"/>
                <w:szCs w:val="20"/>
                <w:color w:val="auto"/>
              </w:rPr>
            </w:pPr>
            <w:r>
              <w:rPr>
                <w:rFonts w:ascii="Arial" w:cs="Arial" w:eastAsia="Arial" w:hAnsi="Arial"/>
                <w:sz w:val="18"/>
                <w:szCs w:val="18"/>
                <w:b w:val="1"/>
                <w:bCs w:val="1"/>
                <w:color w:val="auto"/>
              </w:rPr>
              <w:t>Nine months ended</w:t>
            </w:r>
          </w:p>
        </w:tc>
      </w:tr>
      <w:tr>
        <w:trPr>
          <w:trHeight w:val="27"/>
        </w:trPr>
        <w:tc>
          <w:tcPr>
            <w:tcW w:w="50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8"/>
        </w:trPr>
        <w:tc>
          <w:tcPr>
            <w:tcW w:w="5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September 30,</w:t>
            </w:r>
          </w:p>
        </w:tc>
        <w:tc>
          <w:tcPr>
            <w:tcW w:w="18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18"/>
                <w:szCs w:val="18"/>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September 30,</w:t>
            </w:r>
          </w:p>
        </w:tc>
        <w:tc>
          <w:tcPr>
            <w:tcW w:w="160" w:type="dxa"/>
            <w:vAlign w:val="bottom"/>
          </w:tcPr>
          <w:p>
            <w:pPr>
              <w:spacing w:after="0"/>
              <w:rPr>
                <w:sz w:val="18"/>
                <w:szCs w:val="18"/>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September 30,</w:t>
            </w:r>
          </w:p>
        </w:tc>
      </w:tr>
      <w:tr>
        <w:trPr>
          <w:trHeight w:val="234"/>
        </w:trPr>
        <w:tc>
          <w:tcPr>
            <w:tcW w:w="5080" w:type="dxa"/>
            <w:vAlign w:val="bottom"/>
          </w:tcPr>
          <w:p>
            <w:pPr>
              <w:ind w:left="20"/>
              <w:spacing w:after="0"/>
              <w:rPr>
                <w:sz w:val="20"/>
                <w:szCs w:val="20"/>
                <w:color w:val="auto"/>
              </w:rPr>
            </w:pPr>
            <w:r>
              <w:rPr>
                <w:rFonts w:ascii="Arial" w:cs="Arial" w:eastAsia="Arial" w:hAnsi="Arial"/>
                <w:sz w:val="18"/>
                <w:szCs w:val="18"/>
                <w:i w:val="1"/>
                <w:iCs w:val="1"/>
                <w:color w:val="auto"/>
              </w:rPr>
              <w:t>In millions</w:t>
            </w:r>
          </w:p>
        </w:tc>
        <w:tc>
          <w:tcPr>
            <w:tcW w:w="16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r>
      <w:tr>
        <w:trPr>
          <w:trHeight w:val="27"/>
        </w:trPr>
        <w:tc>
          <w:tcPr>
            <w:tcW w:w="5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auto"/>
              </w:rPr>
              <w:t>Consumer Solutions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470.8</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377.0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1,260.8</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1,172.3</w:t>
            </w:r>
          </w:p>
        </w:tc>
      </w:tr>
      <w:tr>
        <w:trPr>
          <w:trHeight w:val="27"/>
        </w:trPr>
        <w:tc>
          <w:tcPr>
            <w:tcW w:w="5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Industrial &amp; Flow Technologies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327.4</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960.1</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1,028.6</w:t>
            </w: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0.9</w:t>
            </w: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5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89"/>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798.5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713.6</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2,221.8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2,202.0</w:t>
            </w:r>
          </w:p>
        </w:tc>
      </w:tr>
      <w:tr>
        <w:trPr>
          <w:trHeight w:val="20"/>
        </w:trPr>
        <w:tc>
          <w:tcPr>
            <w:tcW w:w="5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5080" w:type="dxa"/>
            <w:vAlign w:val="bottom"/>
          </w:tcPr>
          <w:p>
            <w:pPr>
              <w:ind w:left="20"/>
              <w:spacing w:after="0"/>
              <w:rPr>
                <w:sz w:val="20"/>
                <w:szCs w:val="20"/>
                <w:color w:val="auto"/>
              </w:rPr>
            </w:pPr>
            <w:r>
              <w:rPr>
                <w:rFonts w:ascii="Arial" w:cs="Arial" w:eastAsia="Arial" w:hAnsi="Arial"/>
                <w:sz w:val="18"/>
                <w:szCs w:val="18"/>
                <w:b w:val="1"/>
                <w:bCs w:val="1"/>
                <w:color w:val="auto"/>
              </w:rPr>
              <w:t>Segment income (loss)</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7"/>
        </w:trPr>
        <w:tc>
          <w:tcPr>
            <w:tcW w:w="5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Consumer Solutions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266.1</w:t>
            </w: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auto"/>
              </w:rPr>
              <w:t>Industrial &amp; Flow Technologies</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42.7</w:t>
            </w: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55.9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131.5</w:t>
            </w: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156.6</w:t>
            </w:r>
          </w:p>
        </w:tc>
      </w:tr>
      <w:tr>
        <w:trPr>
          <w:trHeight w:val="27"/>
        </w:trPr>
        <w:tc>
          <w:tcPr>
            <w:tcW w:w="5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5"/>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w:t>
            </w:r>
          </w:p>
        </w:tc>
      </w:tr>
      <w:tr>
        <w:trPr>
          <w:trHeight w:val="237"/>
        </w:trPr>
        <w:tc>
          <w:tcPr>
            <w:tcW w:w="50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Consolidated</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140.5</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122.8</w:t>
            </w: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376.7</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375.6</w:t>
            </w:r>
          </w:p>
        </w:tc>
      </w:tr>
      <w:tr>
        <w:trPr>
          <w:trHeight w:val="27"/>
        </w:trPr>
        <w:tc>
          <w:tcPr>
            <w:tcW w:w="5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5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a reconciliation of consolidated segment income to consolidated income from continuing operations before income taxes: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80" w:type="dxa"/>
            <w:vAlign w:val="bottom"/>
            <w:gridSpan w:val="4"/>
          </w:tcPr>
          <w:p>
            <w:pPr>
              <w:ind w:left="56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0"/>
                <w:szCs w:val="20"/>
                <w:color w:val="auto"/>
              </w:rPr>
            </w:pPr>
          </w:p>
        </w:tc>
        <w:tc>
          <w:tcPr>
            <w:tcW w:w="2860" w:type="dxa"/>
            <w:vAlign w:val="bottom"/>
            <w:gridSpan w:val="3"/>
          </w:tcPr>
          <w:p>
            <w:pPr>
              <w:jc w:val="right"/>
              <w:ind w:right="690"/>
              <w:spacing w:after="0"/>
              <w:rPr>
                <w:sz w:val="20"/>
                <w:szCs w:val="20"/>
                <w:color w:val="auto"/>
              </w:rPr>
            </w:pPr>
            <w:r>
              <w:rPr>
                <w:rFonts w:ascii="Arial" w:cs="Arial" w:eastAsia="Arial" w:hAnsi="Arial"/>
                <w:sz w:val="18"/>
                <w:szCs w:val="18"/>
                <w:b w:val="1"/>
                <w:bCs w:val="1"/>
                <w:color w:val="auto"/>
              </w:rPr>
              <w:t>Nine months ended</w:t>
            </w:r>
          </w:p>
        </w:tc>
      </w:tr>
      <w:tr>
        <w:trPr>
          <w:trHeight w:val="27"/>
        </w:trPr>
        <w:tc>
          <w:tcPr>
            <w:tcW w:w="50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8"/>
        </w:trPr>
        <w:tc>
          <w:tcPr>
            <w:tcW w:w="5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September 30,</w:t>
            </w:r>
          </w:p>
        </w:tc>
        <w:tc>
          <w:tcPr>
            <w:tcW w:w="18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18"/>
                <w:szCs w:val="18"/>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September 30,</w:t>
            </w:r>
          </w:p>
        </w:tc>
        <w:tc>
          <w:tcPr>
            <w:tcW w:w="160" w:type="dxa"/>
            <w:vAlign w:val="bottom"/>
          </w:tcPr>
          <w:p>
            <w:pPr>
              <w:spacing w:after="0"/>
              <w:rPr>
                <w:sz w:val="18"/>
                <w:szCs w:val="18"/>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September 30,</w:t>
            </w:r>
          </w:p>
        </w:tc>
      </w:tr>
      <w:tr>
        <w:trPr>
          <w:trHeight w:val="234"/>
        </w:trPr>
        <w:tc>
          <w:tcPr>
            <w:tcW w:w="5080" w:type="dxa"/>
            <w:vAlign w:val="bottom"/>
          </w:tcPr>
          <w:p>
            <w:pPr>
              <w:ind w:left="20"/>
              <w:spacing w:after="0"/>
              <w:rPr>
                <w:sz w:val="20"/>
                <w:szCs w:val="20"/>
                <w:color w:val="auto"/>
              </w:rPr>
            </w:pPr>
            <w:r>
              <w:rPr>
                <w:rFonts w:ascii="Arial" w:cs="Arial" w:eastAsia="Arial" w:hAnsi="Arial"/>
                <w:sz w:val="18"/>
                <w:szCs w:val="18"/>
                <w:i w:val="1"/>
                <w:iCs w:val="1"/>
                <w:color w:val="auto"/>
              </w:rPr>
              <w:t>In millions</w:t>
            </w:r>
          </w:p>
        </w:tc>
        <w:tc>
          <w:tcPr>
            <w:tcW w:w="16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r>
      <w:tr>
        <w:trPr>
          <w:trHeight w:val="27"/>
        </w:trPr>
        <w:tc>
          <w:tcPr>
            <w:tcW w:w="5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375.6</w:t>
            </w: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auto"/>
              </w:rPr>
              <w:t>Deal-related costs and expenses</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
        </w:trPr>
        <w:tc>
          <w:tcPr>
            <w:tcW w:w="5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Inventory step-up</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auto"/>
              </w:rPr>
              <w:t>Restructuring and other</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(5.6)</w:t>
            </w: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7"/>
        </w:trPr>
        <w:tc>
          <w:tcPr>
            <w:tcW w:w="5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w:t>
            </w: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auto"/>
              </w:rPr>
              <w:t>Pension settlement (loss) gain</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7"/>
        </w:trPr>
        <w:tc>
          <w:tcPr>
            <w:tcW w:w="5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 impairment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auto"/>
              </w:rPr>
              <w:t>(Loss) gain on sale of businesses</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
        </w:trPr>
        <w:tc>
          <w:tcPr>
            <w:tcW w:w="5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COVID-19 related costs and expenses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auto"/>
              </w:rPr>
              <w:t>Net interest expense</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(5.4)</w:t>
            </w: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(20.0)</w:t>
            </w: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(23.6)</w:t>
            </w:r>
          </w:p>
        </w:tc>
      </w:tr>
      <w:tr>
        <w:trPr>
          <w:trHeight w:val="27"/>
        </w:trPr>
        <w:tc>
          <w:tcPr>
            <w:tcW w:w="5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5"/>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36"/>
        </w:trPr>
        <w:tc>
          <w:tcPr>
            <w:tcW w:w="50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Income from continuing operations before income taxes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125.2</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101.2</w:t>
            </w: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321.4</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301.6</w:t>
            </w:r>
          </w:p>
        </w:tc>
      </w:tr>
      <w:tr>
        <w:trPr>
          <w:trHeight w:val="27"/>
        </w:trPr>
        <w:tc>
          <w:tcPr>
            <w:tcW w:w="5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5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8040" w:firstLine="8"/>
        <w:spacing w:after="0" w:line="293" w:lineRule="auto"/>
        <w:tabs>
          <w:tab w:leader="none" w:pos="643" w:val="left"/>
        </w:tabs>
        <w:numPr>
          <w:ilvl w:val="0"/>
          <w:numId w:val="2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b w:val="1"/>
          <w:bCs w:val="1"/>
          <w:i w:val="1"/>
          <w:iCs w:val="1"/>
          <w:color w:val="auto"/>
        </w:rPr>
        <w:t>Warranties and guarantees</w:t>
      </w:r>
    </w:p>
    <w:p>
      <w:pPr>
        <w:spacing w:after="0" w:line="1" w:lineRule="exact"/>
        <w:rPr>
          <w:rFonts w:ascii="Arial" w:cs="Arial" w:eastAsia="Arial" w:hAnsi="Arial"/>
          <w:sz w:val="16"/>
          <w:szCs w:val="16"/>
          <w:b w:val="1"/>
          <w:bCs w:val="1"/>
          <w:color w:val="auto"/>
        </w:rPr>
      </w:pPr>
    </w:p>
    <w:p>
      <w:pPr>
        <w:spacing w:after="0" w:line="273" w:lineRule="auto"/>
        <w:rPr>
          <w:rFonts w:ascii="Arial" w:cs="Arial" w:eastAsia="Arial" w:hAnsi="Arial"/>
          <w:sz w:val="16"/>
          <w:szCs w:val="16"/>
          <w:b w:val="1"/>
          <w:bCs w:val="1"/>
          <w:color w:val="auto"/>
        </w:rPr>
      </w:pPr>
      <w:r>
        <w:rPr>
          <w:rFonts w:ascii="Arial" w:cs="Arial" w:eastAsia="Arial" w:hAnsi="Arial"/>
          <w:sz w:val="17"/>
          <w:szCs w:val="17"/>
          <w:color w:val="auto"/>
        </w:rPr>
        <w:t>In connection with our disposition of businesses, product lines and assets, we often provide representations, warranties and indemnities to cover purchasers for various potential liabilities relating to the sold businesses, product lines and assets, such as unknown damages or liabilities relating to the assets and pre-closing tax, product liability, warranty, environmental, or other obligations. The subject matter, amounts and duration of any such indemnification obligations vary for each type of liability indemnified and may vary widely from transaction to transaction.</w:t>
      </w:r>
    </w:p>
    <w:p>
      <w:pPr>
        <w:spacing w:after="0" w:line="20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Generally, the maximum obligations under such indemnifications are not explicitly stated and as a result, the overall amount of these obligations cannot be reasonably estimated due to their inchoate and unknown nature. Historically, we have not made significant payments for these indemnifications. We believe that if we were to incur a loss in any of these matters, the loss would not have a material adverse effect on our financial position, results of operations or cash flows.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We recognize, at the inception of a guarantee, a liability for the fair value of the obligation undertaken in issuing the guarantee.</w:t>
      </w:r>
    </w:p>
    <w:p>
      <w:pPr>
        <w:spacing w:after="0" w:line="17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provide service and warranty policies on our products. Liability under service and warranty policies is based upon a review of historical warranty and service claim experience. Adjustments are made to accruals as claim data and historical experience warrant.</w:t>
      </w:r>
    </w:p>
    <w:p>
      <w:pPr>
        <w:spacing w:after="0" w:line="11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changes in the carrying amount of service and product warranties of continuing operations for the nine months ended September 30, 2020 were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6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44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September 30,</w:t>
            </w:r>
          </w:p>
        </w:tc>
      </w:tr>
      <w:tr>
        <w:trPr>
          <w:trHeight w:val="234"/>
        </w:trPr>
        <w:tc>
          <w:tcPr>
            <w:tcW w:w="6260" w:type="dxa"/>
            <w:vAlign w:val="bottom"/>
          </w:tcPr>
          <w:p>
            <w:pPr>
              <w:ind w:left="20"/>
              <w:spacing w:after="0"/>
              <w:rPr>
                <w:sz w:val="20"/>
                <w:szCs w:val="20"/>
                <w:color w:val="auto"/>
              </w:rPr>
            </w:pPr>
            <w:r>
              <w:rPr>
                <w:rFonts w:ascii="Arial" w:cs="Arial" w:eastAsia="Arial" w:hAnsi="Arial"/>
                <w:sz w:val="18"/>
                <w:szCs w:val="18"/>
                <w:i w:val="1"/>
                <w:iCs w:val="1"/>
                <w:color w:val="auto"/>
              </w:rPr>
              <w:t>In millions</w:t>
            </w:r>
          </w:p>
        </w:tc>
        <w:tc>
          <w:tcPr>
            <w:tcW w:w="3540" w:type="dxa"/>
            <w:vAlign w:val="bottom"/>
          </w:tcPr>
          <w:p>
            <w:pPr>
              <w:spacing w:after="0"/>
              <w:rPr>
                <w:sz w:val="20"/>
                <w:szCs w:val="20"/>
                <w:color w:val="auto"/>
              </w:rPr>
            </w:pPr>
          </w:p>
        </w:tc>
        <w:tc>
          <w:tcPr>
            <w:tcW w:w="1440" w:type="dxa"/>
            <w:vAlign w:val="bottom"/>
          </w:tcPr>
          <w:p>
            <w:pPr>
              <w:jc w:val="right"/>
              <w:ind w:right="530"/>
              <w:spacing w:after="0"/>
              <w:rPr>
                <w:sz w:val="20"/>
                <w:szCs w:val="20"/>
                <w:color w:val="auto"/>
              </w:rPr>
            </w:pPr>
            <w:r>
              <w:rPr>
                <w:rFonts w:ascii="Arial" w:cs="Arial" w:eastAsia="Arial" w:hAnsi="Arial"/>
                <w:sz w:val="18"/>
                <w:szCs w:val="18"/>
                <w:b w:val="1"/>
                <w:bCs w:val="1"/>
                <w:color w:val="auto"/>
              </w:rPr>
              <w:t>2020</w:t>
            </w:r>
          </w:p>
        </w:tc>
      </w:tr>
      <w:tr>
        <w:trPr>
          <w:trHeight w:val="27"/>
        </w:trPr>
        <w:tc>
          <w:tcPr>
            <w:tcW w:w="626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3"/>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3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w:t>
            </w:r>
          </w:p>
        </w:tc>
      </w:tr>
      <w:tr>
        <w:trPr>
          <w:trHeight w:val="243"/>
        </w:trPr>
        <w:tc>
          <w:tcPr>
            <w:tcW w:w="6260" w:type="dxa"/>
            <w:vAlign w:val="bottom"/>
          </w:tcPr>
          <w:p>
            <w:pPr>
              <w:ind w:left="20"/>
              <w:spacing w:after="0"/>
              <w:rPr>
                <w:sz w:val="20"/>
                <w:szCs w:val="20"/>
                <w:color w:val="auto"/>
              </w:rPr>
            </w:pPr>
            <w:r>
              <w:rPr>
                <w:rFonts w:ascii="Arial" w:cs="Arial" w:eastAsia="Arial" w:hAnsi="Arial"/>
                <w:sz w:val="18"/>
                <w:szCs w:val="18"/>
                <w:color w:val="auto"/>
              </w:rPr>
              <w:t>Service and product warranty provision</w:t>
            </w:r>
          </w:p>
        </w:tc>
        <w:tc>
          <w:tcPr>
            <w:tcW w:w="35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42.2</w:t>
            </w:r>
          </w:p>
        </w:tc>
      </w:tr>
      <w:tr>
        <w:trPr>
          <w:trHeight w:val="27"/>
        </w:trPr>
        <w:tc>
          <w:tcPr>
            <w:tcW w:w="626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35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w:t>
            </w:r>
          </w:p>
        </w:tc>
      </w:tr>
      <w:tr>
        <w:trPr>
          <w:trHeight w:val="243"/>
        </w:trPr>
        <w:tc>
          <w:tcPr>
            <w:tcW w:w="6260" w:type="dxa"/>
            <w:vAlign w:val="bottom"/>
          </w:tcPr>
          <w:p>
            <w:pPr>
              <w:ind w:left="20"/>
              <w:spacing w:after="0"/>
              <w:rPr>
                <w:sz w:val="20"/>
                <w:szCs w:val="20"/>
                <w:color w:val="auto"/>
              </w:rPr>
            </w:pPr>
            <w:r>
              <w:rPr>
                <w:rFonts w:ascii="Arial" w:cs="Arial" w:eastAsia="Arial" w:hAnsi="Arial"/>
                <w:sz w:val="18"/>
                <w:szCs w:val="18"/>
                <w:color w:val="auto"/>
              </w:rPr>
              <w:t>Foreign currency translation</w:t>
            </w:r>
          </w:p>
        </w:tc>
        <w:tc>
          <w:tcPr>
            <w:tcW w:w="35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626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88"/>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3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w:t>
            </w:r>
          </w:p>
        </w:tc>
      </w:tr>
      <w:tr>
        <w:trPr>
          <w:trHeight w:val="20"/>
        </w:trPr>
        <w:tc>
          <w:tcPr>
            <w:tcW w:w="6260" w:type="dxa"/>
            <w:vAlign w:val="bottom"/>
            <w:tcBorders>
              <w:top w:val="single" w:sz="8" w:color="auto"/>
              <w:bottom w:val="single" w:sz="8" w:color="auto"/>
            </w:tcBorders>
          </w:tcPr>
          <w:p>
            <w:pPr>
              <w:spacing w:after="0" w:line="20" w:lineRule="exact"/>
              <w:rPr>
                <w:sz w:val="1"/>
                <w:szCs w:val="1"/>
                <w:color w:val="auto"/>
              </w:rPr>
            </w:pPr>
          </w:p>
        </w:tc>
        <w:tc>
          <w:tcPr>
            <w:tcW w:w="35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Stand-by letters of credit, bank guarantees and bonds</w:t>
      </w:r>
    </w:p>
    <w:p>
      <w:pPr>
        <w:spacing w:after="0" w:line="2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certain situations, Tyco International Ltd., Pentair Ltd.’s former parent company (“Tyco”), guaranteed performance by the flow control business of Pentair Ltd. (“Flow Control”) to third parties or provided financial guarantees for financial commitments of Flow Control. In situations where Flow Control and Tyco were unable to obtain a release from these guarantees in connection with the spin-off of Flow Control from Tyco, we will indemnify Tyco for any losses it suffers as a result of such guarantees.</w:t>
      </w:r>
    </w:p>
    <w:p>
      <w:pPr>
        <w:spacing w:after="0" w:line="13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 the ordinary course of business, we are required to commit to bonds, letters of credit and bank guarantees that require payments to our customers for any non-performance. The outstanding face value of these instruments fluctuates with the value of our projects in process and in our backlog. In addition, we issue financial stand-by letters of credit primarily to secure our performance to third parties under self-insurance programs.</w:t>
      </w:r>
    </w:p>
    <w:p>
      <w:pPr>
        <w:spacing w:after="0" w:line="11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As of September 30, 2020 and December 31, 2019, the outstanding value of bonds, letters of credit and bank guarantees totaled $97.3 million and $91.3 million, respectively.</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100"/>
        <w:spacing w:after="0" w:line="355" w:lineRule="auto"/>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b w:val="1"/>
          <w:bCs w:val="1"/>
          <w:i w:val="1"/>
          <w:iCs w:val="1"/>
          <w:color w:val="auto"/>
        </w:rPr>
        <w:t>Forward-looking Statements</w:t>
      </w:r>
    </w:p>
    <w:p>
      <w:pPr>
        <w:spacing w:after="0" w:line="284" w:lineRule="auto"/>
        <w:rPr>
          <w:sz w:val="20"/>
          <w:szCs w:val="20"/>
          <w:color w:val="auto"/>
        </w:rPr>
      </w:pPr>
      <w:r>
        <w:rPr>
          <w:rFonts w:ascii="Arial" w:cs="Arial" w:eastAsia="Arial" w:hAnsi="Arial"/>
          <w:sz w:val="16"/>
          <w:szCs w:val="16"/>
          <w:color w:val="auto"/>
        </w:rPr>
        <w:t>This report contains statements that we believe to be “forward-looking statements” within the meaning of the Private Securities Litigation Reform Act of 1995. All statements, other than statements of historical fact are forward-looking statements. Without limitation, any statements preceded or followed by or that include the words “targets,” “plans,” “believes,” “expects,” “intends,” “will,” “likely,” “may,” “anticipates,” “estimates,” “projects,” “should,” “would,” “could,” “positioned,” “strategy,” “future” or words, phrases or terms of similar substance or the negative thereof, are forward-looking statements. These forward-looking statements are not guarantees of future performance and are subject to risks, uncertainties, assumptions and other factors, some of which are beyond our control, which could cause actual results to differ materially from those expressed or implied by such forward-looking statements. These factors include the overall impact of the COVID-19 pandemic on our business; the duration and severity of the COVID-19 pandemic; actions that may be taken by us, other businesses and governments to address or otherwise mitigate the impact of the COVID-19 pandemic, including those that may impact our ability to operate our facilities, meet production demands, and deliver products to our customers; the negative impacts of the COVID-19 pandemic on the global economy, our customers and suppliers, and customer demand; overall global economic and business conditions impacting our business, including the strength of housing and related markets; demand, competition and pricing pressures in the markets we serve; volatility in currency exchange rates; failure of markets to accept new product introductions and enhancements; the ability to successfully identify, finance, complete and integrate acquisitions; the ability to achieve the benefits of our restructuring plans and cost reduction initiatives; risks associated with operating foreign businesses; the impact of material cost and other inflation; the impact of seasonality of sales and weather conditions; our ability to comply with laws and regulations; the impact of changes in laws, regulations and administrative policy, including those that limit U.S. tax benefits or impact trade agreements and tariffs; the outcome of litigation and governmental proceedings; and the ability to achieve our long-term strategic operating goals. Additional information concerning these and other factors is contained in our filings with the U.S. Securities and Exchange Commission (the “SEC”), including this Form 10-Q and our Form 10-K for the year ended December 31, 2019. All forward-looking statements speak only as of the date of this report. Pentair assumes no obligation, and disclaims any obligation, to update the information contained in this report.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3"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The terms “us,” “we,” “our” or “Pentair” refer to Pentair plc and its consolidated subsidiaries. At Pentair, we believe the health of our world depends on reliable access to clean water. We deliver a comprehensive range of smart, sustainable water solutions to homes, business and industry around the world. Our industry leading and proven portfolio of solutions enables our customers to access clean, safe water, reduce water consumption, and recover and reuse it. Whether it’s improving, moving or helping people enjoy water, we help manage the world’s most precious resource. We are comprised of two reporting segments: Consumer Solutions and Industrial &amp; Flow Technologies. For the first nine months of 2020, the Consumer Solutions and Industrial &amp; Flow Technologies segments represented approximately 57% and 43% of total revenues, respectively. We classify our operations into business segments based primarily on types of products offered and markets served:</w:t>
      </w:r>
    </w:p>
    <w:p>
      <w:pPr>
        <w:spacing w:after="0" w:line="126" w:lineRule="exact"/>
        <w:rPr>
          <w:sz w:val="20"/>
          <w:szCs w:val="20"/>
          <w:color w:val="auto"/>
        </w:rPr>
      </w:pPr>
    </w:p>
    <w:p>
      <w:pPr>
        <w:ind w:left="660" w:right="40" w:hanging="328"/>
        <w:spacing w:after="0" w:line="271" w:lineRule="auto"/>
        <w:tabs>
          <w:tab w:leader="none" w:pos="655" w:val="left"/>
        </w:tabs>
        <w:numPr>
          <w:ilvl w:val="0"/>
          <w:numId w:val="2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Consumer Solutions </w:t>
      </w:r>
      <w:r>
        <w:rPr>
          <w:rFonts w:ascii="Arial" w:cs="Arial" w:eastAsia="Arial" w:hAnsi="Arial"/>
          <w:sz w:val="17"/>
          <w:szCs w:val="17"/>
          <w:color w:val="auto"/>
        </w:rPr>
        <w:t>— This segment designs, manufactures and sells energy-efficient residential and commercial pool equipment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accessories, and commercial and residential water treatment products and systems. Residential and commercial pool equipment and accessories include pumps, filters, heaters, lights, automatic controls, automatic cleaners, maintenance equipment and pool accessories. Water treatment products and systems include pressure tanks, control valves, activated carbon products, conventional filtration products, and point-of-entry and point-of-use systems. Applications for our pool business’s products include residential and commercial pool maintenance, repair, renovation, service and construction. Our water treatment products and systems are used in residential whole home water filtration, drinking water filtration and water softening solutions in addition to commercial total water management and filtration in foodservice operations. The primary focus of this segment is business-to-consumer.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660" w:right="100" w:hanging="328"/>
        <w:spacing w:after="0" w:line="272" w:lineRule="auto"/>
        <w:tabs>
          <w:tab w:leader="none" w:pos="655" w:val="left"/>
        </w:tabs>
        <w:numPr>
          <w:ilvl w:val="0"/>
          <w:numId w:val="2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Industrial &amp; Flow Technologies </w:t>
      </w:r>
      <w:r>
        <w:rPr>
          <w:rFonts w:ascii="Arial" w:cs="Arial" w:eastAsia="Arial" w:hAnsi="Arial"/>
          <w:sz w:val="17"/>
          <w:szCs w:val="17"/>
          <w:color w:val="auto"/>
        </w:rPr>
        <w:t>— This segment manufactures and sells a variety of fluid treatment and pump products and systems, including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pressure vessels, gas recovery solutions, membrane bioreactors, wastewater reuse systems and advanced membrane filtration, separation systems, water disposal pumps, water supply pumps, fluid transfer pumps, turbine pumps, solid handling pumps, and agricultural spray nozzles, while serving the global residential, commercial and industrial markets. These products and systems are used in a range of applications, fluid delivery, ion exchange, desalination, food and beverage, separation technologies for the oil and gas industry, residential and municipal wells, water treatment, wastewater solids handling, pressure boosting, circulation and transfer, fire suppression, flood control, agricultural irrigation and crop spray. The primary focus of this segment is business-to-business.</w:t>
      </w:r>
    </w:p>
    <w:p>
      <w:pPr>
        <w:spacing w:after="0" w:line="123"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In February 2019, as part of Consumer Solutions, we completed the acquisitions of Aquion, Inc. (“Aquion”) and Pelican Water Systems (“Pelican”) for $163.4 million and $121.1 million, respectively, in cash, net of cash acquired and final working capital true-ups. Aquion offers a diverse line of water conditioners, water filters, drinking-water purifiers, ozone and ultraviolet disinfection systems, reverse osmosis systems and acid neutralizers for the residential and commercial water treatment industry. Pelican provides residential whole home water treatment systems.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w:t>
      </w:r>
    </w:p>
    <w:p>
      <w:pPr>
        <w:spacing w:after="0" w:line="2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March 2020, the World Health Organization declared the COVID-19 outbreak a pandemic. The COVID-19 pandemic continues to spread throughout the United States (“U.S.”) and the world, with the continued potential for significant impact. The COVID-19 pandemic has resulted in governments around the world implementing increasingly stringent measures to help control the spread of the virus, including quarantines, “shelter-in-place” and “stay-at-home” orders, travel restrictions, business curtailments, limits on gatherings, and other measures. In addition, governments and central banks in several parts of the world have enacted fiscal and monetary stimulus measures to counteract the economic impacts of the COVID-19 pandemic. The effects of the COVID-19 pandemic have had and may continue to have an unfavorable impact on certain parts of our business.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 and safety</w:t>
      </w:r>
    </w:p>
    <w:p>
      <w:pPr>
        <w:spacing w:after="0" w:line="2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From the earliest signs of the outbreak, we have taken proactive action to protect the health and safety of our employees, customers, and suppliers. We have enacted rigorous safety measures in our sites, including implementing social distancing protocols, implementing working from home arrangements for those employees who do not need to be physically present on the manufacturing floor and do not provide manufacturing-support activities, suspending travel, extensively and frequently disinfecting our workspaces, conducting temperature monitoring at our facilities, and providing or accommodating the wearing of facial coverings to those employees who must be physically present in their workplace and where facial coverings are required by local government orders. We expect to continue to implement these measures until we determine that the COVID-19 pandemic is adequately contained for purposes of our business, and we may take further actions as government authorities require or recommend or as we determine to be in the best interests of our employees, customers, and suppliers. For the three and nine months ended September 30, 2020, we incurred $2.6 million and $8.3 million, respectively, of costs related to providing for the health and safety of our employees specific to the COVID-19 pandemic.</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Operations</w:t>
      </w:r>
    </w:p>
    <w:p>
      <w:pPr>
        <w:spacing w:after="0" w:line="23"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We have important manufacturing operations in the U.S. and around the world that have been affected by the COVID-19 pandemic, and we have taken certain actions to help curb its spread. Government-mandated measures providing for business curtailments or shutdowns generally exclude certain essential businesses and services, including businesses that manufacture and sell products that are considered essential to daily lives or otherwise operate in essential or critical sectors. While substantially all of our manufacturing facilities are considered essential and have remained operational, we have experienced intermittent partial or full factory closures at certain facilities as a result of these measures or the need to sanitize the facilities and address employee well-being. We also experienced brief interruptions in operations due to government-mandated shutdowns at our sites in India, Italy, and New Zealand during the first nine months of 2020. While sanitation-related closures or governmental shutdowns may occur again in the future, all of our manufacturing facilities currently remain operational.</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Supply</w:t>
      </w:r>
    </w:p>
    <w:p>
      <w:pPr>
        <w:spacing w:after="0" w:line="23"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The COVID-19 pandemic has impacted our factory productivity and supply chain. Certain of our suppliers, particularly in our pool and flow businesses, faced difficulties maintaining operations in light of manufacturing shutdowns and interruptions due to the COVID-19 pandemic, which negatively impacted our production and contributed to an increase in backlog. During the third quarter of 2020, we identified second source suppliers and increased supply for key items in our pool business to reduce the production and capacity challenges we encountered in the second quarter of 2020 as a result of supply chain issues and increased demand. These supply chain and capacity challenges have led to higher transportation and labor costs in order to</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timely deliver finished goods to our customers. Restrictions or disruptions of transportation, such as reduced availability of air transport, port closures and increased border controls or closures, have in certain cases resulted in higher costs and delays, both for obtaining raw materials and components and shipping finished goods to customers, which could harm our profitability, make our products less competitive, or cause our customers to seek alternative suppliers. Although we regularly monitor the financial health and operations of companies in our supply chain, and use alternative suppliers when necessary and available, financial hardship or government restrictions on our suppliers or sub-suppliers caused by the COVID-19 pandemic could cause a disruption in our ability to obtain raw materials or components required to manufacture our products and adversely affect our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Demand</w:t>
      </w:r>
    </w:p>
    <w:p>
      <w:pPr>
        <w:spacing w:after="0" w:line="23" w:lineRule="exact"/>
        <w:rPr>
          <w:sz w:val="20"/>
          <w:szCs w:val="20"/>
          <w:color w:val="auto"/>
        </w:rPr>
      </w:pPr>
    </w:p>
    <w:p>
      <w:pPr>
        <w:ind w:right="580"/>
        <w:spacing w:after="0" w:line="260" w:lineRule="auto"/>
        <w:rPr>
          <w:sz w:val="20"/>
          <w:szCs w:val="20"/>
          <w:color w:val="auto"/>
        </w:rPr>
      </w:pPr>
      <w:r>
        <w:rPr>
          <w:rFonts w:ascii="Arial" w:cs="Arial" w:eastAsia="Arial" w:hAnsi="Arial"/>
          <w:sz w:val="18"/>
          <w:szCs w:val="18"/>
          <w:color w:val="212529"/>
        </w:rPr>
        <w:t xml:space="preserve">The COVID-19 pandemic has significantly increased economic and demand uncertainty. </w:t>
      </w:r>
      <w:r>
        <w:rPr>
          <w:rFonts w:ascii="Arial" w:cs="Arial" w:eastAsia="Arial" w:hAnsi="Arial"/>
          <w:sz w:val="18"/>
          <w:szCs w:val="18"/>
          <w:color w:val="000000"/>
        </w:rPr>
        <w:t>We have experienced and expect to continue to experience</w:t>
      </w:r>
      <w:r>
        <w:rPr>
          <w:rFonts w:ascii="Arial" w:cs="Arial" w:eastAsia="Arial" w:hAnsi="Arial"/>
          <w:sz w:val="18"/>
          <w:szCs w:val="18"/>
          <w:color w:val="212529"/>
        </w:rPr>
        <w:t xml:space="preserve"> </w:t>
      </w:r>
      <w:r>
        <w:rPr>
          <w:rFonts w:ascii="Arial" w:cs="Arial" w:eastAsia="Arial" w:hAnsi="Arial"/>
          <w:sz w:val="18"/>
          <w:szCs w:val="18"/>
          <w:color w:val="000000"/>
        </w:rPr>
        <w:t>reductions in customer demand in several of our end-markets.</w:t>
      </w:r>
    </w:p>
    <w:p>
      <w:pPr>
        <w:spacing w:after="0" w:line="212" w:lineRule="exact"/>
        <w:rPr>
          <w:sz w:val="20"/>
          <w:szCs w:val="20"/>
          <w:color w:val="auto"/>
        </w:rPr>
      </w:pPr>
    </w:p>
    <w:p>
      <w:pPr>
        <w:spacing w:after="0" w:line="253" w:lineRule="auto"/>
        <w:rPr>
          <w:sz w:val="20"/>
          <w:szCs w:val="20"/>
          <w:color w:val="auto"/>
        </w:rPr>
      </w:pPr>
      <w:r>
        <w:rPr>
          <w:rFonts w:ascii="Arial" w:cs="Arial" w:eastAsia="Arial" w:hAnsi="Arial"/>
          <w:sz w:val="17"/>
          <w:szCs w:val="17"/>
          <w:color w:val="212529"/>
        </w:rPr>
        <w:t xml:space="preserve">Within our Consumer Solutions segment, while water quality has remained important to consumers, we have seen demand disruptions. Our Consumer Solutions segment delivered strong growth in the third quarter of 2020 led by strength in residential markets, particularly our pool business. Our pool business has experienced high demand as consumers sheltered-in-place and have spent more time at home. This contributed to an increase in backlog as we exited both the second and third quarters of 2020. </w:t>
      </w:r>
      <w:r>
        <w:rPr>
          <w:rFonts w:ascii="Arial" w:cs="Arial" w:eastAsia="Arial" w:hAnsi="Arial"/>
          <w:sz w:val="17"/>
          <w:szCs w:val="17"/>
          <w:color w:val="000000"/>
        </w:rPr>
        <w:t>While</w:t>
      </w:r>
      <w:r>
        <w:rPr>
          <w:rFonts w:ascii="Arial" w:cs="Arial" w:eastAsia="Arial" w:hAnsi="Arial"/>
          <w:sz w:val="17"/>
          <w:szCs w:val="17"/>
          <w:color w:val="212529"/>
        </w:rPr>
        <w:t xml:space="preserve"> shelter-in-place orders impacted our ability to reach our customers in our </w:t>
      </w:r>
      <w:r>
        <w:rPr>
          <w:rFonts w:ascii="Arial" w:cs="Arial" w:eastAsia="Arial" w:hAnsi="Arial"/>
          <w:sz w:val="17"/>
          <w:szCs w:val="17"/>
          <w:color w:val="000000"/>
        </w:rPr>
        <w:t>r</w:t>
      </w:r>
      <w:r>
        <w:rPr>
          <w:rFonts w:ascii="Arial" w:cs="Arial" w:eastAsia="Arial" w:hAnsi="Arial"/>
          <w:sz w:val="17"/>
          <w:szCs w:val="17"/>
          <w:color w:val="212529"/>
        </w:rPr>
        <w:t>esidential water treatment business at the beginning of the second quarter of 2020, we started to see stabilization in demand in this business towards the end of the second quarter and then saw demand rebound in the third quarter as consumers became more comfortable allowing dealers back into their homes to test their water and install new systems. Our commercial filtration business was significantly impacted by restaurant and hospitality industry closures or operations at limited capacity across North America and Europe in the second quarter and to a lesser extent in the third quarter. New or extended government-mandated shutdowns could impact demand for our Consumer Solutions products in the future.</w:t>
      </w:r>
    </w:p>
    <w:p>
      <w:pPr>
        <w:spacing w:after="0" w:line="21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Within our Industrial &amp; Flow Technologies segment, demand for our residential flow products was negatively impacted due to store closures as a result of state-wide orders in the U.S. Sell through improved throughout the second and third quarters of 2020 in our residential and irrigation flow businesses driven by pent up demand from the earlier closures. Demand continued to remain soft in our commercial and infrastructure flow business, but stabilized in the third quarter of 2020. While we continue to monitor our commercial and infrastructure flow order book closely, it appears too early to determine at what rate backlog will be replenished. In our industrial filtration business, demand is mostly driven by customer capital spending, which was reduced and/or delayed beginning in the second quarter of 2020 across most industries served. In addition, lower asset utilization drove down demand in industrial filtration aftermarket sales. While we are preparing for this business to remain under pressure in the fourth quarter of 2020, we expect long-term demand drivers for this business not to be significantly changed.</w:t>
      </w:r>
    </w:p>
    <w:p>
      <w:pPr>
        <w:spacing w:after="0" w:line="20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current COVID-19 pandemic or continued spread of COVID-19 has caused a global economic slowdown, and a possibility of a global recession. In the event of a recession, demand for our products would decline and our business and results of operations would be adversely affected.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mitigation actions</w:t>
      </w:r>
    </w:p>
    <w:p>
      <w:pPr>
        <w:spacing w:after="0" w:line="2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began to see softening of demand in certain businesses in April 2020. As a result, we have taken steps across our organization to align costs with lower sales volumes. These steps include renegotiations with suppliers to reduce input costs, driving manufacturing direct labor reductions in line with volume drop, temporary furloughs, and hiring freezes, and delaying, reducing or eliminating purchased services and travel. Additionally, we are proactively managing our working capital and reviewing our capital spending plan for 2020, but have not deferred strategic ongoing initiatives. We also continue to monitor government economic stabilization efforts and have participated in certain legislative provisions, such as deferring estimated tax payments and utilizing job retention subsidies.</w:t>
      </w:r>
    </w:p>
    <w:p>
      <w:pPr>
        <w:spacing w:after="0" w:line="22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We continue to monitor the rapidly evolving situation and guidance from international and domestic authorities, including federal, state and local public health authorities, and may take additional actions based on their requirements and recommendations. In these circumstances, there may be developments outside our control requiring us to adjust our operating plan. As such, given the dynamic nature of this situation, we cannot reasonably estimate the impacts of the COVID-19 pandemic on our financial condition, results of operations or cash flows in the future. In addition, see Part II—Item 1A, “Risk Factors,” included herein for updates to our risk factors regarding risks associated with the COVID-19 pandemic.</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Trends and Uncertainties Regarding Our Existing Business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trends and uncertainties affected our financial performance in the first nine months of 2020 and/or may impact our results in the future:</w:t>
      </w:r>
    </w:p>
    <w:p>
      <w:pPr>
        <w:spacing w:after="0" w:line="168" w:lineRule="exact"/>
        <w:rPr>
          <w:sz w:val="20"/>
          <w:szCs w:val="20"/>
          <w:color w:val="auto"/>
        </w:rPr>
      </w:pPr>
    </w:p>
    <w:p>
      <w:pPr>
        <w:ind w:left="660" w:hanging="328"/>
        <w:spacing w:after="0" w:line="273" w:lineRule="auto"/>
        <w:tabs>
          <w:tab w:leader="none" w:pos="655"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There are many uncertainties regarding the COVID-19 pandemic, including the anticipated duration and severity of the pandemic and the extent of worldwide social, political and economic disruption it may continue to cause. The broader implications of the COVID-19 pandemic on our business, financial condition, results of operations and cash flows cannot be determined at this time, and ultimately will be affected by a number of evolving factors including the length of time that the pandemic continues, its effect on the demand for our products and services, the supply chain, and our manufacturing capacity, as well as the impact of governmental regulations imposed in response to the pandemic. See further discussion above under “</w:t>
      </w:r>
      <w:r>
        <w:rPr>
          <w:rFonts w:ascii="Arial" w:cs="Arial" w:eastAsia="Arial" w:hAnsi="Arial"/>
          <w:sz w:val="17"/>
          <w:szCs w:val="17"/>
          <w:i w:val="1"/>
          <w:iCs w:val="1"/>
          <w:color w:val="auto"/>
        </w:rPr>
        <w:t>COVID-19 Pandemic”</w:t>
      </w:r>
      <w:r>
        <w:rPr>
          <w:rFonts w:ascii="Arial" w:cs="Arial" w:eastAsia="Arial" w:hAnsi="Arial"/>
          <w:sz w:val="17"/>
          <w:szCs w:val="17"/>
          <w:color w:val="auto"/>
        </w:rPr>
        <w:t xml:space="preserve"> for key trends and uncertainties with regard to the COVID-19 pandemic.</w:t>
      </w:r>
    </w:p>
    <w:p>
      <w:pPr>
        <w:spacing w:after="0" w:line="123" w:lineRule="exact"/>
        <w:rPr>
          <w:rFonts w:ascii="Arial" w:cs="Arial" w:eastAsia="Arial" w:hAnsi="Arial"/>
          <w:sz w:val="17"/>
          <w:szCs w:val="17"/>
          <w:color w:val="auto"/>
        </w:rPr>
      </w:pPr>
    </w:p>
    <w:p>
      <w:pPr>
        <w:ind w:left="660" w:right="100" w:hanging="328"/>
        <w:spacing w:after="0" w:line="308" w:lineRule="auto"/>
        <w:tabs>
          <w:tab w:leader="none" w:pos="655" w:val="left"/>
        </w:tabs>
        <w:numPr>
          <w:ilvl w:val="0"/>
          <w:numId w:val="25"/>
        </w:numPr>
        <w:rPr>
          <w:rFonts w:ascii="Arial" w:cs="Arial" w:eastAsia="Arial" w:hAnsi="Arial"/>
          <w:sz w:val="17"/>
          <w:szCs w:val="17"/>
          <w:color w:val="auto"/>
        </w:rPr>
      </w:pPr>
      <w:r>
        <w:rPr>
          <w:rFonts w:ascii="Arial" w:cs="Arial" w:eastAsia="Arial" w:hAnsi="Arial"/>
          <w:sz w:val="17"/>
          <w:szCs w:val="17"/>
          <w:color w:val="auto"/>
        </w:rPr>
        <w:t>During 2019 and the first nine months of 2020, we executed certain business restructuring initiatives unrelated to the COVID-19 pandemic aimed at reducing our fixed cost structure and realigning our business. We expect these actions will contribute to margin growth in 2021.</w:t>
      </w:r>
    </w:p>
    <w:p>
      <w:pPr>
        <w:spacing w:after="0" w:line="92" w:lineRule="exact"/>
        <w:rPr>
          <w:rFonts w:ascii="Arial" w:cs="Arial" w:eastAsia="Arial" w:hAnsi="Arial"/>
          <w:sz w:val="17"/>
          <w:szCs w:val="17"/>
          <w:color w:val="auto"/>
        </w:rPr>
      </w:pPr>
    </w:p>
    <w:p>
      <w:pPr>
        <w:ind w:left="660" w:right="260" w:hanging="328"/>
        <w:spacing w:after="0" w:line="311" w:lineRule="auto"/>
        <w:tabs>
          <w:tab w:leader="none" w:pos="655" w:val="left"/>
        </w:tabs>
        <w:numPr>
          <w:ilvl w:val="0"/>
          <w:numId w:val="25"/>
        </w:numPr>
        <w:rPr>
          <w:rFonts w:ascii="Arial" w:cs="Arial" w:eastAsia="Arial" w:hAnsi="Arial"/>
          <w:sz w:val="16"/>
          <w:szCs w:val="16"/>
          <w:color w:val="auto"/>
        </w:rPr>
      </w:pPr>
      <w:r>
        <w:rPr>
          <w:rFonts w:ascii="Arial" w:cs="Arial" w:eastAsia="Arial" w:hAnsi="Arial"/>
          <w:sz w:val="16"/>
          <w:szCs w:val="16"/>
          <w:color w:val="auto"/>
        </w:rPr>
        <w:t>We have identified specific product and geographic market opportunities that we find attractive and continue to pursue, both within and outside the U.S. We are reinforcing that our businesses more effectively address these opportunities through research and development and additional sales and marketing resources. Unless we successfully penetrate these markets, our core sales growth will likely be limited or may decline.</w:t>
      </w:r>
    </w:p>
    <w:p>
      <w:pPr>
        <w:spacing w:after="0" w:line="94" w:lineRule="exact"/>
        <w:rPr>
          <w:rFonts w:ascii="Arial" w:cs="Arial" w:eastAsia="Arial" w:hAnsi="Arial"/>
          <w:sz w:val="16"/>
          <w:szCs w:val="16"/>
          <w:color w:val="auto"/>
        </w:rPr>
      </w:pPr>
    </w:p>
    <w:p>
      <w:pPr>
        <w:jc w:val="both"/>
        <w:ind w:left="660" w:right="200" w:hanging="328"/>
        <w:spacing w:after="0" w:line="263"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have experienced material and other cost inflation. We strive for productivity improvements, and we implement increases in selling prices to help mitigate this inflation. We expect the current economic environment will result in continuing price volatility for many of our raw materials, and we are uncertain as to the timing and impact of these market changes.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In 2020, our operating objectives include the following:</w:t>
      </w:r>
    </w:p>
    <w:p>
      <w:pPr>
        <w:spacing w:after="0" w:line="171"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Managing our business through the COVID-19 pandemic, with a focus on:</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Protecting our employees, customers and our businesses;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Optimizing our free cash flow and liquidity;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Delivering the best financial results possible in the near-term while staying focused on longer-term strategies.</w:t>
      </w:r>
    </w:p>
    <w:p>
      <w:pPr>
        <w:spacing w:after="0" w:line="156"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Continued focus on accelerating Pentair Integrated Management System (“PIMS”);</w:t>
      </w:r>
    </w:p>
    <w:p>
      <w:pPr>
        <w:spacing w:after="0" w:line="171" w:lineRule="exact"/>
        <w:rPr>
          <w:rFonts w:ascii="Arial" w:cs="Arial" w:eastAsia="Arial" w:hAnsi="Arial"/>
          <w:sz w:val="18"/>
          <w:szCs w:val="18"/>
          <w:color w:val="auto"/>
        </w:rPr>
      </w:pPr>
    </w:p>
    <w:p>
      <w:pPr>
        <w:ind w:left="660" w:right="50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Delivering our growth priorities through new products and global and market expansion, specifically in the areas of pool and residential and commercial filtration solutions;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Optimizing our technological capabilities to increasingly generate innovative new products and advance digital transformation;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Building a high performance growth culture and delivering on our commitments while living our Win Right values.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consolidated results of operations for the three months ended September 30, 2020 and 2019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80" w:type="dxa"/>
            <w:vAlign w:val="bottom"/>
            <w:gridSpan w:val="3"/>
          </w:tcPr>
          <w:p>
            <w:pPr>
              <w:ind w:left="440"/>
              <w:spacing w:after="0"/>
              <w:rPr>
                <w:sz w:val="20"/>
                <w:szCs w:val="20"/>
                <w:color w:val="auto"/>
              </w:rPr>
            </w:pPr>
            <w:r>
              <w:rPr>
                <w:rFonts w:ascii="Arial" w:cs="Arial" w:eastAsia="Arial" w:hAnsi="Arial"/>
                <w:sz w:val="18"/>
                <w:szCs w:val="18"/>
                <w:b w:val="1"/>
                <w:bCs w:val="1"/>
                <w:color w:val="auto"/>
              </w:rPr>
              <w:t>Three months ended</w:t>
            </w: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7"/>
        </w:trPr>
        <w:tc>
          <w:tcPr>
            <w:tcW w:w="5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218"/>
        </w:trPr>
        <w:tc>
          <w:tcPr>
            <w:tcW w:w="5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w w:val="94"/>
              </w:rPr>
              <w:t>September 30,</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w w:val="92"/>
              </w:rPr>
              <w:t>September 30,</w:t>
            </w:r>
          </w:p>
        </w:tc>
        <w:tc>
          <w:tcPr>
            <w:tcW w:w="420" w:type="dxa"/>
            <w:vAlign w:val="bottom"/>
          </w:tcPr>
          <w:p>
            <w:pPr>
              <w:spacing w:after="0"/>
              <w:rPr>
                <w:sz w:val="18"/>
                <w:szCs w:val="18"/>
                <w:color w:val="auto"/>
              </w:rPr>
            </w:pPr>
          </w:p>
        </w:tc>
        <w:tc>
          <w:tcPr>
            <w:tcW w:w="1240" w:type="dxa"/>
            <w:vAlign w:val="bottom"/>
          </w:tcPr>
          <w:p>
            <w:pPr>
              <w:jc w:val="right"/>
              <w:ind w:right="71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70"/>
              <w:spacing w:after="0"/>
              <w:rPr>
                <w:sz w:val="20"/>
                <w:szCs w:val="20"/>
                <w:color w:val="auto"/>
              </w:rPr>
            </w:pPr>
            <w:r>
              <w:rPr>
                <w:rFonts w:ascii="Arial" w:cs="Arial" w:eastAsia="Arial" w:hAnsi="Arial"/>
                <w:sz w:val="18"/>
                <w:szCs w:val="18"/>
                <w:b w:val="1"/>
                <w:bCs w:val="1"/>
                <w:color w:val="auto"/>
              </w:rPr>
              <w:t>% / Point</w:t>
            </w:r>
          </w:p>
        </w:tc>
        <w:tc>
          <w:tcPr>
            <w:tcW w:w="260" w:type="dxa"/>
            <w:vAlign w:val="bottom"/>
          </w:tcPr>
          <w:p>
            <w:pPr>
              <w:spacing w:after="0"/>
              <w:rPr>
                <w:sz w:val="18"/>
                <w:szCs w:val="18"/>
                <w:color w:val="auto"/>
              </w:rPr>
            </w:pPr>
          </w:p>
        </w:tc>
      </w:tr>
      <w:tr>
        <w:trPr>
          <w:trHeight w:val="234"/>
        </w:trPr>
        <w:tc>
          <w:tcPr>
            <w:tcW w:w="5200" w:type="dxa"/>
            <w:vAlign w:val="bottom"/>
          </w:tcPr>
          <w:p>
            <w:pPr>
              <w:ind w:left="20"/>
              <w:spacing w:after="0"/>
              <w:rPr>
                <w:sz w:val="20"/>
                <w:szCs w:val="20"/>
                <w:color w:val="auto"/>
              </w:rPr>
            </w:pPr>
            <w:r>
              <w:rPr>
                <w:rFonts w:ascii="Arial" w:cs="Arial" w:eastAsia="Arial" w:hAnsi="Arial"/>
                <w:sz w:val="18"/>
                <w:szCs w:val="18"/>
                <w:i w:val="1"/>
                <w:iCs w:val="1"/>
                <w:color w:val="auto"/>
              </w:rPr>
              <w:t>In millions</w:t>
            </w:r>
          </w:p>
        </w:tc>
        <w:tc>
          <w:tcPr>
            <w:tcW w:w="180" w:type="dxa"/>
            <w:vAlign w:val="bottom"/>
          </w:tcPr>
          <w:p>
            <w:pPr>
              <w:spacing w:after="0"/>
              <w:rPr>
                <w:sz w:val="20"/>
                <w:szCs w:val="20"/>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360" w:type="dxa"/>
            <w:vAlign w:val="bottom"/>
          </w:tcPr>
          <w:p>
            <w:pPr>
              <w:spacing w:after="0"/>
              <w:rPr>
                <w:sz w:val="20"/>
                <w:szCs w:val="20"/>
                <w:color w:val="auto"/>
              </w:rPr>
            </w:pPr>
          </w:p>
        </w:tc>
        <w:tc>
          <w:tcPr>
            <w:tcW w:w="1220" w:type="dxa"/>
            <w:vAlign w:val="bottom"/>
          </w:tcPr>
          <w:p>
            <w:pPr>
              <w:ind w:left="440"/>
              <w:spacing w:after="0"/>
              <w:rPr>
                <w:sz w:val="20"/>
                <w:szCs w:val="20"/>
                <w:color w:val="auto"/>
              </w:rPr>
            </w:pPr>
            <w:r>
              <w:rPr>
                <w:rFonts w:ascii="Arial" w:cs="Arial" w:eastAsia="Arial" w:hAnsi="Arial"/>
                <w:sz w:val="18"/>
                <w:szCs w:val="18"/>
                <w:b w:val="1"/>
                <w:bCs w:val="1"/>
                <w:color w:val="auto"/>
              </w:rPr>
              <w:t>2019</w:t>
            </w:r>
          </w:p>
        </w:tc>
        <w:tc>
          <w:tcPr>
            <w:tcW w:w="420" w:type="dxa"/>
            <w:vAlign w:val="bottom"/>
          </w:tcPr>
          <w:p>
            <w:pPr>
              <w:spacing w:after="0"/>
              <w:rPr>
                <w:sz w:val="20"/>
                <w:szCs w:val="20"/>
                <w:color w:val="auto"/>
              </w:rPr>
            </w:pPr>
          </w:p>
        </w:tc>
        <w:tc>
          <w:tcPr>
            <w:tcW w:w="1240" w:type="dxa"/>
            <w:vAlign w:val="bottom"/>
          </w:tcPr>
          <w:p>
            <w:pPr>
              <w:jc w:val="right"/>
              <w:ind w:right="430"/>
              <w:spacing w:after="0"/>
              <w:rPr>
                <w:sz w:val="20"/>
                <w:szCs w:val="20"/>
                <w:color w:val="auto"/>
              </w:rPr>
            </w:pPr>
            <w:r>
              <w:rPr>
                <w:rFonts w:ascii="Arial" w:cs="Arial" w:eastAsia="Arial" w:hAnsi="Arial"/>
                <w:sz w:val="18"/>
                <w:szCs w:val="18"/>
                <w:b w:val="1"/>
                <w:bCs w:val="1"/>
                <w:color w:val="auto"/>
              </w:rPr>
              <w:t>Change</w:t>
            </w:r>
          </w:p>
        </w:tc>
        <w:tc>
          <w:tcPr>
            <w:tcW w:w="1100" w:type="dxa"/>
            <w:vAlign w:val="bottom"/>
          </w:tcPr>
          <w:p>
            <w:pPr>
              <w:jc w:val="right"/>
              <w:ind w:right="130"/>
              <w:spacing w:after="0"/>
              <w:rPr>
                <w:sz w:val="20"/>
                <w:szCs w:val="20"/>
                <w:color w:val="auto"/>
              </w:rPr>
            </w:pPr>
            <w:r>
              <w:rPr>
                <w:rFonts w:ascii="Arial" w:cs="Arial" w:eastAsia="Arial" w:hAnsi="Arial"/>
                <w:sz w:val="18"/>
                <w:szCs w:val="18"/>
                <w:b w:val="1"/>
                <w:bCs w:val="1"/>
                <w:color w:val="auto"/>
              </w:rPr>
              <w:t>Change</w:t>
            </w:r>
          </w:p>
        </w:tc>
        <w:tc>
          <w:tcPr>
            <w:tcW w:w="260" w:type="dxa"/>
            <w:vAlign w:val="bottom"/>
          </w:tcPr>
          <w:p>
            <w:pPr>
              <w:spacing w:after="0"/>
              <w:rPr>
                <w:sz w:val="20"/>
                <w:szCs w:val="20"/>
                <w:color w:val="auto"/>
              </w:rPr>
            </w:pPr>
          </w:p>
        </w:tc>
      </w:tr>
      <w:tr>
        <w:trPr>
          <w:trHeight w:val="27"/>
        </w:trPr>
        <w:tc>
          <w:tcPr>
            <w:tcW w:w="5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243"/>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798.5</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713.6</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84.9</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521.1</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458.6</w:t>
            </w:r>
          </w:p>
        </w:tc>
        <w:tc>
          <w:tcPr>
            <w:tcW w:w="420" w:type="dxa"/>
            <w:vAlign w:val="bottom"/>
          </w:tcPr>
          <w:p>
            <w:pPr>
              <w:spacing w:after="0"/>
              <w:rPr>
                <w:sz w:val="21"/>
                <w:szCs w:val="21"/>
                <w:color w:val="auto"/>
              </w:rPr>
            </w:pP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62.5</w:t>
            </w:r>
          </w:p>
        </w:tc>
        <w:tc>
          <w:tcPr>
            <w:tcW w:w="1100" w:type="dxa"/>
            <w:vAlign w:val="bottom"/>
          </w:tcPr>
          <w:p>
            <w:pPr>
              <w:jc w:val="right"/>
              <w:spacing w:after="0"/>
              <w:rPr>
                <w:sz w:val="20"/>
                <w:szCs w:val="20"/>
                <w:color w:val="auto"/>
              </w:rPr>
            </w:pPr>
            <w:r>
              <w:rPr>
                <w:rFonts w:ascii="Arial" w:cs="Arial" w:eastAsia="Arial" w:hAnsi="Arial"/>
                <w:sz w:val="18"/>
                <w:szCs w:val="18"/>
                <w:color w:val="auto"/>
              </w:rPr>
              <w:t>13.6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243"/>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277.4</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255.0</w:t>
            </w:r>
          </w:p>
        </w:tc>
        <w:tc>
          <w:tcPr>
            <w:tcW w:w="4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22.4</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200" w:type="dxa"/>
            <w:vAlign w:val="bottom"/>
          </w:tcPr>
          <w:p>
            <w:pPr>
              <w:ind w:left="300"/>
              <w:spacing w:after="0"/>
              <w:rPr>
                <w:sz w:val="20"/>
                <w:szCs w:val="20"/>
                <w:color w:val="auto"/>
              </w:rPr>
            </w:pPr>
            <w:r>
              <w:rPr>
                <w:rFonts w:ascii="Arial" w:cs="Arial" w:eastAsia="Arial" w:hAnsi="Arial"/>
                <w:sz w:val="18"/>
                <w:szCs w:val="18"/>
                <w:i w:val="1"/>
                <w:iCs w:val="1"/>
                <w:color w:val="auto"/>
              </w:rPr>
              <w:t>% of net sales</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34.7</w:t>
            </w:r>
          </w:p>
        </w:tc>
        <w:tc>
          <w:tcPr>
            <w:tcW w:w="360" w:type="dxa"/>
            <w:vAlign w:val="bottom"/>
          </w:tcPr>
          <w:p>
            <w:pPr>
              <w:jc w:val="right"/>
              <w:ind w:right="110"/>
              <w:spacing w:after="0"/>
              <w:rPr>
                <w:sz w:val="20"/>
                <w:szCs w:val="20"/>
                <w:color w:val="auto"/>
              </w:rPr>
            </w:pPr>
            <w:r>
              <w:rPr>
                <w:rFonts w:ascii="Arial" w:cs="Arial" w:eastAsia="Arial" w:hAnsi="Arial"/>
                <w:sz w:val="18"/>
                <w:szCs w:val="18"/>
                <w:i w:val="1"/>
                <w:iCs w:val="1"/>
                <w:color w:val="auto"/>
                <w:w w:val="87"/>
              </w:rPr>
              <w:t>%</w:t>
            </w:r>
          </w:p>
        </w:tc>
        <w:tc>
          <w:tcPr>
            <w:tcW w:w="1220" w:type="dxa"/>
            <w:vAlign w:val="bottom"/>
          </w:tcPr>
          <w:p>
            <w:pPr>
              <w:jc w:val="right"/>
              <w:spacing w:after="0"/>
              <w:rPr>
                <w:sz w:val="20"/>
                <w:szCs w:val="20"/>
                <w:color w:val="auto"/>
              </w:rPr>
            </w:pPr>
            <w:r>
              <w:rPr>
                <w:rFonts w:ascii="Arial" w:cs="Arial" w:eastAsia="Arial" w:hAnsi="Arial"/>
                <w:sz w:val="18"/>
                <w:szCs w:val="18"/>
                <w:i w:val="1"/>
                <w:iCs w:val="1"/>
                <w:color w:val="auto"/>
              </w:rPr>
              <w:t>35.7</w:t>
            </w:r>
          </w:p>
        </w:tc>
        <w:tc>
          <w:tcPr>
            <w:tcW w:w="420" w:type="dxa"/>
            <w:vAlign w:val="bottom"/>
          </w:tcPr>
          <w:p>
            <w:pPr>
              <w:jc w:val="right"/>
              <w:ind w:right="150"/>
              <w:spacing w:after="0"/>
              <w:rPr>
                <w:sz w:val="20"/>
                <w:szCs w:val="20"/>
                <w:color w:val="auto"/>
              </w:rPr>
            </w:pPr>
            <w:r>
              <w:rPr>
                <w:rFonts w:ascii="Arial" w:cs="Arial" w:eastAsia="Arial" w:hAnsi="Arial"/>
                <w:sz w:val="18"/>
                <w:szCs w:val="18"/>
                <w:i w:val="1"/>
                <w:iCs w:val="1"/>
                <w:color w:val="auto"/>
                <w:w w:val="99"/>
              </w:rPr>
              <w:t>%</w:t>
            </w:r>
          </w:p>
        </w:tc>
        <w:tc>
          <w:tcPr>
            <w:tcW w:w="1240" w:type="dxa"/>
            <w:vAlign w:val="bottom"/>
          </w:tcPr>
          <w:p>
            <w:pPr>
              <w:spacing w:after="0"/>
              <w:rPr>
                <w:sz w:val="21"/>
                <w:szCs w:val="21"/>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i w:val="1"/>
                <w:iCs w:val="1"/>
                <w:color w:val="auto"/>
              </w:rPr>
              <w:t>(1.0) pts</w:t>
            </w:r>
          </w:p>
        </w:tc>
      </w:tr>
      <w:tr>
        <w:trPr>
          <w:trHeight w:val="27"/>
        </w:trPr>
        <w:tc>
          <w:tcPr>
            <w:tcW w:w="5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70"/>
        </w:trPr>
        <w:tc>
          <w:tcPr>
            <w:tcW w:w="52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130.0</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126.4</w:t>
            </w:r>
          </w:p>
        </w:tc>
        <w:tc>
          <w:tcPr>
            <w:tcW w:w="420" w:type="dxa"/>
            <w:vAlign w:val="bottom"/>
          </w:tcPr>
          <w:p>
            <w:pPr>
              <w:spacing w:after="0"/>
              <w:rPr>
                <w:sz w:val="21"/>
                <w:szCs w:val="21"/>
                <w:color w:val="auto"/>
              </w:rPr>
            </w:pP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3.6</w:t>
            </w:r>
          </w:p>
        </w:tc>
        <w:tc>
          <w:tcPr>
            <w:tcW w:w="1100" w:type="dxa"/>
            <w:vAlign w:val="bottom"/>
          </w:tcPr>
          <w:p>
            <w:pPr>
              <w:jc w:val="right"/>
              <w:spacing w:after="0"/>
              <w:rPr>
                <w:sz w:val="20"/>
                <w:szCs w:val="20"/>
                <w:color w:val="auto"/>
              </w:rPr>
            </w:pPr>
            <w:r>
              <w:rPr>
                <w:rFonts w:ascii="Arial" w:cs="Arial" w:eastAsia="Arial" w:hAnsi="Arial"/>
                <w:sz w:val="18"/>
                <w:szCs w:val="18"/>
                <w:color w:val="auto"/>
              </w:rPr>
              <w:t>2.8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i w:val="1"/>
                <w:iCs w:val="1"/>
                <w:color w:val="auto"/>
              </w:rPr>
              <w:t>% of net sales</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16.3</w:t>
            </w: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i w:val="1"/>
                <w:iCs w:val="1"/>
                <w:color w:val="auto"/>
                <w:w w:val="87"/>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17.7</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i w:val="1"/>
                <w:iCs w:val="1"/>
                <w:color w:val="auto"/>
                <w:w w:val="99"/>
              </w:rPr>
              <w:t>%</w:t>
            </w:r>
          </w:p>
        </w:tc>
        <w:tc>
          <w:tcPr>
            <w:tcW w:w="1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(1.4) pts</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19.3</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19.8</w:t>
            </w:r>
          </w:p>
        </w:tc>
        <w:tc>
          <w:tcPr>
            <w:tcW w:w="42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(0.5)</w:t>
            </w:r>
          </w:p>
        </w:tc>
        <w:tc>
          <w:tcPr>
            <w:tcW w:w="1100" w:type="dxa"/>
            <w:vAlign w:val="bottom"/>
          </w:tcPr>
          <w:p>
            <w:pPr>
              <w:jc w:val="right"/>
              <w:spacing w:after="0"/>
              <w:rPr>
                <w:sz w:val="20"/>
                <w:szCs w:val="20"/>
                <w:color w:val="auto"/>
              </w:rPr>
            </w:pPr>
            <w:r>
              <w:rPr>
                <w:rFonts w:ascii="Arial" w:cs="Arial" w:eastAsia="Arial" w:hAnsi="Arial"/>
                <w:sz w:val="18"/>
                <w:szCs w:val="18"/>
                <w:color w:val="auto"/>
              </w:rPr>
              <w:t>(2.5)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i w:val="1"/>
                <w:iCs w:val="1"/>
                <w:color w:val="auto"/>
              </w:rPr>
              <w:t>% of net sales</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2.4</w:t>
            </w: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i w:val="1"/>
                <w:iCs w:val="1"/>
                <w:color w:val="auto"/>
                <w:w w:val="87"/>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2.8</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i w:val="1"/>
                <w:iCs w:val="1"/>
                <w:color w:val="auto"/>
                <w:w w:val="99"/>
              </w:rPr>
              <w:t>%</w:t>
            </w:r>
          </w:p>
        </w:tc>
        <w:tc>
          <w:tcPr>
            <w:tcW w:w="1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(0.4) pts</w:t>
            </w:r>
          </w:p>
        </w:tc>
      </w:tr>
      <w:tr>
        <w:trPr>
          <w:trHeight w:val="270"/>
        </w:trPr>
        <w:tc>
          <w:tcPr>
            <w:tcW w:w="5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60" w:type="dxa"/>
            <w:vAlign w:val="bottom"/>
          </w:tcPr>
          <w:p>
            <w:pPr>
              <w:spacing w:after="0"/>
              <w:rPr>
                <w:sz w:val="23"/>
                <w:szCs w:val="23"/>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128.1</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4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19.3</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200" w:type="dxa"/>
            <w:vAlign w:val="bottom"/>
          </w:tcPr>
          <w:p>
            <w:pPr>
              <w:ind w:left="300"/>
              <w:spacing w:after="0"/>
              <w:rPr>
                <w:sz w:val="20"/>
                <w:szCs w:val="20"/>
                <w:color w:val="auto"/>
              </w:rPr>
            </w:pPr>
            <w:r>
              <w:rPr>
                <w:rFonts w:ascii="Arial" w:cs="Arial" w:eastAsia="Arial" w:hAnsi="Arial"/>
                <w:sz w:val="18"/>
                <w:szCs w:val="18"/>
                <w:i w:val="1"/>
                <w:iCs w:val="1"/>
                <w:color w:val="auto"/>
              </w:rPr>
              <w:t>% of net sales</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16.0</w:t>
            </w:r>
          </w:p>
        </w:tc>
        <w:tc>
          <w:tcPr>
            <w:tcW w:w="360" w:type="dxa"/>
            <w:vAlign w:val="bottom"/>
          </w:tcPr>
          <w:p>
            <w:pPr>
              <w:jc w:val="right"/>
              <w:ind w:right="110"/>
              <w:spacing w:after="0"/>
              <w:rPr>
                <w:sz w:val="20"/>
                <w:szCs w:val="20"/>
                <w:color w:val="auto"/>
              </w:rPr>
            </w:pPr>
            <w:r>
              <w:rPr>
                <w:rFonts w:ascii="Arial" w:cs="Arial" w:eastAsia="Arial" w:hAnsi="Arial"/>
                <w:sz w:val="18"/>
                <w:szCs w:val="18"/>
                <w:i w:val="1"/>
                <w:iCs w:val="1"/>
                <w:color w:val="auto"/>
                <w:w w:val="87"/>
              </w:rPr>
              <w:t>%</w:t>
            </w:r>
          </w:p>
        </w:tc>
        <w:tc>
          <w:tcPr>
            <w:tcW w:w="1220" w:type="dxa"/>
            <w:vAlign w:val="bottom"/>
          </w:tcPr>
          <w:p>
            <w:pPr>
              <w:jc w:val="right"/>
              <w:spacing w:after="0"/>
              <w:rPr>
                <w:sz w:val="20"/>
                <w:szCs w:val="20"/>
                <w:color w:val="auto"/>
              </w:rPr>
            </w:pPr>
            <w:r>
              <w:rPr>
                <w:rFonts w:ascii="Arial" w:cs="Arial" w:eastAsia="Arial" w:hAnsi="Arial"/>
                <w:sz w:val="18"/>
                <w:szCs w:val="18"/>
                <w:i w:val="1"/>
                <w:iCs w:val="1"/>
                <w:color w:val="auto"/>
              </w:rPr>
              <w:t>15.2</w:t>
            </w:r>
          </w:p>
        </w:tc>
        <w:tc>
          <w:tcPr>
            <w:tcW w:w="420" w:type="dxa"/>
            <w:vAlign w:val="bottom"/>
          </w:tcPr>
          <w:p>
            <w:pPr>
              <w:jc w:val="right"/>
              <w:ind w:right="150"/>
              <w:spacing w:after="0"/>
              <w:rPr>
                <w:sz w:val="20"/>
                <w:szCs w:val="20"/>
                <w:color w:val="auto"/>
              </w:rPr>
            </w:pPr>
            <w:r>
              <w:rPr>
                <w:rFonts w:ascii="Arial" w:cs="Arial" w:eastAsia="Arial" w:hAnsi="Arial"/>
                <w:sz w:val="18"/>
                <w:szCs w:val="18"/>
                <w:i w:val="1"/>
                <w:iCs w:val="1"/>
                <w:color w:val="auto"/>
                <w:w w:val="99"/>
              </w:rPr>
              <w:t>%</w:t>
            </w:r>
          </w:p>
        </w:tc>
        <w:tc>
          <w:tcPr>
            <w:tcW w:w="1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0.8</w:t>
            </w:r>
          </w:p>
        </w:tc>
        <w:tc>
          <w:tcPr>
            <w:tcW w:w="260" w:type="dxa"/>
            <w:vAlign w:val="bottom"/>
          </w:tcPr>
          <w:p>
            <w:pPr>
              <w:jc w:val="right"/>
              <w:spacing w:after="0"/>
              <w:rPr>
                <w:sz w:val="20"/>
                <w:szCs w:val="20"/>
                <w:color w:val="auto"/>
              </w:rPr>
            </w:pPr>
            <w:r>
              <w:rPr>
                <w:rFonts w:ascii="Arial" w:cs="Arial" w:eastAsia="Arial" w:hAnsi="Arial"/>
                <w:sz w:val="18"/>
                <w:szCs w:val="18"/>
                <w:i w:val="1"/>
                <w:iCs w:val="1"/>
                <w:color w:val="auto"/>
                <w:w w:val="91"/>
              </w:rPr>
              <w:t>pts</w:t>
            </w:r>
          </w:p>
        </w:tc>
      </w:tr>
      <w:tr>
        <w:trPr>
          <w:trHeight w:val="27"/>
        </w:trPr>
        <w:tc>
          <w:tcPr>
            <w:tcW w:w="5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r>
      <w:tr>
        <w:trPr>
          <w:trHeight w:val="162"/>
        </w:trPr>
        <w:tc>
          <w:tcPr>
            <w:tcW w:w="5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spacing w:after="0"/>
              <w:rPr>
                <w:sz w:val="14"/>
                <w:szCs w:val="14"/>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Loss on sale of businesses</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0.1</w:t>
            </w:r>
          </w:p>
        </w:tc>
        <w:tc>
          <w:tcPr>
            <w:tcW w:w="42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(0.1)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N.M.</w:t>
            </w:r>
          </w:p>
        </w:tc>
      </w:tr>
      <w:tr>
        <w:trPr>
          <w:trHeight w:val="27"/>
        </w:trPr>
        <w:tc>
          <w:tcPr>
            <w:tcW w:w="5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4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(3.1)</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Net interest expense</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5.4</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6.9</w:t>
            </w:r>
          </w:p>
        </w:tc>
        <w:tc>
          <w:tcPr>
            <w:tcW w:w="42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(1.5)</w:t>
            </w:r>
          </w:p>
        </w:tc>
        <w:tc>
          <w:tcPr>
            <w:tcW w:w="1100" w:type="dxa"/>
            <w:vAlign w:val="bottom"/>
          </w:tcPr>
          <w:p>
            <w:pPr>
              <w:jc w:val="right"/>
              <w:spacing w:after="0"/>
              <w:rPr>
                <w:sz w:val="20"/>
                <w:szCs w:val="20"/>
                <w:color w:val="auto"/>
              </w:rPr>
            </w:pPr>
            <w:r>
              <w:rPr>
                <w:rFonts w:ascii="Arial" w:cs="Arial" w:eastAsia="Arial" w:hAnsi="Arial"/>
                <w:sz w:val="18"/>
                <w:szCs w:val="18"/>
                <w:color w:val="auto"/>
              </w:rPr>
              <w:t>(21.7)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162"/>
        </w:trPr>
        <w:tc>
          <w:tcPr>
            <w:tcW w:w="5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Income from continuing operations before income taxes</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125.2</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101.2</w:t>
            </w:r>
          </w:p>
        </w:tc>
        <w:tc>
          <w:tcPr>
            <w:tcW w:w="420" w:type="dxa"/>
            <w:vAlign w:val="bottom"/>
          </w:tcPr>
          <w:p>
            <w:pPr>
              <w:spacing w:after="0"/>
              <w:rPr>
                <w:sz w:val="21"/>
                <w:szCs w:val="21"/>
                <w:color w:val="auto"/>
              </w:rPr>
            </w:pP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24.0</w:t>
            </w:r>
          </w:p>
        </w:tc>
        <w:tc>
          <w:tcPr>
            <w:tcW w:w="1100" w:type="dxa"/>
            <w:vAlign w:val="bottom"/>
          </w:tcPr>
          <w:p>
            <w:pPr>
              <w:jc w:val="right"/>
              <w:spacing w:after="0"/>
              <w:rPr>
                <w:sz w:val="20"/>
                <w:szCs w:val="20"/>
                <w:color w:val="auto"/>
              </w:rPr>
            </w:pPr>
            <w:r>
              <w:rPr>
                <w:rFonts w:ascii="Arial" w:cs="Arial" w:eastAsia="Arial" w:hAnsi="Arial"/>
                <w:sz w:val="18"/>
                <w:szCs w:val="18"/>
                <w:color w:val="auto"/>
              </w:rPr>
              <w:t>23.7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4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4.5</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200" w:type="dxa"/>
            <w:vAlign w:val="bottom"/>
          </w:tcPr>
          <w:p>
            <w:pPr>
              <w:ind w:left="300"/>
              <w:spacing w:after="0"/>
              <w:rPr>
                <w:sz w:val="20"/>
                <w:szCs w:val="20"/>
                <w:color w:val="auto"/>
              </w:rPr>
            </w:pPr>
            <w:r>
              <w:rPr>
                <w:rFonts w:ascii="Arial" w:cs="Arial" w:eastAsia="Arial" w:hAnsi="Arial"/>
                <w:sz w:val="18"/>
                <w:szCs w:val="18"/>
                <w:i w:val="1"/>
                <w:iCs w:val="1"/>
                <w:color w:val="auto"/>
              </w:rPr>
              <w:t>Effective tax rate</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11.5</w:t>
            </w:r>
          </w:p>
        </w:tc>
        <w:tc>
          <w:tcPr>
            <w:tcW w:w="360" w:type="dxa"/>
            <w:vAlign w:val="bottom"/>
          </w:tcPr>
          <w:p>
            <w:pPr>
              <w:jc w:val="right"/>
              <w:ind w:right="110"/>
              <w:spacing w:after="0"/>
              <w:rPr>
                <w:sz w:val="20"/>
                <w:szCs w:val="20"/>
                <w:color w:val="auto"/>
              </w:rPr>
            </w:pPr>
            <w:r>
              <w:rPr>
                <w:rFonts w:ascii="Arial" w:cs="Arial" w:eastAsia="Arial" w:hAnsi="Arial"/>
                <w:sz w:val="18"/>
                <w:szCs w:val="18"/>
                <w:i w:val="1"/>
                <w:iCs w:val="1"/>
                <w:color w:val="auto"/>
                <w:w w:val="87"/>
              </w:rPr>
              <w:t>%</w:t>
            </w:r>
          </w:p>
        </w:tc>
        <w:tc>
          <w:tcPr>
            <w:tcW w:w="1220" w:type="dxa"/>
            <w:vAlign w:val="bottom"/>
          </w:tcPr>
          <w:p>
            <w:pPr>
              <w:jc w:val="right"/>
              <w:spacing w:after="0"/>
              <w:rPr>
                <w:sz w:val="20"/>
                <w:szCs w:val="20"/>
                <w:color w:val="auto"/>
              </w:rPr>
            </w:pPr>
            <w:r>
              <w:rPr>
                <w:rFonts w:ascii="Arial" w:cs="Arial" w:eastAsia="Arial" w:hAnsi="Arial"/>
                <w:sz w:val="18"/>
                <w:szCs w:val="18"/>
                <w:i w:val="1"/>
                <w:iCs w:val="1"/>
                <w:color w:val="auto"/>
              </w:rPr>
              <w:t>9.8</w:t>
            </w:r>
          </w:p>
        </w:tc>
        <w:tc>
          <w:tcPr>
            <w:tcW w:w="420" w:type="dxa"/>
            <w:vAlign w:val="bottom"/>
          </w:tcPr>
          <w:p>
            <w:pPr>
              <w:jc w:val="right"/>
              <w:ind w:right="150"/>
              <w:spacing w:after="0"/>
              <w:rPr>
                <w:sz w:val="20"/>
                <w:szCs w:val="20"/>
                <w:color w:val="auto"/>
              </w:rPr>
            </w:pPr>
            <w:r>
              <w:rPr>
                <w:rFonts w:ascii="Arial" w:cs="Arial" w:eastAsia="Arial" w:hAnsi="Arial"/>
                <w:sz w:val="18"/>
                <w:szCs w:val="18"/>
                <w:i w:val="1"/>
                <w:iCs w:val="1"/>
                <w:color w:val="auto"/>
                <w:w w:val="99"/>
              </w:rPr>
              <w:t>%</w:t>
            </w:r>
          </w:p>
        </w:tc>
        <w:tc>
          <w:tcPr>
            <w:tcW w:w="1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1.7</w:t>
            </w:r>
          </w:p>
        </w:tc>
        <w:tc>
          <w:tcPr>
            <w:tcW w:w="260" w:type="dxa"/>
            <w:vAlign w:val="bottom"/>
          </w:tcPr>
          <w:p>
            <w:pPr>
              <w:jc w:val="right"/>
              <w:spacing w:after="0"/>
              <w:rPr>
                <w:sz w:val="20"/>
                <w:szCs w:val="20"/>
                <w:color w:val="auto"/>
              </w:rPr>
            </w:pPr>
            <w:r>
              <w:rPr>
                <w:rFonts w:ascii="Arial" w:cs="Arial" w:eastAsia="Arial" w:hAnsi="Arial"/>
                <w:sz w:val="18"/>
                <w:szCs w:val="18"/>
                <w:i w:val="1"/>
                <w:iCs w:val="1"/>
                <w:color w:val="auto"/>
                <w:w w:val="91"/>
              </w:rPr>
              <w:t>pts</w:t>
            </w: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N.M. Not Meaningful</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consolidated results of operations for the nine months ended September 30, 2020 and September 30, 2019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80" w:type="dxa"/>
            <w:vAlign w:val="bottom"/>
            <w:gridSpan w:val="3"/>
          </w:tcPr>
          <w:p>
            <w:pPr>
              <w:jc w:val="right"/>
              <w:ind w:right="810"/>
              <w:spacing w:after="0"/>
              <w:rPr>
                <w:sz w:val="20"/>
                <w:szCs w:val="20"/>
                <w:color w:val="auto"/>
              </w:rPr>
            </w:pPr>
            <w:r>
              <w:rPr>
                <w:rFonts w:ascii="Arial" w:cs="Arial" w:eastAsia="Arial" w:hAnsi="Arial"/>
                <w:sz w:val="18"/>
                <w:szCs w:val="18"/>
                <w:b w:val="1"/>
                <w:bCs w:val="1"/>
                <w:color w:val="auto"/>
              </w:rPr>
              <w:t>Nine months ended</w:t>
            </w: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7"/>
        </w:trPr>
        <w:tc>
          <w:tcPr>
            <w:tcW w:w="5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218"/>
        </w:trPr>
        <w:tc>
          <w:tcPr>
            <w:tcW w:w="5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w w:val="94"/>
              </w:rPr>
              <w:t>September 30,</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w w:val="94"/>
              </w:rPr>
              <w:t>September 30,</w:t>
            </w:r>
          </w:p>
        </w:tc>
        <w:tc>
          <w:tcPr>
            <w:tcW w:w="400" w:type="dxa"/>
            <w:vAlign w:val="bottom"/>
          </w:tcPr>
          <w:p>
            <w:pPr>
              <w:spacing w:after="0"/>
              <w:rPr>
                <w:sz w:val="18"/>
                <w:szCs w:val="18"/>
                <w:color w:val="auto"/>
              </w:rPr>
            </w:pPr>
          </w:p>
        </w:tc>
        <w:tc>
          <w:tcPr>
            <w:tcW w:w="1240" w:type="dxa"/>
            <w:vAlign w:val="bottom"/>
          </w:tcPr>
          <w:p>
            <w:pPr>
              <w:jc w:val="right"/>
              <w:ind w:right="71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70"/>
              <w:spacing w:after="0"/>
              <w:rPr>
                <w:sz w:val="20"/>
                <w:szCs w:val="20"/>
                <w:color w:val="auto"/>
              </w:rPr>
            </w:pPr>
            <w:r>
              <w:rPr>
                <w:rFonts w:ascii="Arial" w:cs="Arial" w:eastAsia="Arial" w:hAnsi="Arial"/>
                <w:sz w:val="18"/>
                <w:szCs w:val="18"/>
                <w:b w:val="1"/>
                <w:bCs w:val="1"/>
                <w:color w:val="auto"/>
              </w:rPr>
              <w:t>% / Point</w:t>
            </w:r>
          </w:p>
        </w:tc>
        <w:tc>
          <w:tcPr>
            <w:tcW w:w="260" w:type="dxa"/>
            <w:vAlign w:val="bottom"/>
          </w:tcPr>
          <w:p>
            <w:pPr>
              <w:spacing w:after="0"/>
              <w:rPr>
                <w:sz w:val="18"/>
                <w:szCs w:val="18"/>
                <w:color w:val="auto"/>
              </w:rPr>
            </w:pPr>
          </w:p>
        </w:tc>
      </w:tr>
      <w:tr>
        <w:trPr>
          <w:trHeight w:val="234"/>
        </w:trPr>
        <w:tc>
          <w:tcPr>
            <w:tcW w:w="5240" w:type="dxa"/>
            <w:vAlign w:val="bottom"/>
          </w:tcPr>
          <w:p>
            <w:pPr>
              <w:ind w:left="20"/>
              <w:spacing w:after="0"/>
              <w:rPr>
                <w:sz w:val="20"/>
                <w:szCs w:val="20"/>
                <w:color w:val="auto"/>
              </w:rPr>
            </w:pPr>
            <w:r>
              <w:rPr>
                <w:rFonts w:ascii="Arial" w:cs="Arial" w:eastAsia="Arial" w:hAnsi="Arial"/>
                <w:sz w:val="18"/>
                <w:szCs w:val="18"/>
                <w:i w:val="1"/>
                <w:iCs w:val="1"/>
                <w:color w:val="auto"/>
              </w:rPr>
              <w:t>In millions</w:t>
            </w:r>
          </w:p>
        </w:tc>
        <w:tc>
          <w:tcPr>
            <w:tcW w:w="160" w:type="dxa"/>
            <w:vAlign w:val="bottom"/>
          </w:tcPr>
          <w:p>
            <w:pPr>
              <w:spacing w:after="0"/>
              <w:rPr>
                <w:sz w:val="20"/>
                <w:szCs w:val="20"/>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340" w:type="dxa"/>
            <w:vAlign w:val="bottom"/>
          </w:tcPr>
          <w:p>
            <w:pPr>
              <w:spacing w:after="0"/>
              <w:rPr>
                <w:sz w:val="20"/>
                <w:szCs w:val="20"/>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400" w:type="dxa"/>
            <w:vAlign w:val="bottom"/>
          </w:tcPr>
          <w:p>
            <w:pPr>
              <w:spacing w:after="0"/>
              <w:rPr>
                <w:sz w:val="20"/>
                <w:szCs w:val="20"/>
                <w:color w:val="auto"/>
              </w:rPr>
            </w:pPr>
          </w:p>
        </w:tc>
        <w:tc>
          <w:tcPr>
            <w:tcW w:w="1240" w:type="dxa"/>
            <w:vAlign w:val="bottom"/>
          </w:tcPr>
          <w:p>
            <w:pPr>
              <w:jc w:val="right"/>
              <w:ind w:right="430"/>
              <w:spacing w:after="0"/>
              <w:rPr>
                <w:sz w:val="20"/>
                <w:szCs w:val="20"/>
                <w:color w:val="auto"/>
              </w:rPr>
            </w:pPr>
            <w:r>
              <w:rPr>
                <w:rFonts w:ascii="Arial" w:cs="Arial" w:eastAsia="Arial" w:hAnsi="Arial"/>
                <w:sz w:val="18"/>
                <w:szCs w:val="18"/>
                <w:b w:val="1"/>
                <w:bCs w:val="1"/>
                <w:color w:val="auto"/>
              </w:rPr>
              <w:t>Change</w:t>
            </w:r>
          </w:p>
        </w:tc>
        <w:tc>
          <w:tcPr>
            <w:tcW w:w="1100" w:type="dxa"/>
            <w:vAlign w:val="bottom"/>
          </w:tcPr>
          <w:p>
            <w:pPr>
              <w:jc w:val="right"/>
              <w:ind w:right="130"/>
              <w:spacing w:after="0"/>
              <w:rPr>
                <w:sz w:val="20"/>
                <w:szCs w:val="20"/>
                <w:color w:val="auto"/>
              </w:rPr>
            </w:pPr>
            <w:r>
              <w:rPr>
                <w:rFonts w:ascii="Arial" w:cs="Arial" w:eastAsia="Arial" w:hAnsi="Arial"/>
                <w:sz w:val="18"/>
                <w:szCs w:val="18"/>
                <w:b w:val="1"/>
                <w:bCs w:val="1"/>
                <w:color w:val="auto"/>
              </w:rPr>
              <w:t>Change</w:t>
            </w:r>
          </w:p>
        </w:tc>
        <w:tc>
          <w:tcPr>
            <w:tcW w:w="260" w:type="dxa"/>
            <w:vAlign w:val="bottom"/>
          </w:tcPr>
          <w:p>
            <w:pPr>
              <w:spacing w:after="0"/>
              <w:rPr>
                <w:sz w:val="20"/>
                <w:szCs w:val="20"/>
                <w:color w:val="auto"/>
              </w:rPr>
            </w:pPr>
          </w:p>
        </w:tc>
      </w:tr>
      <w:tr>
        <w:trPr>
          <w:trHeight w:val="27"/>
        </w:trPr>
        <w:tc>
          <w:tcPr>
            <w:tcW w:w="5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243"/>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2,221.8</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2,202.0</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19.8</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1,447.7</w:t>
            </w: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1,424.7</w:t>
            </w:r>
          </w:p>
        </w:tc>
        <w:tc>
          <w:tcPr>
            <w:tcW w:w="400" w:type="dxa"/>
            <w:vAlign w:val="bottom"/>
          </w:tcPr>
          <w:p>
            <w:pPr>
              <w:spacing w:after="0"/>
              <w:rPr>
                <w:sz w:val="21"/>
                <w:szCs w:val="21"/>
                <w:color w:val="auto"/>
              </w:rPr>
            </w:pP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23.0</w:t>
            </w:r>
          </w:p>
        </w:tc>
        <w:tc>
          <w:tcPr>
            <w:tcW w:w="1100" w:type="dxa"/>
            <w:vAlign w:val="bottom"/>
          </w:tcPr>
          <w:p>
            <w:pPr>
              <w:jc w:val="right"/>
              <w:spacing w:after="0"/>
              <w:rPr>
                <w:sz w:val="20"/>
                <w:szCs w:val="20"/>
                <w:color w:val="auto"/>
              </w:rPr>
            </w:pPr>
            <w:r>
              <w:rPr>
                <w:rFonts w:ascii="Arial" w:cs="Arial" w:eastAsia="Arial" w:hAnsi="Arial"/>
                <w:sz w:val="18"/>
                <w:szCs w:val="18"/>
                <w:color w:val="auto"/>
              </w:rPr>
              <w:t>1.6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243"/>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774.1</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777.3</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(3.2)</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240" w:type="dxa"/>
            <w:vAlign w:val="bottom"/>
          </w:tcPr>
          <w:p>
            <w:pPr>
              <w:ind w:left="300"/>
              <w:spacing w:after="0"/>
              <w:rPr>
                <w:sz w:val="20"/>
                <w:szCs w:val="20"/>
                <w:color w:val="auto"/>
              </w:rPr>
            </w:pPr>
            <w:r>
              <w:rPr>
                <w:rFonts w:ascii="Arial" w:cs="Arial" w:eastAsia="Arial" w:hAnsi="Arial"/>
                <w:sz w:val="18"/>
                <w:szCs w:val="18"/>
                <w:i w:val="1"/>
                <w:iCs w:val="1"/>
                <w:color w:val="auto"/>
              </w:rPr>
              <w:t>% of net sales</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34.8</w:t>
            </w:r>
          </w:p>
        </w:tc>
        <w:tc>
          <w:tcPr>
            <w:tcW w:w="340" w:type="dxa"/>
            <w:vAlign w:val="bottom"/>
          </w:tcPr>
          <w:p>
            <w:pPr>
              <w:jc w:val="right"/>
              <w:ind w:right="90"/>
              <w:spacing w:after="0"/>
              <w:rPr>
                <w:sz w:val="20"/>
                <w:szCs w:val="20"/>
                <w:color w:val="auto"/>
              </w:rPr>
            </w:pPr>
            <w:r>
              <w:rPr>
                <w:rFonts w:ascii="Arial" w:cs="Arial" w:eastAsia="Arial" w:hAnsi="Arial"/>
                <w:sz w:val="18"/>
                <w:szCs w:val="18"/>
                <w:i w:val="1"/>
                <w:iCs w:val="1"/>
                <w:color w:val="auto"/>
                <w:w w:val="87"/>
              </w:rPr>
              <w:t>%</w:t>
            </w: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35.3</w:t>
            </w:r>
          </w:p>
        </w:tc>
        <w:tc>
          <w:tcPr>
            <w:tcW w:w="400" w:type="dxa"/>
            <w:vAlign w:val="bottom"/>
          </w:tcPr>
          <w:p>
            <w:pPr>
              <w:jc w:val="right"/>
              <w:ind w:right="150"/>
              <w:spacing w:after="0"/>
              <w:rPr>
                <w:sz w:val="20"/>
                <w:szCs w:val="20"/>
                <w:color w:val="auto"/>
              </w:rPr>
            </w:pPr>
            <w:r>
              <w:rPr>
                <w:rFonts w:ascii="Arial" w:cs="Arial" w:eastAsia="Arial" w:hAnsi="Arial"/>
                <w:sz w:val="18"/>
                <w:szCs w:val="18"/>
                <w:i w:val="1"/>
                <w:iCs w:val="1"/>
                <w:color w:val="auto"/>
                <w:w w:val="87"/>
              </w:rPr>
              <w:t>%</w:t>
            </w:r>
          </w:p>
        </w:tc>
        <w:tc>
          <w:tcPr>
            <w:tcW w:w="1240" w:type="dxa"/>
            <w:vAlign w:val="bottom"/>
          </w:tcPr>
          <w:p>
            <w:pPr>
              <w:spacing w:after="0"/>
              <w:rPr>
                <w:sz w:val="21"/>
                <w:szCs w:val="21"/>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i w:val="1"/>
                <w:iCs w:val="1"/>
                <w:color w:val="auto"/>
              </w:rPr>
              <w:t>(0.5) pts</w:t>
            </w:r>
          </w:p>
        </w:tc>
      </w:tr>
      <w:tr>
        <w:trPr>
          <w:trHeight w:val="27"/>
        </w:trPr>
        <w:tc>
          <w:tcPr>
            <w:tcW w:w="5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162"/>
        </w:trPr>
        <w:tc>
          <w:tcPr>
            <w:tcW w:w="5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378.6</w:t>
            </w: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405.9</w:t>
            </w:r>
          </w:p>
        </w:tc>
        <w:tc>
          <w:tcPr>
            <w:tcW w:w="40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(27.3)</w:t>
            </w:r>
          </w:p>
        </w:tc>
        <w:tc>
          <w:tcPr>
            <w:tcW w:w="1100" w:type="dxa"/>
            <w:vAlign w:val="bottom"/>
          </w:tcPr>
          <w:p>
            <w:pPr>
              <w:jc w:val="right"/>
              <w:spacing w:after="0"/>
              <w:rPr>
                <w:sz w:val="20"/>
                <w:szCs w:val="20"/>
                <w:color w:val="auto"/>
              </w:rPr>
            </w:pPr>
            <w:r>
              <w:rPr>
                <w:rFonts w:ascii="Arial" w:cs="Arial" w:eastAsia="Arial" w:hAnsi="Arial"/>
                <w:sz w:val="18"/>
                <w:szCs w:val="18"/>
                <w:color w:val="auto"/>
              </w:rPr>
              <w:t>(6.7)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i w:val="1"/>
                <w:iCs w:val="1"/>
                <w:color w:val="auto"/>
              </w:rPr>
              <w:t>% of net sales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17.0</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i w:val="1"/>
                <w:iCs w:val="1"/>
                <w:color w:val="auto"/>
                <w:w w:val="87"/>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18.4</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i w:val="1"/>
                <w:iCs w:val="1"/>
                <w:color w:val="auto"/>
                <w:w w:val="87"/>
              </w:rPr>
              <w:t>%</w:t>
            </w:r>
          </w:p>
        </w:tc>
        <w:tc>
          <w:tcPr>
            <w:tcW w:w="1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(1.4) pts</w:t>
            </w: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Research and development expenses</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55.6</w:t>
            </w: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61.2</w:t>
            </w:r>
          </w:p>
        </w:tc>
        <w:tc>
          <w:tcPr>
            <w:tcW w:w="40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(5.6)</w:t>
            </w:r>
          </w:p>
        </w:tc>
        <w:tc>
          <w:tcPr>
            <w:tcW w:w="1100" w:type="dxa"/>
            <w:vAlign w:val="bottom"/>
          </w:tcPr>
          <w:p>
            <w:pPr>
              <w:jc w:val="right"/>
              <w:spacing w:after="0"/>
              <w:rPr>
                <w:sz w:val="20"/>
                <w:szCs w:val="20"/>
                <w:color w:val="auto"/>
              </w:rPr>
            </w:pPr>
            <w:r>
              <w:rPr>
                <w:rFonts w:ascii="Arial" w:cs="Arial" w:eastAsia="Arial" w:hAnsi="Arial"/>
                <w:sz w:val="18"/>
                <w:szCs w:val="18"/>
                <w:color w:val="auto"/>
              </w:rPr>
              <w:t>(9.2)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i w:val="1"/>
                <w:iCs w:val="1"/>
                <w:color w:val="auto"/>
              </w:rPr>
              <w:t>% of net sales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2.5</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i w:val="1"/>
                <w:iCs w:val="1"/>
                <w:color w:val="auto"/>
                <w:w w:val="87"/>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2.8</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i w:val="1"/>
                <w:iCs w:val="1"/>
                <w:color w:val="auto"/>
                <w:w w:val="87"/>
              </w:rPr>
              <w:t>%</w:t>
            </w:r>
          </w:p>
        </w:tc>
        <w:tc>
          <w:tcPr>
            <w:tcW w:w="1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(0.3) pts</w:t>
            </w:r>
          </w:p>
        </w:tc>
      </w:tr>
      <w:tr>
        <w:trPr>
          <w:trHeight w:val="162"/>
        </w:trPr>
        <w:tc>
          <w:tcPr>
            <w:tcW w:w="5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339.9</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310.2</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29.7</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240" w:type="dxa"/>
            <w:vAlign w:val="bottom"/>
          </w:tcPr>
          <w:p>
            <w:pPr>
              <w:ind w:left="300"/>
              <w:spacing w:after="0"/>
              <w:rPr>
                <w:sz w:val="20"/>
                <w:szCs w:val="20"/>
                <w:color w:val="auto"/>
              </w:rPr>
            </w:pPr>
            <w:r>
              <w:rPr>
                <w:rFonts w:ascii="Arial" w:cs="Arial" w:eastAsia="Arial" w:hAnsi="Arial"/>
                <w:sz w:val="18"/>
                <w:szCs w:val="18"/>
                <w:i w:val="1"/>
                <w:iCs w:val="1"/>
                <w:color w:val="auto"/>
              </w:rPr>
              <w:t>% of net sales</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15.3</w:t>
            </w:r>
          </w:p>
        </w:tc>
        <w:tc>
          <w:tcPr>
            <w:tcW w:w="340" w:type="dxa"/>
            <w:vAlign w:val="bottom"/>
          </w:tcPr>
          <w:p>
            <w:pPr>
              <w:jc w:val="right"/>
              <w:ind w:right="90"/>
              <w:spacing w:after="0"/>
              <w:rPr>
                <w:sz w:val="20"/>
                <w:szCs w:val="20"/>
                <w:color w:val="auto"/>
              </w:rPr>
            </w:pPr>
            <w:r>
              <w:rPr>
                <w:rFonts w:ascii="Arial" w:cs="Arial" w:eastAsia="Arial" w:hAnsi="Arial"/>
                <w:sz w:val="18"/>
                <w:szCs w:val="18"/>
                <w:i w:val="1"/>
                <w:iCs w:val="1"/>
                <w:color w:val="auto"/>
                <w:w w:val="87"/>
              </w:rPr>
              <w:t>%</w:t>
            </w: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14.1</w:t>
            </w:r>
          </w:p>
        </w:tc>
        <w:tc>
          <w:tcPr>
            <w:tcW w:w="400" w:type="dxa"/>
            <w:vAlign w:val="bottom"/>
          </w:tcPr>
          <w:p>
            <w:pPr>
              <w:jc w:val="right"/>
              <w:ind w:right="150"/>
              <w:spacing w:after="0"/>
              <w:rPr>
                <w:sz w:val="20"/>
                <w:szCs w:val="20"/>
                <w:color w:val="auto"/>
              </w:rPr>
            </w:pPr>
            <w:r>
              <w:rPr>
                <w:rFonts w:ascii="Arial" w:cs="Arial" w:eastAsia="Arial" w:hAnsi="Arial"/>
                <w:sz w:val="18"/>
                <w:szCs w:val="18"/>
                <w:i w:val="1"/>
                <w:iCs w:val="1"/>
                <w:color w:val="auto"/>
                <w:w w:val="87"/>
              </w:rPr>
              <w:t>%</w:t>
            </w:r>
          </w:p>
        </w:tc>
        <w:tc>
          <w:tcPr>
            <w:tcW w:w="1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1.2</w:t>
            </w:r>
          </w:p>
        </w:tc>
        <w:tc>
          <w:tcPr>
            <w:tcW w:w="260" w:type="dxa"/>
            <w:vAlign w:val="bottom"/>
          </w:tcPr>
          <w:p>
            <w:pPr>
              <w:jc w:val="right"/>
              <w:spacing w:after="0"/>
              <w:rPr>
                <w:sz w:val="20"/>
                <w:szCs w:val="20"/>
                <w:color w:val="auto"/>
              </w:rPr>
            </w:pPr>
            <w:r>
              <w:rPr>
                <w:rFonts w:ascii="Arial" w:cs="Arial" w:eastAsia="Arial" w:hAnsi="Arial"/>
                <w:sz w:val="18"/>
                <w:szCs w:val="18"/>
                <w:i w:val="1"/>
                <w:iCs w:val="1"/>
                <w:color w:val="auto"/>
                <w:w w:val="91"/>
              </w:rPr>
              <w:t>pts</w:t>
            </w:r>
          </w:p>
        </w:tc>
      </w:tr>
      <w:tr>
        <w:trPr>
          <w:trHeight w:val="27"/>
        </w:trPr>
        <w:tc>
          <w:tcPr>
            <w:tcW w:w="5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r>
      <w:tr>
        <w:trPr>
          <w:trHeight w:val="162"/>
        </w:trPr>
        <w:tc>
          <w:tcPr>
            <w:tcW w:w="5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spacing w:after="0"/>
              <w:rPr>
                <w:sz w:val="14"/>
                <w:szCs w:val="14"/>
                <w:color w:val="auto"/>
              </w:rPr>
            </w:pP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Loss (gain) on sale of businesses</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0.1</w:t>
            </w: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w:t>
            </w:r>
          </w:p>
        </w:tc>
        <w:tc>
          <w:tcPr>
            <w:tcW w:w="400" w:type="dxa"/>
            <w:vAlign w:val="bottom"/>
          </w:tcPr>
          <w:p>
            <w:pPr>
              <w:spacing w:after="0"/>
              <w:rPr>
                <w:sz w:val="21"/>
                <w:szCs w:val="21"/>
                <w:color w:val="auto"/>
              </w:rPr>
            </w:pP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3.4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N.M.</w:t>
            </w:r>
          </w:p>
        </w:tc>
      </w:tr>
      <w:tr>
        <w:trPr>
          <w:trHeight w:val="27"/>
        </w:trPr>
        <w:tc>
          <w:tcPr>
            <w:tcW w:w="5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10.1</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Net interest expense</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20.0</w:t>
            </w: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23.6</w:t>
            </w:r>
          </w:p>
        </w:tc>
        <w:tc>
          <w:tcPr>
            <w:tcW w:w="40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(3.6)</w:t>
            </w:r>
          </w:p>
        </w:tc>
        <w:tc>
          <w:tcPr>
            <w:tcW w:w="1100" w:type="dxa"/>
            <w:vAlign w:val="bottom"/>
          </w:tcPr>
          <w:p>
            <w:pPr>
              <w:jc w:val="right"/>
              <w:spacing w:after="0"/>
              <w:rPr>
                <w:sz w:val="20"/>
                <w:szCs w:val="20"/>
                <w:color w:val="auto"/>
              </w:rPr>
            </w:pPr>
            <w:r>
              <w:rPr>
                <w:rFonts w:ascii="Arial" w:cs="Arial" w:eastAsia="Arial" w:hAnsi="Arial"/>
                <w:sz w:val="18"/>
                <w:szCs w:val="18"/>
                <w:color w:val="auto"/>
              </w:rPr>
              <w:t>(15.3)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162"/>
        </w:trPr>
        <w:tc>
          <w:tcPr>
            <w:tcW w:w="5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Income from continuing operations before income taxes</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321.4</w:t>
            </w: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301.6</w:t>
            </w:r>
          </w:p>
        </w:tc>
        <w:tc>
          <w:tcPr>
            <w:tcW w:w="400" w:type="dxa"/>
            <w:vAlign w:val="bottom"/>
          </w:tcPr>
          <w:p>
            <w:pPr>
              <w:spacing w:after="0"/>
              <w:rPr>
                <w:sz w:val="21"/>
                <w:szCs w:val="21"/>
                <w:color w:val="auto"/>
              </w:rPr>
            </w:pP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19.8</w:t>
            </w:r>
          </w:p>
        </w:tc>
        <w:tc>
          <w:tcPr>
            <w:tcW w:w="1100" w:type="dxa"/>
            <w:vAlign w:val="bottom"/>
          </w:tcPr>
          <w:p>
            <w:pPr>
              <w:jc w:val="right"/>
              <w:spacing w:after="0"/>
              <w:rPr>
                <w:sz w:val="20"/>
                <w:szCs w:val="20"/>
                <w:color w:val="auto"/>
              </w:rPr>
            </w:pPr>
            <w:r>
              <w:rPr>
                <w:rFonts w:ascii="Arial" w:cs="Arial" w:eastAsia="Arial" w:hAnsi="Arial"/>
                <w:sz w:val="18"/>
                <w:szCs w:val="18"/>
                <w:color w:val="auto"/>
              </w:rPr>
              <w:t>6.6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21.3</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240" w:type="dxa"/>
            <w:vAlign w:val="bottom"/>
          </w:tcPr>
          <w:p>
            <w:pPr>
              <w:ind w:left="300"/>
              <w:spacing w:after="0"/>
              <w:rPr>
                <w:sz w:val="20"/>
                <w:szCs w:val="20"/>
                <w:color w:val="auto"/>
              </w:rPr>
            </w:pPr>
            <w:r>
              <w:rPr>
                <w:rFonts w:ascii="Arial" w:cs="Arial" w:eastAsia="Arial" w:hAnsi="Arial"/>
                <w:sz w:val="18"/>
                <w:szCs w:val="18"/>
                <w:i w:val="1"/>
                <w:iCs w:val="1"/>
                <w:color w:val="auto"/>
              </w:rPr>
              <w:t>Effective tax rate</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19.9</w:t>
            </w:r>
          </w:p>
        </w:tc>
        <w:tc>
          <w:tcPr>
            <w:tcW w:w="340" w:type="dxa"/>
            <w:vAlign w:val="bottom"/>
          </w:tcPr>
          <w:p>
            <w:pPr>
              <w:jc w:val="right"/>
              <w:ind w:right="90"/>
              <w:spacing w:after="0"/>
              <w:rPr>
                <w:sz w:val="20"/>
                <w:szCs w:val="20"/>
                <w:color w:val="auto"/>
              </w:rPr>
            </w:pPr>
            <w:r>
              <w:rPr>
                <w:rFonts w:ascii="Arial" w:cs="Arial" w:eastAsia="Arial" w:hAnsi="Arial"/>
                <w:sz w:val="18"/>
                <w:szCs w:val="18"/>
                <w:i w:val="1"/>
                <w:iCs w:val="1"/>
                <w:color w:val="auto"/>
                <w:w w:val="87"/>
              </w:rPr>
              <w:t>%</w:t>
            </w: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14.2</w:t>
            </w:r>
          </w:p>
        </w:tc>
        <w:tc>
          <w:tcPr>
            <w:tcW w:w="400" w:type="dxa"/>
            <w:vAlign w:val="bottom"/>
          </w:tcPr>
          <w:p>
            <w:pPr>
              <w:jc w:val="right"/>
              <w:ind w:right="150"/>
              <w:spacing w:after="0"/>
              <w:rPr>
                <w:sz w:val="20"/>
                <w:szCs w:val="20"/>
                <w:color w:val="auto"/>
              </w:rPr>
            </w:pPr>
            <w:r>
              <w:rPr>
                <w:rFonts w:ascii="Arial" w:cs="Arial" w:eastAsia="Arial" w:hAnsi="Arial"/>
                <w:sz w:val="18"/>
                <w:szCs w:val="18"/>
                <w:i w:val="1"/>
                <w:iCs w:val="1"/>
                <w:color w:val="auto"/>
                <w:w w:val="87"/>
              </w:rPr>
              <w:t>%</w:t>
            </w:r>
          </w:p>
        </w:tc>
        <w:tc>
          <w:tcPr>
            <w:tcW w:w="1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5.7</w:t>
            </w:r>
          </w:p>
        </w:tc>
        <w:tc>
          <w:tcPr>
            <w:tcW w:w="260" w:type="dxa"/>
            <w:vAlign w:val="bottom"/>
          </w:tcPr>
          <w:p>
            <w:pPr>
              <w:jc w:val="right"/>
              <w:spacing w:after="0"/>
              <w:rPr>
                <w:sz w:val="20"/>
                <w:szCs w:val="20"/>
                <w:color w:val="auto"/>
              </w:rPr>
            </w:pPr>
            <w:r>
              <w:rPr>
                <w:rFonts w:ascii="Arial" w:cs="Arial" w:eastAsia="Arial" w:hAnsi="Arial"/>
                <w:sz w:val="18"/>
                <w:szCs w:val="18"/>
                <w:i w:val="1"/>
                <w:iCs w:val="1"/>
                <w:color w:val="auto"/>
                <w:w w:val="91"/>
              </w:rPr>
              <w:t>pts</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N.M. Not Meaningful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consolidated net sales change from the prior period were as follows: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60" w:type="dxa"/>
            <w:vAlign w:val="bottom"/>
          </w:tcPr>
          <w:p>
            <w:pPr>
              <w:spacing w:after="0"/>
              <w:rPr>
                <w:sz w:val="20"/>
                <w:szCs w:val="20"/>
                <w:color w:val="auto"/>
              </w:rPr>
            </w:pPr>
          </w:p>
        </w:tc>
        <w:tc>
          <w:tcPr>
            <w:tcW w:w="4680" w:type="dxa"/>
            <w:vAlign w:val="bottom"/>
          </w:tcPr>
          <w:p>
            <w:pPr>
              <w:jc w:val="right"/>
              <w:ind w:right="150"/>
              <w:spacing w:after="0"/>
              <w:rPr>
                <w:sz w:val="20"/>
                <w:szCs w:val="20"/>
                <w:color w:val="auto"/>
              </w:rPr>
            </w:pPr>
            <w:r>
              <w:rPr>
                <w:rFonts w:ascii="Arial" w:cs="Arial" w:eastAsia="Arial" w:hAnsi="Arial"/>
                <w:sz w:val="18"/>
                <w:szCs w:val="18"/>
                <w:b w:val="1"/>
                <w:bCs w:val="1"/>
                <w:color w:val="auto"/>
              </w:rPr>
              <w:t>Three months ended September 30, 2020</w:t>
            </w:r>
          </w:p>
        </w:tc>
        <w:tc>
          <w:tcPr>
            <w:tcW w:w="440" w:type="dxa"/>
            <w:vAlign w:val="bottom"/>
          </w:tcPr>
          <w:p>
            <w:pPr>
              <w:spacing w:after="0"/>
              <w:rPr>
                <w:sz w:val="20"/>
                <w:szCs w:val="20"/>
                <w:color w:val="auto"/>
              </w:rPr>
            </w:pPr>
          </w:p>
        </w:tc>
        <w:tc>
          <w:tcPr>
            <w:tcW w:w="3580" w:type="dxa"/>
            <w:vAlign w:val="bottom"/>
          </w:tcPr>
          <w:p>
            <w:pPr>
              <w:jc w:val="right"/>
              <w:ind w:right="210"/>
              <w:spacing w:after="0"/>
              <w:rPr>
                <w:sz w:val="20"/>
                <w:szCs w:val="20"/>
                <w:color w:val="auto"/>
              </w:rPr>
            </w:pPr>
            <w:r>
              <w:rPr>
                <w:rFonts w:ascii="Arial" w:cs="Arial" w:eastAsia="Arial" w:hAnsi="Arial"/>
                <w:sz w:val="18"/>
                <w:szCs w:val="18"/>
                <w:b w:val="1"/>
                <w:bCs w:val="1"/>
                <w:color w:val="auto"/>
                <w:w w:val="95"/>
              </w:rPr>
              <w:t>Nine months ended September 30, 2020</w:t>
            </w:r>
          </w:p>
        </w:tc>
        <w:tc>
          <w:tcPr>
            <w:tcW w:w="180" w:type="dxa"/>
            <w:vAlign w:val="bottom"/>
          </w:tcPr>
          <w:p>
            <w:pPr>
              <w:spacing w:after="0"/>
              <w:rPr>
                <w:sz w:val="20"/>
                <w:szCs w:val="20"/>
                <w:color w:val="auto"/>
              </w:rPr>
            </w:pPr>
          </w:p>
        </w:tc>
      </w:tr>
      <w:tr>
        <w:trPr>
          <w:trHeight w:val="270"/>
        </w:trPr>
        <w:tc>
          <w:tcPr>
            <w:tcW w:w="2360" w:type="dxa"/>
            <w:vAlign w:val="bottom"/>
          </w:tcPr>
          <w:p>
            <w:pPr>
              <w:spacing w:after="0"/>
              <w:rPr>
                <w:sz w:val="23"/>
                <w:szCs w:val="23"/>
                <w:color w:val="auto"/>
              </w:rPr>
            </w:pPr>
          </w:p>
        </w:tc>
        <w:tc>
          <w:tcPr>
            <w:tcW w:w="4680" w:type="dxa"/>
            <w:vAlign w:val="bottom"/>
          </w:tcPr>
          <w:p>
            <w:pPr>
              <w:jc w:val="right"/>
              <w:ind w:right="710"/>
              <w:spacing w:after="0"/>
              <w:rPr>
                <w:sz w:val="20"/>
                <w:szCs w:val="20"/>
                <w:color w:val="auto"/>
              </w:rPr>
            </w:pPr>
            <w:r>
              <w:rPr>
                <w:rFonts w:ascii="Arial" w:cs="Arial" w:eastAsia="Arial" w:hAnsi="Arial"/>
                <w:sz w:val="18"/>
                <w:szCs w:val="18"/>
                <w:b w:val="1"/>
                <w:bCs w:val="1"/>
                <w:color w:val="auto"/>
              </w:rPr>
              <w:t>over the prior year period</w:t>
            </w:r>
          </w:p>
        </w:tc>
        <w:tc>
          <w:tcPr>
            <w:tcW w:w="440" w:type="dxa"/>
            <w:vAlign w:val="bottom"/>
          </w:tcPr>
          <w:p>
            <w:pPr>
              <w:spacing w:after="0"/>
              <w:rPr>
                <w:sz w:val="23"/>
                <w:szCs w:val="23"/>
                <w:color w:val="auto"/>
              </w:rPr>
            </w:pPr>
          </w:p>
        </w:tc>
        <w:tc>
          <w:tcPr>
            <w:tcW w:w="3580" w:type="dxa"/>
            <w:vAlign w:val="bottom"/>
          </w:tcPr>
          <w:p>
            <w:pPr>
              <w:jc w:val="right"/>
              <w:ind w:right="730"/>
              <w:spacing w:after="0"/>
              <w:rPr>
                <w:sz w:val="20"/>
                <w:szCs w:val="20"/>
                <w:color w:val="auto"/>
              </w:rPr>
            </w:pPr>
            <w:r>
              <w:rPr>
                <w:rFonts w:ascii="Arial" w:cs="Arial" w:eastAsia="Arial" w:hAnsi="Arial"/>
                <w:sz w:val="18"/>
                <w:szCs w:val="18"/>
                <w:b w:val="1"/>
                <w:bCs w:val="1"/>
                <w:color w:val="auto"/>
              </w:rPr>
              <w:t>over the prior year period</w:t>
            </w:r>
          </w:p>
        </w:tc>
        <w:tc>
          <w:tcPr>
            <w:tcW w:w="180" w:type="dxa"/>
            <w:vAlign w:val="bottom"/>
          </w:tcPr>
          <w:p>
            <w:pPr>
              <w:spacing w:after="0"/>
              <w:rPr>
                <w:sz w:val="23"/>
                <w:szCs w:val="23"/>
                <w:color w:val="auto"/>
              </w:rPr>
            </w:pPr>
          </w:p>
        </w:tc>
      </w:tr>
      <w:tr>
        <w:trPr>
          <w:trHeight w:val="27"/>
        </w:trPr>
        <w:tc>
          <w:tcPr>
            <w:tcW w:w="2360" w:type="dxa"/>
            <w:vAlign w:val="bottom"/>
            <w:tcBorders>
              <w:bottom w:val="single" w:sz="8" w:color="auto"/>
            </w:tcBorders>
          </w:tcPr>
          <w:p>
            <w:pPr>
              <w:spacing w:after="0"/>
              <w:rPr>
                <w:sz w:val="2"/>
                <w:szCs w:val="2"/>
                <w:color w:val="auto"/>
              </w:rPr>
            </w:pPr>
          </w:p>
        </w:tc>
        <w:tc>
          <w:tcPr>
            <w:tcW w:w="5120" w:type="dxa"/>
            <w:vAlign w:val="bottom"/>
            <w:tcBorders>
              <w:bottom w:val="single" w:sz="8" w:color="auto"/>
            </w:tcBorders>
            <w:gridSpan w:val="2"/>
          </w:tcPr>
          <w:p>
            <w:pPr>
              <w:spacing w:after="0"/>
              <w:rPr>
                <w:sz w:val="2"/>
                <w:szCs w:val="2"/>
                <w:color w:val="auto"/>
              </w:rPr>
            </w:pPr>
          </w:p>
        </w:tc>
        <w:tc>
          <w:tcPr>
            <w:tcW w:w="3760" w:type="dxa"/>
            <w:vAlign w:val="bottom"/>
            <w:tcBorders>
              <w:bottom w:val="single" w:sz="8" w:color="auto"/>
            </w:tcBorders>
            <w:gridSpan w:val="2"/>
          </w:tcPr>
          <w:p>
            <w:pPr>
              <w:spacing w:after="0"/>
              <w:rPr>
                <w:sz w:val="2"/>
                <w:szCs w:val="2"/>
                <w:color w:val="auto"/>
              </w:rPr>
            </w:pPr>
          </w:p>
        </w:tc>
      </w:tr>
      <w:tr>
        <w:trPr>
          <w:trHeight w:val="243"/>
        </w:trPr>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Volume</w:t>
            </w:r>
          </w:p>
        </w:tc>
        <w:tc>
          <w:tcPr>
            <w:tcW w:w="512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10.1 %</w:t>
            </w:r>
          </w:p>
        </w:tc>
        <w:tc>
          <w:tcPr>
            <w:tcW w:w="3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43"/>
        </w:trPr>
        <w:tc>
          <w:tcPr>
            <w:tcW w:w="2360" w:type="dxa"/>
            <w:vAlign w:val="bottom"/>
          </w:tcPr>
          <w:p>
            <w:pPr>
              <w:ind w:left="20"/>
              <w:spacing w:after="0"/>
              <w:rPr>
                <w:sz w:val="20"/>
                <w:szCs w:val="20"/>
                <w:color w:val="auto"/>
              </w:rPr>
            </w:pPr>
            <w:r>
              <w:rPr>
                <w:rFonts w:ascii="Arial" w:cs="Arial" w:eastAsia="Arial" w:hAnsi="Arial"/>
                <w:sz w:val="18"/>
                <w:szCs w:val="18"/>
                <w:color w:val="auto"/>
              </w:rPr>
              <w:t>Price</w:t>
            </w:r>
          </w:p>
        </w:tc>
        <w:tc>
          <w:tcPr>
            <w:tcW w:w="4680" w:type="dxa"/>
            <w:vAlign w:val="bottom"/>
          </w:tcPr>
          <w:p>
            <w:pPr>
              <w:jc w:val="right"/>
              <w:spacing w:after="0"/>
              <w:rPr>
                <w:sz w:val="20"/>
                <w:szCs w:val="20"/>
                <w:color w:val="auto"/>
              </w:rPr>
            </w:pPr>
            <w:r>
              <w:rPr>
                <w:rFonts w:ascii="Arial" w:cs="Arial" w:eastAsia="Arial" w:hAnsi="Arial"/>
                <w:sz w:val="18"/>
                <w:szCs w:val="18"/>
                <w:color w:val="auto"/>
              </w:rPr>
              <w:t>0.3</w:t>
            </w:r>
          </w:p>
        </w:tc>
        <w:tc>
          <w:tcPr>
            <w:tcW w:w="440" w:type="dxa"/>
            <w:vAlign w:val="bottom"/>
          </w:tcPr>
          <w:p>
            <w:pPr>
              <w:spacing w:after="0"/>
              <w:rPr>
                <w:sz w:val="21"/>
                <w:szCs w:val="21"/>
                <w:color w:val="auto"/>
              </w:rPr>
            </w:pPr>
          </w:p>
        </w:tc>
        <w:tc>
          <w:tcPr>
            <w:tcW w:w="358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21"/>
                <w:szCs w:val="21"/>
                <w:color w:val="auto"/>
              </w:rPr>
            </w:pPr>
          </w:p>
        </w:tc>
      </w:tr>
      <w:tr>
        <w:trPr>
          <w:trHeight w:val="27"/>
        </w:trPr>
        <w:tc>
          <w:tcPr>
            <w:tcW w:w="2360" w:type="dxa"/>
            <w:vAlign w:val="bottom"/>
            <w:tcBorders>
              <w:bottom w:val="single" w:sz="8" w:color="auto"/>
            </w:tcBorders>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43"/>
        </w:trPr>
        <w:tc>
          <w:tcPr>
            <w:tcW w:w="2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Core growth</w:t>
            </w:r>
          </w:p>
        </w:tc>
        <w:tc>
          <w:tcPr>
            <w:tcW w:w="4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440" w:type="dxa"/>
            <w:vAlign w:val="bottom"/>
            <w:tcBorders>
              <w:bottom w:val="single" w:sz="8" w:color="CCEEFF"/>
            </w:tcBorders>
            <w:shd w:val="clear" w:color="auto" w:fill="CCEEFF"/>
          </w:tcPr>
          <w:p>
            <w:pPr>
              <w:spacing w:after="0"/>
              <w:rPr>
                <w:sz w:val="21"/>
                <w:szCs w:val="21"/>
                <w:color w:val="auto"/>
              </w:rPr>
            </w:pPr>
          </w:p>
        </w:tc>
        <w:tc>
          <w:tcPr>
            <w:tcW w:w="3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2360" w:type="dxa"/>
            <w:vAlign w:val="bottom"/>
          </w:tcPr>
          <w:p>
            <w:pPr>
              <w:ind w:left="20"/>
              <w:spacing w:after="0"/>
              <w:rPr>
                <w:sz w:val="20"/>
                <w:szCs w:val="20"/>
                <w:color w:val="auto"/>
              </w:rPr>
            </w:pPr>
            <w:r>
              <w:rPr>
                <w:rFonts w:ascii="Arial" w:cs="Arial" w:eastAsia="Arial" w:hAnsi="Arial"/>
                <w:sz w:val="18"/>
                <w:szCs w:val="18"/>
                <w:color w:val="auto"/>
              </w:rPr>
              <w:t>Acquisition</w:t>
            </w:r>
          </w:p>
        </w:tc>
        <w:tc>
          <w:tcPr>
            <w:tcW w:w="4680" w:type="dxa"/>
            <w:vAlign w:val="bottom"/>
          </w:tcPr>
          <w:p>
            <w:pPr>
              <w:jc w:val="right"/>
              <w:spacing w:after="0"/>
              <w:rPr>
                <w:sz w:val="20"/>
                <w:szCs w:val="20"/>
                <w:color w:val="auto"/>
              </w:rPr>
            </w:pPr>
            <w:r>
              <w:rPr>
                <w:rFonts w:ascii="Arial" w:cs="Arial" w:eastAsia="Arial" w:hAnsi="Arial"/>
                <w:sz w:val="18"/>
                <w:szCs w:val="18"/>
                <w:color w:val="auto"/>
              </w:rPr>
              <w:t>0.5</w:t>
            </w:r>
          </w:p>
        </w:tc>
        <w:tc>
          <w:tcPr>
            <w:tcW w:w="440" w:type="dxa"/>
            <w:vAlign w:val="bottom"/>
          </w:tcPr>
          <w:p>
            <w:pPr>
              <w:spacing w:after="0"/>
              <w:rPr>
                <w:sz w:val="21"/>
                <w:szCs w:val="21"/>
                <w:color w:val="auto"/>
              </w:rPr>
            </w:pPr>
          </w:p>
        </w:tc>
        <w:tc>
          <w:tcPr>
            <w:tcW w:w="3580" w:type="dxa"/>
            <w:vAlign w:val="bottom"/>
          </w:tcPr>
          <w:p>
            <w:pPr>
              <w:jc w:val="right"/>
              <w:spacing w:after="0"/>
              <w:rPr>
                <w:sz w:val="20"/>
                <w:szCs w:val="20"/>
                <w:color w:val="auto"/>
              </w:rPr>
            </w:pPr>
            <w:r>
              <w:rPr>
                <w:rFonts w:ascii="Arial" w:cs="Arial" w:eastAsia="Arial" w:hAnsi="Arial"/>
                <w:sz w:val="18"/>
                <w:szCs w:val="18"/>
                <w:color w:val="auto"/>
              </w:rPr>
              <w:t>0.6</w:t>
            </w:r>
          </w:p>
        </w:tc>
        <w:tc>
          <w:tcPr>
            <w:tcW w:w="180" w:type="dxa"/>
            <w:vAlign w:val="bottom"/>
          </w:tcPr>
          <w:p>
            <w:pPr>
              <w:spacing w:after="0"/>
              <w:rPr>
                <w:sz w:val="21"/>
                <w:szCs w:val="21"/>
                <w:color w:val="auto"/>
              </w:rPr>
            </w:pPr>
          </w:p>
        </w:tc>
      </w:tr>
      <w:tr>
        <w:trPr>
          <w:trHeight w:val="27"/>
        </w:trPr>
        <w:tc>
          <w:tcPr>
            <w:tcW w:w="2360" w:type="dxa"/>
            <w:vAlign w:val="bottom"/>
          </w:tcPr>
          <w:p>
            <w:pPr>
              <w:spacing w:after="0"/>
              <w:rPr>
                <w:sz w:val="2"/>
                <w:szCs w:val="2"/>
                <w:color w:val="auto"/>
              </w:rPr>
            </w:pPr>
          </w:p>
        </w:tc>
        <w:tc>
          <w:tcPr>
            <w:tcW w:w="4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75"/>
        </w:trPr>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Currency</w:t>
            </w:r>
          </w:p>
        </w:tc>
        <w:tc>
          <w:tcPr>
            <w:tcW w:w="4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40" w:type="dxa"/>
            <w:vAlign w:val="bottom"/>
            <w:tcBorders>
              <w:bottom w:val="single" w:sz="8" w:color="CCEEFF"/>
            </w:tcBorders>
            <w:shd w:val="clear" w:color="auto" w:fill="CCEEFF"/>
          </w:tcPr>
          <w:p>
            <w:pPr>
              <w:spacing w:after="0"/>
              <w:rPr>
                <w:sz w:val="23"/>
                <w:szCs w:val="23"/>
                <w:color w:val="auto"/>
              </w:rPr>
            </w:pPr>
          </w:p>
        </w:tc>
        <w:tc>
          <w:tcPr>
            <w:tcW w:w="3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80" w:type="dxa"/>
            <w:vAlign w:val="bottom"/>
            <w:tcBorders>
              <w:bottom w:val="single" w:sz="8" w:color="CCEEFF"/>
            </w:tcBorders>
            <w:shd w:val="clear" w:color="auto" w:fill="CCEEFF"/>
          </w:tcPr>
          <w:p>
            <w:pPr>
              <w:spacing w:after="0"/>
              <w:rPr>
                <w:sz w:val="23"/>
                <w:szCs w:val="23"/>
                <w:color w:val="auto"/>
              </w:rPr>
            </w:pPr>
          </w:p>
        </w:tc>
      </w:tr>
      <w:tr>
        <w:trPr>
          <w:trHeight w:val="237"/>
        </w:trPr>
        <w:tc>
          <w:tcPr>
            <w:tcW w:w="23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4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4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3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w:t>
            </w:r>
          </w:p>
        </w:tc>
      </w:tr>
      <w:tr>
        <w:trPr>
          <w:trHeight w:val="27"/>
        </w:trPr>
        <w:tc>
          <w:tcPr>
            <w:tcW w:w="2360" w:type="dxa"/>
            <w:vAlign w:val="bottom"/>
            <w:tcBorders>
              <w:bottom w:val="single" w:sz="8" w:color="auto"/>
            </w:tcBorders>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0"/>
        </w:trPr>
        <w:tc>
          <w:tcPr>
            <w:tcW w:w="2360" w:type="dxa"/>
            <w:vAlign w:val="bottom"/>
            <w:tcBorders>
              <w:bottom w:val="single" w:sz="8" w:color="auto"/>
            </w:tcBorders>
          </w:tcPr>
          <w:p>
            <w:pPr>
              <w:spacing w:after="0" w:line="20" w:lineRule="exact"/>
              <w:rPr>
                <w:sz w:val="1"/>
                <w:szCs w:val="1"/>
                <w:color w:val="auto"/>
              </w:rPr>
            </w:pPr>
          </w:p>
        </w:tc>
        <w:tc>
          <w:tcPr>
            <w:tcW w:w="46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The 11.9 and 0.9 percentage point increases in net sales in the third quarter and first nine months, respectively, of 2020 from 2019 were primarily driven by:</w:t>
      </w:r>
    </w:p>
    <w:p>
      <w:pPr>
        <w:spacing w:after="0" w:line="116" w:lineRule="exact"/>
        <w:rPr>
          <w:sz w:val="20"/>
          <w:szCs w:val="20"/>
          <w:color w:val="auto"/>
        </w:rPr>
      </w:pPr>
    </w:p>
    <w:p>
      <w:pPr>
        <w:ind w:left="480" w:hanging="310"/>
        <w:spacing w:after="0"/>
        <w:tabs>
          <w:tab w:leader="none" w:pos="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volume increase in our Consumer Solutions segment mainly driven by our pool business;</w:t>
      </w:r>
    </w:p>
    <w:p>
      <w:pPr>
        <w:spacing w:after="0" w:line="171" w:lineRule="exact"/>
        <w:rPr>
          <w:rFonts w:ascii="Arial" w:cs="Arial" w:eastAsia="Arial" w:hAnsi="Arial"/>
          <w:sz w:val="18"/>
          <w:szCs w:val="18"/>
          <w:color w:val="auto"/>
        </w:rPr>
      </w:pPr>
    </w:p>
    <w:p>
      <w:pPr>
        <w:ind w:left="480" w:hanging="310"/>
        <w:spacing w:after="0"/>
        <w:tabs>
          <w:tab w:leader="none" w:pos="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volume increase in our residential and irrigation flow businesses in our Industrial &amp; Flow Technologies segment;</w:t>
      </w:r>
    </w:p>
    <w:p>
      <w:pPr>
        <w:spacing w:after="0" w:line="171" w:lineRule="exact"/>
        <w:rPr>
          <w:rFonts w:ascii="Arial" w:cs="Arial" w:eastAsia="Arial" w:hAnsi="Arial"/>
          <w:sz w:val="18"/>
          <w:szCs w:val="18"/>
          <w:color w:val="auto"/>
        </w:rPr>
      </w:pPr>
    </w:p>
    <w:p>
      <w:pPr>
        <w:ind w:left="480" w:hanging="310"/>
        <w:spacing w:after="0"/>
        <w:tabs>
          <w:tab w:leader="none" w:pos="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inflationary cost increases;</w:t>
      </w:r>
    </w:p>
    <w:p>
      <w:pPr>
        <w:spacing w:after="0" w:line="171" w:lineRule="exact"/>
        <w:rPr>
          <w:rFonts w:ascii="Arial" w:cs="Arial" w:eastAsia="Arial" w:hAnsi="Arial"/>
          <w:sz w:val="18"/>
          <w:szCs w:val="18"/>
          <w:color w:val="auto"/>
        </w:rPr>
      </w:pPr>
    </w:p>
    <w:p>
      <w:pPr>
        <w:ind w:left="500" w:right="140" w:hanging="330"/>
        <w:spacing w:after="0" w:line="277" w:lineRule="auto"/>
        <w:tabs>
          <w:tab w:leader="none" w:pos="495"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increased sales due to the Aquion and Pelican acquisitions in February 2019 and other small acquisitions in our Consumer Solutions segment in the fourth quarter of 2019 and first half of 2020; and</w:t>
      </w:r>
    </w:p>
    <w:p>
      <w:pPr>
        <w:spacing w:after="0" w:line="116" w:lineRule="exact"/>
        <w:rPr>
          <w:rFonts w:ascii="Arial" w:cs="Arial" w:eastAsia="Arial" w:hAnsi="Arial"/>
          <w:sz w:val="18"/>
          <w:szCs w:val="18"/>
          <w:color w:val="auto"/>
        </w:rPr>
      </w:pPr>
    </w:p>
    <w:p>
      <w:pPr>
        <w:ind w:left="480" w:hanging="310"/>
        <w:spacing w:after="0"/>
        <w:tabs>
          <w:tab w:leader="none" w:pos="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favorable foreign currency effects in the third quarter of 2020 compared to the third quarter of the prior year.</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These increases were partially offset by:</w:t>
      </w:r>
    </w:p>
    <w:p>
      <w:pPr>
        <w:spacing w:after="0" w:line="171" w:lineRule="exact"/>
        <w:rPr>
          <w:sz w:val="20"/>
          <w:szCs w:val="20"/>
          <w:color w:val="auto"/>
        </w:rPr>
      </w:pPr>
    </w:p>
    <w:p>
      <w:pPr>
        <w:ind w:left="480" w:hanging="310"/>
        <w:spacing w:after="0"/>
        <w:tabs>
          <w:tab w:leader="none" w:pos="4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sales volume declines in certain businesses within our Industrial &amp; Flow Technologies segment due to the impacts of the COVID-19 pandemic; and</w:t>
      </w:r>
    </w:p>
    <w:p>
      <w:pPr>
        <w:spacing w:after="0" w:line="194" w:lineRule="exact"/>
        <w:rPr>
          <w:rFonts w:ascii="Arial" w:cs="Arial" w:eastAsia="Arial" w:hAnsi="Arial"/>
          <w:sz w:val="16"/>
          <w:szCs w:val="16"/>
          <w:color w:val="auto"/>
        </w:rPr>
      </w:pPr>
    </w:p>
    <w:p>
      <w:pPr>
        <w:ind w:left="480" w:hanging="310"/>
        <w:spacing w:after="0"/>
        <w:tabs>
          <w:tab w:leader="none" w:pos="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unfavorable foreign currency effects in the first nine months of 2020 compared to the prior year.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The 1.0 </w:t>
      </w:r>
      <w:r>
        <w:rPr>
          <w:rFonts w:ascii="Arial" w:cs="Arial" w:eastAsia="Arial" w:hAnsi="Arial"/>
          <w:sz w:val="16"/>
          <w:szCs w:val="16"/>
          <w:color w:val="auto"/>
        </w:rPr>
        <w:t>and</w:t>
      </w:r>
      <w:r>
        <w:rPr>
          <w:rFonts w:ascii="Arial" w:cs="Arial" w:eastAsia="Arial" w:hAnsi="Arial"/>
          <w:sz w:val="16"/>
          <w:szCs w:val="16"/>
          <w:i w:val="1"/>
          <w:iCs w:val="1"/>
          <w:color w:val="auto"/>
        </w:rPr>
        <w:t xml:space="preserve"> 0.5 percentage point decreases in gross profit as a percentage of net sales in the third quarter and first nine months, respectively, of 2020 from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were primarily driven by:</w:t>
      </w:r>
    </w:p>
    <w:p>
      <w:pPr>
        <w:spacing w:after="0" w:line="157" w:lineRule="exact"/>
        <w:rPr>
          <w:sz w:val="20"/>
          <w:szCs w:val="20"/>
          <w:color w:val="auto"/>
        </w:rPr>
      </w:pPr>
    </w:p>
    <w:p>
      <w:pPr>
        <w:ind w:left="480" w:hanging="310"/>
        <w:spacing w:after="0"/>
        <w:tabs>
          <w:tab w:leader="none" w:pos="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unfavorable mix within the commercial and infrastructure flow and residential, commercial, and industrial filtration businesses;</w:t>
      </w:r>
    </w:p>
    <w:p>
      <w:pPr>
        <w:spacing w:after="0" w:line="171" w:lineRule="exact"/>
        <w:rPr>
          <w:rFonts w:ascii="Arial" w:cs="Arial" w:eastAsia="Arial" w:hAnsi="Arial"/>
          <w:sz w:val="18"/>
          <w:szCs w:val="18"/>
          <w:color w:val="auto"/>
        </w:rPr>
      </w:pPr>
    </w:p>
    <w:p>
      <w:pPr>
        <w:ind w:left="480" w:hanging="310"/>
        <w:spacing w:after="0"/>
        <w:tabs>
          <w:tab w:leader="none" w:pos="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higher transportation and labor costs due to increased demand in our pool business;</w:t>
      </w:r>
    </w:p>
    <w:p>
      <w:pPr>
        <w:spacing w:after="0" w:line="171" w:lineRule="exact"/>
        <w:rPr>
          <w:rFonts w:ascii="Arial" w:cs="Arial" w:eastAsia="Arial" w:hAnsi="Arial"/>
          <w:sz w:val="18"/>
          <w:szCs w:val="18"/>
          <w:color w:val="auto"/>
        </w:rPr>
      </w:pPr>
    </w:p>
    <w:p>
      <w:pPr>
        <w:ind w:left="500" w:right="320" w:hanging="330"/>
        <w:spacing w:after="0" w:line="277" w:lineRule="auto"/>
        <w:tabs>
          <w:tab w:leader="none" w:pos="495"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costs related to providing for the health and safety of our employees specific to the COVID-19 pandemic of $2.6 million and $6.6 million for the three and nine months ended September 30, 2020, respectively; and</w:t>
      </w:r>
    </w:p>
    <w:p>
      <w:pPr>
        <w:spacing w:after="0" w:line="116" w:lineRule="exact"/>
        <w:rPr>
          <w:rFonts w:ascii="Arial" w:cs="Arial" w:eastAsia="Arial" w:hAnsi="Arial"/>
          <w:sz w:val="18"/>
          <w:szCs w:val="18"/>
          <w:color w:val="auto"/>
        </w:rPr>
      </w:pPr>
    </w:p>
    <w:p>
      <w:pPr>
        <w:ind w:left="480" w:hanging="310"/>
        <w:spacing w:after="0"/>
        <w:tabs>
          <w:tab w:leader="none" w:pos="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inflationary increases related to certain raw materials.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These decreases were partially offset by:</w:t>
      </w:r>
    </w:p>
    <w:p>
      <w:pPr>
        <w:spacing w:after="0" w:line="171" w:lineRule="exact"/>
        <w:rPr>
          <w:sz w:val="20"/>
          <w:szCs w:val="20"/>
          <w:color w:val="auto"/>
        </w:rPr>
      </w:pPr>
    </w:p>
    <w:p>
      <w:pPr>
        <w:ind w:left="480" w:hanging="310"/>
        <w:spacing w:after="0"/>
        <w:tabs>
          <w:tab w:leader="none" w:pos="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impacts of inflation; and</w:t>
      </w:r>
    </w:p>
    <w:p>
      <w:pPr>
        <w:spacing w:after="0" w:line="171" w:lineRule="exact"/>
        <w:rPr>
          <w:rFonts w:ascii="Arial" w:cs="Arial" w:eastAsia="Arial" w:hAnsi="Arial"/>
          <w:sz w:val="18"/>
          <w:szCs w:val="18"/>
          <w:color w:val="auto"/>
        </w:rPr>
      </w:pPr>
    </w:p>
    <w:p>
      <w:pPr>
        <w:ind w:left="500" w:right="880" w:hanging="330"/>
        <w:spacing w:after="0" w:line="277" w:lineRule="auto"/>
        <w:tabs>
          <w:tab w:leader="none" w:pos="4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increased productivity due to cost actions such as temporary furloughs and hiring freezes in response to the COVID-19 pandemic driving manufacturing efficiencies and lower operating expenses.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 (“SG&amp;A”)</w:t>
      </w:r>
    </w:p>
    <w:p>
      <w:pPr>
        <w:spacing w:after="0" w:line="23"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i w:val="1"/>
          <w:iCs w:val="1"/>
          <w:color w:val="auto"/>
        </w:rPr>
        <w:t>The 1.4 percentage point decrease in SG&amp;A as a percentage of net sales in both the third quarter and first nine months of 2020 from 2019 was primarily driven by:</w:t>
      </w:r>
    </w:p>
    <w:p>
      <w:pPr>
        <w:spacing w:after="0" w:line="131" w:lineRule="exact"/>
        <w:rPr>
          <w:sz w:val="20"/>
          <w:szCs w:val="20"/>
          <w:color w:val="auto"/>
        </w:rPr>
      </w:pPr>
    </w:p>
    <w:p>
      <w:pPr>
        <w:ind w:left="480" w:hanging="310"/>
        <w:spacing w:after="0"/>
        <w:tabs>
          <w:tab w:leader="none" w:pos="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asset impairment of $18.2 million in the first nine months of 2019 that did not occur in 2020;</w:t>
      </w:r>
    </w:p>
    <w:p>
      <w:pPr>
        <w:spacing w:after="0" w:line="171" w:lineRule="exact"/>
        <w:rPr>
          <w:rFonts w:ascii="Arial" w:cs="Arial" w:eastAsia="Arial" w:hAnsi="Arial"/>
          <w:sz w:val="18"/>
          <w:szCs w:val="18"/>
          <w:color w:val="auto"/>
        </w:rPr>
      </w:pPr>
    </w:p>
    <w:p>
      <w:pPr>
        <w:ind w:left="480" w:hanging="310"/>
        <w:spacing w:after="0"/>
        <w:tabs>
          <w:tab w:leader="none" w:pos="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reduction in travel and entertainment, trade show and advertising expenses due to the COVID-19 pandemic; and</w:t>
      </w:r>
    </w:p>
    <w:p>
      <w:pPr>
        <w:spacing w:after="0" w:line="171" w:lineRule="exact"/>
        <w:rPr>
          <w:rFonts w:ascii="Arial" w:cs="Arial" w:eastAsia="Arial" w:hAnsi="Arial"/>
          <w:sz w:val="18"/>
          <w:szCs w:val="18"/>
          <w:color w:val="auto"/>
        </w:rPr>
      </w:pPr>
    </w:p>
    <w:p>
      <w:pPr>
        <w:ind w:left="480" w:hanging="310"/>
        <w:spacing w:after="0"/>
        <w:tabs>
          <w:tab w:leader="none" w:pos="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restructuring and other costs of $5.6 million in the first nine months of 2020, compared to $13.7 million in the first nine months of 2019.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expense</w:t>
      </w:r>
    </w:p>
    <w:p>
      <w:pPr>
        <w:spacing w:after="0" w:line="23" w:lineRule="exact"/>
        <w:rPr>
          <w:sz w:val="20"/>
          <w:szCs w:val="20"/>
          <w:color w:val="auto"/>
        </w:rPr>
      </w:pPr>
    </w:p>
    <w:p>
      <w:pPr>
        <w:spacing w:after="0" w:line="260" w:lineRule="auto"/>
        <w:rPr>
          <w:sz w:val="20"/>
          <w:szCs w:val="20"/>
          <w:color w:val="auto"/>
        </w:rPr>
      </w:pPr>
      <w:r>
        <w:rPr>
          <w:rFonts w:ascii="Arial" w:cs="Arial" w:eastAsia="Arial" w:hAnsi="Arial"/>
          <w:sz w:val="18"/>
          <w:szCs w:val="18"/>
          <w:i w:val="1"/>
          <w:iCs w:val="1"/>
          <w:color w:val="auto"/>
        </w:rPr>
        <w:t xml:space="preserve">The 21.7 </w:t>
      </w:r>
      <w:r>
        <w:rPr>
          <w:rFonts w:ascii="Arial" w:cs="Arial" w:eastAsia="Arial" w:hAnsi="Arial"/>
          <w:sz w:val="18"/>
          <w:szCs w:val="18"/>
          <w:color w:val="auto"/>
        </w:rPr>
        <w:t>and</w:t>
      </w:r>
      <w:r>
        <w:rPr>
          <w:rFonts w:ascii="Arial" w:cs="Arial" w:eastAsia="Arial" w:hAnsi="Arial"/>
          <w:sz w:val="18"/>
          <w:szCs w:val="18"/>
          <w:i w:val="1"/>
          <w:iCs w:val="1"/>
          <w:color w:val="auto"/>
        </w:rPr>
        <w:t xml:space="preserve"> 15.3 percent decreases in net interest expense in the third quarter and first nine months, respectively, of 2020 from 2019 were primarily driven by:</w:t>
      </w:r>
    </w:p>
    <w:p>
      <w:pPr>
        <w:spacing w:after="0" w:line="131" w:lineRule="exact"/>
        <w:rPr>
          <w:sz w:val="20"/>
          <w:szCs w:val="20"/>
          <w:color w:val="auto"/>
        </w:rPr>
      </w:pPr>
    </w:p>
    <w:p>
      <w:pPr>
        <w:ind w:left="500" w:right="280" w:hanging="330"/>
        <w:spacing w:after="0" w:line="277" w:lineRule="auto"/>
        <w:tabs>
          <w:tab w:leader="none" w:pos="495" w:val="left"/>
        </w:tabs>
        <w:numPr>
          <w:ilvl w:val="0"/>
          <w:numId w:val="32"/>
        </w:numPr>
        <w:rPr>
          <w:rFonts w:ascii="Arial" w:cs="Arial" w:eastAsia="Arial" w:hAnsi="Arial"/>
          <w:sz w:val="18"/>
          <w:szCs w:val="18"/>
          <w:color w:val="auto"/>
        </w:rPr>
      </w:pPr>
      <w:r>
        <w:rPr>
          <w:rFonts w:ascii="Arial" w:cs="Arial" w:eastAsia="Arial" w:hAnsi="Arial"/>
          <w:sz w:val="18"/>
          <w:szCs w:val="18"/>
          <w:color w:val="auto"/>
        </w:rPr>
        <w:t>cross currency swaps entered into in June 2019 and December 2019 resulting in more interest income in the third quarter and first nine months of 2020 than in the comparative 2019 periods;</w:t>
      </w:r>
    </w:p>
    <w:p>
      <w:pPr>
        <w:spacing w:after="0" w:line="116" w:lineRule="exact"/>
        <w:rPr>
          <w:rFonts w:ascii="Arial" w:cs="Arial" w:eastAsia="Arial" w:hAnsi="Arial"/>
          <w:sz w:val="18"/>
          <w:szCs w:val="18"/>
          <w:color w:val="auto"/>
        </w:rPr>
      </w:pPr>
    </w:p>
    <w:p>
      <w:pPr>
        <w:ind w:left="480" w:hanging="310"/>
        <w:spacing w:after="0"/>
        <w:tabs>
          <w:tab w:leader="none" w:pos="4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lower interest rate revolving credit facilities replacing higher interest rate fixed rate debt that matured during the second half of 2019; and</w:t>
      </w:r>
    </w:p>
    <w:p>
      <w:pPr>
        <w:spacing w:after="0" w:line="182" w:lineRule="exact"/>
        <w:rPr>
          <w:rFonts w:ascii="Arial" w:cs="Arial" w:eastAsia="Arial" w:hAnsi="Arial"/>
          <w:sz w:val="17"/>
          <w:szCs w:val="17"/>
          <w:color w:val="auto"/>
        </w:rPr>
      </w:pPr>
    </w:p>
    <w:p>
      <w:pPr>
        <w:ind w:left="480" w:hanging="310"/>
        <w:spacing w:after="0"/>
        <w:tabs>
          <w:tab w:leader="none" w:pos="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strong cash flows in 2020 leading to lower overall debt levels.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3" w:lineRule="exact"/>
        <w:rPr>
          <w:sz w:val="20"/>
          <w:szCs w:val="20"/>
          <w:color w:val="auto"/>
        </w:rPr>
      </w:pPr>
    </w:p>
    <w:p>
      <w:pPr>
        <w:ind w:right="720"/>
        <w:spacing w:after="0" w:line="260" w:lineRule="auto"/>
        <w:rPr>
          <w:sz w:val="20"/>
          <w:szCs w:val="20"/>
          <w:color w:val="auto"/>
        </w:rPr>
      </w:pPr>
      <w:r>
        <w:rPr>
          <w:rFonts w:ascii="Arial" w:cs="Arial" w:eastAsia="Arial" w:hAnsi="Arial"/>
          <w:sz w:val="18"/>
          <w:szCs w:val="18"/>
          <w:i w:val="1"/>
          <w:iCs w:val="1"/>
          <w:color w:val="auto"/>
        </w:rPr>
        <w:t>The 1.7 and 5.7 percentage point increases in the effective tax rate in the third quarter and first nine months, respectively, of 2020 from 2019 were primarily driven b</w:t>
      </w:r>
      <w:r>
        <w:rPr>
          <w:rFonts w:ascii="Arial" w:cs="Arial" w:eastAsia="Arial" w:hAnsi="Arial"/>
          <w:sz w:val="18"/>
          <w:szCs w:val="18"/>
          <w:color w:val="auto"/>
        </w:rPr>
        <w:t>y:</w:t>
      </w:r>
    </w:p>
    <w:p>
      <w:pPr>
        <w:spacing w:after="0" w:line="118" w:lineRule="exact"/>
        <w:rPr>
          <w:sz w:val="20"/>
          <w:szCs w:val="20"/>
          <w:color w:val="auto"/>
        </w:rPr>
      </w:pPr>
    </w:p>
    <w:p>
      <w:pPr>
        <w:ind w:left="660" w:right="18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unfavorable impact of discrete items, including items related to the CARES Act, and items related to final regulations as part of the Tax Cuts and Jobs Act of 2017 that place limitations on the deductibility of certain interest expense for U.S. tax purposes.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These increases were partially offset by:</w:t>
      </w:r>
    </w:p>
    <w:p>
      <w:pPr>
        <w:spacing w:after="0" w:line="144"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favorable mix of global earnings.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OF OPERATIONS</w:t>
      </w:r>
    </w:p>
    <w:p>
      <w:pPr>
        <w:spacing w:after="0" w:line="27" w:lineRule="exact"/>
        <w:rPr>
          <w:sz w:val="20"/>
          <w:szCs w:val="20"/>
          <w:color w:val="auto"/>
        </w:rPr>
      </w:pPr>
    </w:p>
    <w:p>
      <w:pPr>
        <w:ind w:right="300"/>
        <w:spacing w:after="0" w:line="260" w:lineRule="auto"/>
        <w:rPr>
          <w:sz w:val="20"/>
          <w:szCs w:val="20"/>
          <w:color w:val="auto"/>
        </w:rPr>
      </w:pPr>
      <w:r>
        <w:rPr>
          <w:rFonts w:ascii="Arial" w:cs="Arial" w:eastAsia="Arial" w:hAnsi="Arial"/>
          <w:sz w:val="18"/>
          <w:szCs w:val="18"/>
          <w:color w:val="auto"/>
        </w:rPr>
        <w:t>The summary that follows provides a discussion of the results of operations of our two reportable segments (Consumer Solutions and Industrial &amp; Flow Technologies). Each of these segments is comprised of various product offerings that serve multiple end users.</w:t>
      </w:r>
    </w:p>
    <w:p>
      <w:pPr>
        <w:spacing w:after="0" w:line="212"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We evaluate performance based on net sales and segment income and use a variety of ratios to measure performance of our reporting segments. Segment income represents equity income of unconsolidated subsidiaries and operating income exclusive of intangible amortization, certain acquisition related expenses, costs of restructuring activities, impairments and other unusual non-operating items.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Consumer Solutions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net sales and segment income for Consumer Solutions were as follows: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60" w:type="dxa"/>
            <w:vAlign w:val="bottom"/>
            <w:gridSpan w:val="3"/>
          </w:tcPr>
          <w:p>
            <w:pPr>
              <w:jc w:val="right"/>
              <w:ind w:right="49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20" w:type="dxa"/>
            <w:vAlign w:val="bottom"/>
            <w:gridSpan w:val="3"/>
          </w:tcPr>
          <w:p>
            <w:pPr>
              <w:jc w:val="right"/>
              <w:ind w:right="510"/>
              <w:spacing w:after="0"/>
              <w:rPr>
                <w:sz w:val="20"/>
                <w:szCs w:val="20"/>
                <w:color w:val="auto"/>
              </w:rPr>
            </w:pPr>
            <w:r>
              <w:rPr>
                <w:rFonts w:ascii="Arial" w:cs="Arial" w:eastAsia="Arial" w:hAnsi="Arial"/>
                <w:sz w:val="18"/>
                <w:szCs w:val="18"/>
                <w:b w:val="1"/>
                <w:bCs w:val="1"/>
                <w:color w:val="auto"/>
              </w:rPr>
              <w:t>Nine months ended</w:t>
            </w: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7"/>
        </w:trPr>
        <w:tc>
          <w:tcPr>
            <w:tcW w:w="23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gridSpan w:val="2"/>
          </w:tcPr>
          <w:p>
            <w:pPr>
              <w:spacing w:after="0"/>
              <w:rPr>
                <w:sz w:val="2"/>
                <w:szCs w:val="2"/>
                <w:color w:val="auto"/>
              </w:rPr>
            </w:pPr>
          </w:p>
        </w:tc>
      </w:tr>
      <w:tr>
        <w:trPr>
          <w:trHeight w:val="218"/>
        </w:trPr>
        <w:tc>
          <w:tcPr>
            <w:tcW w:w="2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w w:val="92"/>
              </w:rPr>
              <w:t>September 30,</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w w:val="92"/>
              </w:rPr>
              <w:t>September 30,</w:t>
            </w:r>
          </w:p>
        </w:tc>
        <w:tc>
          <w:tcPr>
            <w:tcW w:w="200" w:type="dxa"/>
            <w:vAlign w:val="bottom"/>
          </w:tcPr>
          <w:p>
            <w:pPr>
              <w:spacing w:after="0"/>
              <w:rPr>
                <w:sz w:val="18"/>
                <w:szCs w:val="18"/>
                <w:color w:val="auto"/>
              </w:rPr>
            </w:pPr>
          </w:p>
        </w:tc>
        <w:tc>
          <w:tcPr>
            <w:tcW w:w="1580" w:type="dxa"/>
            <w:vAlign w:val="bottom"/>
            <w:gridSpan w:val="3"/>
          </w:tcPr>
          <w:p>
            <w:pPr>
              <w:ind w:left="360"/>
              <w:spacing w:after="0"/>
              <w:rPr>
                <w:sz w:val="20"/>
                <w:szCs w:val="20"/>
                <w:color w:val="auto"/>
              </w:rPr>
            </w:pPr>
            <w:r>
              <w:rPr>
                <w:rFonts w:ascii="Arial" w:cs="Arial" w:eastAsia="Arial" w:hAnsi="Arial"/>
                <w:sz w:val="18"/>
                <w:szCs w:val="18"/>
                <w:b w:val="1"/>
                <w:bCs w:val="1"/>
                <w:color w:val="auto"/>
              </w:rPr>
              <w:t>% / Point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w w:val="92"/>
              </w:rPr>
              <w:t>September 30,</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w w:val="92"/>
              </w:rPr>
              <w:t>September 30,</w:t>
            </w:r>
          </w:p>
        </w:tc>
        <w:tc>
          <w:tcPr>
            <w:tcW w:w="200" w:type="dxa"/>
            <w:vAlign w:val="bottom"/>
          </w:tcPr>
          <w:p>
            <w:pPr>
              <w:spacing w:after="0"/>
              <w:rPr>
                <w:sz w:val="18"/>
                <w:szCs w:val="18"/>
                <w:color w:val="auto"/>
              </w:rPr>
            </w:pPr>
          </w:p>
        </w:tc>
        <w:tc>
          <w:tcPr>
            <w:tcW w:w="128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 / Point</w:t>
            </w:r>
          </w:p>
        </w:tc>
      </w:tr>
      <w:tr>
        <w:trPr>
          <w:trHeight w:val="234"/>
        </w:trPr>
        <w:tc>
          <w:tcPr>
            <w:tcW w:w="2300" w:type="dxa"/>
            <w:vAlign w:val="bottom"/>
          </w:tcPr>
          <w:p>
            <w:pPr>
              <w:ind w:left="20"/>
              <w:spacing w:after="0"/>
              <w:rPr>
                <w:sz w:val="20"/>
                <w:szCs w:val="20"/>
                <w:color w:val="auto"/>
              </w:rPr>
            </w:pPr>
            <w:r>
              <w:rPr>
                <w:rFonts w:ascii="Arial" w:cs="Arial" w:eastAsia="Arial" w:hAnsi="Arial"/>
                <w:sz w:val="18"/>
                <w:szCs w:val="18"/>
                <w:i w:val="1"/>
                <w:iCs w:val="1"/>
                <w:color w:val="auto"/>
              </w:rPr>
              <w:t>In millions</w:t>
            </w:r>
          </w:p>
        </w:tc>
        <w:tc>
          <w:tcPr>
            <w:tcW w:w="180" w:type="dxa"/>
            <w:vAlign w:val="bottom"/>
          </w:tcPr>
          <w:p>
            <w:pPr>
              <w:spacing w:after="0"/>
              <w:rPr>
                <w:sz w:val="20"/>
                <w:szCs w:val="20"/>
                <w:color w:val="auto"/>
              </w:rPr>
            </w:pPr>
          </w:p>
        </w:tc>
        <w:tc>
          <w:tcPr>
            <w:tcW w:w="1180" w:type="dxa"/>
            <w:vAlign w:val="bottom"/>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380" w:type="dxa"/>
            <w:vAlign w:val="bottom"/>
          </w:tcPr>
          <w:p>
            <w:pPr>
              <w:spacing w:after="0"/>
              <w:rPr>
                <w:sz w:val="20"/>
                <w:szCs w:val="20"/>
                <w:color w:val="auto"/>
              </w:rPr>
            </w:pPr>
          </w:p>
        </w:tc>
        <w:tc>
          <w:tcPr>
            <w:tcW w:w="12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Change</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360" w:type="dxa"/>
            <w:vAlign w:val="bottom"/>
          </w:tcPr>
          <w:p>
            <w:pPr>
              <w:spacing w:after="0"/>
              <w:rPr>
                <w:sz w:val="20"/>
                <w:szCs w:val="20"/>
                <w:color w:val="auto"/>
              </w:rPr>
            </w:pPr>
          </w:p>
        </w:tc>
        <w:tc>
          <w:tcPr>
            <w:tcW w:w="11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Change</w:t>
            </w:r>
          </w:p>
        </w:tc>
        <w:tc>
          <w:tcPr>
            <w:tcW w:w="260" w:type="dxa"/>
            <w:vAlign w:val="bottom"/>
          </w:tcPr>
          <w:p>
            <w:pPr>
              <w:spacing w:after="0"/>
              <w:rPr>
                <w:sz w:val="20"/>
                <w:szCs w:val="20"/>
                <w:color w:val="auto"/>
              </w:rPr>
            </w:pPr>
          </w:p>
        </w:tc>
      </w:tr>
      <w:tr>
        <w:trPr>
          <w:trHeight w:val="27"/>
        </w:trPr>
        <w:tc>
          <w:tcPr>
            <w:tcW w:w="2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243"/>
        </w:trPr>
        <w:tc>
          <w:tcPr>
            <w:tcW w:w="2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470.8</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377.0</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5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  $</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1,260.8</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1,172.3</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30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113.8</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81.9</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38.9</w:t>
            </w:r>
          </w:p>
        </w:tc>
        <w:tc>
          <w:tcPr>
            <w:tcW w:w="380" w:type="dxa"/>
            <w:vAlign w:val="bottom"/>
          </w:tcPr>
          <w:p>
            <w:pPr>
              <w:ind w:lef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295.3</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266.1</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50"/>
        </w:trPr>
        <w:tc>
          <w:tcPr>
            <w:tcW w:w="23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i w:val="1"/>
                <w:iCs w:val="1"/>
                <w:color w:val="auto"/>
              </w:rPr>
              <w:t>% of net sales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24.2</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i w:val="1"/>
                <w:iCs w:val="1"/>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21.7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2.5</w:t>
            </w:r>
          </w:p>
        </w:tc>
        <w:tc>
          <w:tcPr>
            <w:tcW w:w="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pts</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23.4</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i w:val="1"/>
                <w:iCs w:val="1"/>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22.7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91"/>
              </w:rPr>
              <w:t>pts</w:t>
            </w:r>
          </w:p>
        </w:tc>
      </w:tr>
      <w:tr>
        <w:trPr>
          <w:trHeight w:val="364"/>
        </w:trPr>
        <w:tc>
          <w:tcPr>
            <w:tcW w:w="2300" w:type="dxa"/>
            <w:vAlign w:val="bottom"/>
          </w:tcPr>
          <w:p>
            <w:pPr>
              <w:spacing w:after="0"/>
              <w:rPr>
                <w:sz w:val="20"/>
                <w:szCs w:val="20"/>
                <w:color w:val="auto"/>
              </w:rPr>
            </w:pPr>
            <w:r>
              <w:rPr>
                <w:rFonts w:ascii="Arial" w:cs="Arial" w:eastAsia="Arial" w:hAnsi="Arial"/>
                <w:sz w:val="18"/>
                <w:szCs w:val="18"/>
                <w:b w:val="1"/>
                <w:bCs w:val="1"/>
                <w:i w:val="1"/>
                <w:iCs w:val="1"/>
                <w:color w:val="auto"/>
              </w:rPr>
              <w:t>Net sales</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30"/>
        </w:trPr>
        <w:tc>
          <w:tcPr>
            <w:tcW w:w="8200" w:type="dxa"/>
            <w:vAlign w:val="bottom"/>
            <w:gridSpan w:val="10"/>
          </w:tcPr>
          <w:p>
            <w:pPr>
              <w:spacing w:after="0"/>
              <w:rPr>
                <w:sz w:val="20"/>
                <w:szCs w:val="20"/>
                <w:color w:val="auto"/>
              </w:rPr>
            </w:pPr>
            <w:r>
              <w:rPr>
                <w:rFonts w:ascii="Arial" w:cs="Arial" w:eastAsia="Arial" w:hAnsi="Arial"/>
                <w:sz w:val="18"/>
                <w:szCs w:val="18"/>
                <w:color w:val="auto"/>
              </w:rPr>
              <w:t>The components of the change in Consumer Solutions net sales from the prior period were as follows:</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60" w:type="dxa"/>
            <w:vAlign w:val="bottom"/>
          </w:tcPr>
          <w:p>
            <w:pPr>
              <w:spacing w:after="0"/>
              <w:rPr>
                <w:sz w:val="20"/>
                <w:szCs w:val="20"/>
                <w:color w:val="auto"/>
              </w:rPr>
            </w:pPr>
          </w:p>
        </w:tc>
        <w:tc>
          <w:tcPr>
            <w:tcW w:w="4680" w:type="dxa"/>
            <w:vAlign w:val="bottom"/>
          </w:tcPr>
          <w:p>
            <w:pPr>
              <w:jc w:val="right"/>
              <w:ind w:right="150"/>
              <w:spacing w:after="0"/>
              <w:rPr>
                <w:sz w:val="20"/>
                <w:szCs w:val="20"/>
                <w:color w:val="auto"/>
              </w:rPr>
            </w:pPr>
            <w:r>
              <w:rPr>
                <w:rFonts w:ascii="Arial" w:cs="Arial" w:eastAsia="Arial" w:hAnsi="Arial"/>
                <w:sz w:val="18"/>
                <w:szCs w:val="18"/>
                <w:b w:val="1"/>
                <w:bCs w:val="1"/>
                <w:color w:val="auto"/>
              </w:rPr>
              <w:t>Three months ended September 30, 2020</w:t>
            </w:r>
          </w:p>
        </w:tc>
        <w:tc>
          <w:tcPr>
            <w:tcW w:w="440" w:type="dxa"/>
            <w:vAlign w:val="bottom"/>
          </w:tcPr>
          <w:p>
            <w:pPr>
              <w:spacing w:after="0"/>
              <w:rPr>
                <w:sz w:val="20"/>
                <w:szCs w:val="20"/>
                <w:color w:val="auto"/>
              </w:rPr>
            </w:pPr>
          </w:p>
        </w:tc>
        <w:tc>
          <w:tcPr>
            <w:tcW w:w="3580" w:type="dxa"/>
            <w:vAlign w:val="bottom"/>
          </w:tcPr>
          <w:p>
            <w:pPr>
              <w:ind w:left="240"/>
              <w:spacing w:after="0"/>
              <w:rPr>
                <w:sz w:val="20"/>
                <w:szCs w:val="20"/>
                <w:color w:val="auto"/>
              </w:rPr>
            </w:pPr>
            <w:r>
              <w:rPr>
                <w:rFonts w:ascii="Arial" w:cs="Arial" w:eastAsia="Arial" w:hAnsi="Arial"/>
                <w:sz w:val="18"/>
                <w:szCs w:val="18"/>
                <w:b w:val="1"/>
                <w:bCs w:val="1"/>
                <w:color w:val="auto"/>
                <w:w w:val="97"/>
              </w:rPr>
              <w:t>Nine months ended September 30, 2020</w:t>
            </w:r>
          </w:p>
        </w:tc>
        <w:tc>
          <w:tcPr>
            <w:tcW w:w="180" w:type="dxa"/>
            <w:vAlign w:val="bottom"/>
          </w:tcPr>
          <w:p>
            <w:pPr>
              <w:spacing w:after="0"/>
              <w:rPr>
                <w:sz w:val="20"/>
                <w:szCs w:val="20"/>
                <w:color w:val="auto"/>
              </w:rPr>
            </w:pPr>
          </w:p>
        </w:tc>
      </w:tr>
      <w:tr>
        <w:trPr>
          <w:trHeight w:val="270"/>
        </w:trPr>
        <w:tc>
          <w:tcPr>
            <w:tcW w:w="2360" w:type="dxa"/>
            <w:vAlign w:val="bottom"/>
          </w:tcPr>
          <w:p>
            <w:pPr>
              <w:spacing w:after="0"/>
              <w:rPr>
                <w:sz w:val="23"/>
                <w:szCs w:val="23"/>
                <w:color w:val="auto"/>
              </w:rPr>
            </w:pPr>
          </w:p>
        </w:tc>
        <w:tc>
          <w:tcPr>
            <w:tcW w:w="4680" w:type="dxa"/>
            <w:vAlign w:val="bottom"/>
          </w:tcPr>
          <w:p>
            <w:pPr>
              <w:jc w:val="right"/>
              <w:ind w:right="710"/>
              <w:spacing w:after="0"/>
              <w:rPr>
                <w:sz w:val="20"/>
                <w:szCs w:val="20"/>
                <w:color w:val="auto"/>
              </w:rPr>
            </w:pPr>
            <w:r>
              <w:rPr>
                <w:rFonts w:ascii="Arial" w:cs="Arial" w:eastAsia="Arial" w:hAnsi="Arial"/>
                <w:sz w:val="18"/>
                <w:szCs w:val="18"/>
                <w:b w:val="1"/>
                <w:bCs w:val="1"/>
                <w:color w:val="auto"/>
              </w:rPr>
              <w:t>over the prior year period</w:t>
            </w:r>
          </w:p>
        </w:tc>
        <w:tc>
          <w:tcPr>
            <w:tcW w:w="440" w:type="dxa"/>
            <w:vAlign w:val="bottom"/>
          </w:tcPr>
          <w:p>
            <w:pPr>
              <w:spacing w:after="0"/>
              <w:rPr>
                <w:sz w:val="23"/>
                <w:szCs w:val="23"/>
                <w:color w:val="auto"/>
              </w:rPr>
            </w:pPr>
          </w:p>
        </w:tc>
        <w:tc>
          <w:tcPr>
            <w:tcW w:w="3580" w:type="dxa"/>
            <w:vAlign w:val="bottom"/>
          </w:tcPr>
          <w:p>
            <w:pPr>
              <w:ind w:left="760"/>
              <w:spacing w:after="0"/>
              <w:rPr>
                <w:sz w:val="20"/>
                <w:szCs w:val="20"/>
                <w:color w:val="auto"/>
              </w:rPr>
            </w:pPr>
            <w:r>
              <w:rPr>
                <w:rFonts w:ascii="Arial" w:cs="Arial" w:eastAsia="Arial" w:hAnsi="Arial"/>
                <w:sz w:val="18"/>
                <w:szCs w:val="18"/>
                <w:b w:val="1"/>
                <w:bCs w:val="1"/>
                <w:color w:val="auto"/>
              </w:rPr>
              <w:t>over the prior year period</w:t>
            </w:r>
          </w:p>
        </w:tc>
        <w:tc>
          <w:tcPr>
            <w:tcW w:w="180" w:type="dxa"/>
            <w:vAlign w:val="bottom"/>
          </w:tcPr>
          <w:p>
            <w:pPr>
              <w:spacing w:after="0"/>
              <w:rPr>
                <w:sz w:val="23"/>
                <w:szCs w:val="23"/>
                <w:color w:val="auto"/>
              </w:rPr>
            </w:pPr>
          </w:p>
        </w:tc>
      </w:tr>
      <w:tr>
        <w:trPr>
          <w:trHeight w:val="27"/>
        </w:trPr>
        <w:tc>
          <w:tcPr>
            <w:tcW w:w="2360" w:type="dxa"/>
            <w:vAlign w:val="bottom"/>
            <w:tcBorders>
              <w:bottom w:val="single" w:sz="8" w:color="auto"/>
            </w:tcBorders>
          </w:tcPr>
          <w:p>
            <w:pPr>
              <w:spacing w:after="0"/>
              <w:rPr>
                <w:sz w:val="2"/>
                <w:szCs w:val="2"/>
                <w:color w:val="auto"/>
              </w:rPr>
            </w:pPr>
          </w:p>
        </w:tc>
        <w:tc>
          <w:tcPr>
            <w:tcW w:w="5120" w:type="dxa"/>
            <w:vAlign w:val="bottom"/>
            <w:tcBorders>
              <w:bottom w:val="single" w:sz="8" w:color="auto"/>
            </w:tcBorders>
            <w:gridSpan w:val="2"/>
          </w:tcPr>
          <w:p>
            <w:pPr>
              <w:spacing w:after="0"/>
              <w:rPr>
                <w:sz w:val="2"/>
                <w:szCs w:val="2"/>
                <w:color w:val="auto"/>
              </w:rPr>
            </w:pPr>
          </w:p>
        </w:tc>
        <w:tc>
          <w:tcPr>
            <w:tcW w:w="3760" w:type="dxa"/>
            <w:vAlign w:val="bottom"/>
            <w:tcBorders>
              <w:bottom w:val="single" w:sz="8" w:color="auto"/>
            </w:tcBorders>
            <w:gridSpan w:val="2"/>
          </w:tcPr>
          <w:p>
            <w:pPr>
              <w:spacing w:after="0"/>
              <w:rPr>
                <w:sz w:val="2"/>
                <w:szCs w:val="2"/>
                <w:color w:val="auto"/>
              </w:rPr>
            </w:pPr>
          </w:p>
        </w:tc>
      </w:tr>
      <w:tr>
        <w:trPr>
          <w:trHeight w:val="243"/>
        </w:trPr>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Volume</w:t>
            </w:r>
          </w:p>
        </w:tc>
        <w:tc>
          <w:tcPr>
            <w:tcW w:w="512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23.1 %</w:t>
            </w:r>
          </w:p>
        </w:tc>
        <w:tc>
          <w:tcPr>
            <w:tcW w:w="3760" w:type="dxa"/>
            <w:vAlign w:val="bottom"/>
            <w:tcBorders>
              <w:bottom w:val="single" w:sz="8" w:color="CCEEFF"/>
            </w:tcBorders>
            <w:gridSpan w:val="2"/>
            <w:shd w:val="clear" w:color="auto" w:fill="CCEEFF"/>
          </w:tcPr>
          <w:p>
            <w:pPr>
              <w:ind w:left="3300"/>
              <w:spacing w:after="0"/>
              <w:rPr>
                <w:sz w:val="20"/>
                <w:szCs w:val="20"/>
                <w:color w:val="auto"/>
              </w:rPr>
            </w:pPr>
            <w:r>
              <w:rPr>
                <w:rFonts w:ascii="Arial" w:cs="Arial" w:eastAsia="Arial" w:hAnsi="Arial"/>
                <w:sz w:val="18"/>
                <w:szCs w:val="18"/>
                <w:color w:val="auto"/>
                <w:w w:val="95"/>
              </w:rPr>
              <w:t>5.6 %</w:t>
            </w:r>
          </w:p>
        </w:tc>
      </w:tr>
      <w:tr>
        <w:trPr>
          <w:trHeight w:val="243"/>
        </w:trPr>
        <w:tc>
          <w:tcPr>
            <w:tcW w:w="2360" w:type="dxa"/>
            <w:vAlign w:val="bottom"/>
          </w:tcPr>
          <w:p>
            <w:pPr>
              <w:ind w:left="20"/>
              <w:spacing w:after="0"/>
              <w:rPr>
                <w:sz w:val="20"/>
                <w:szCs w:val="20"/>
                <w:color w:val="auto"/>
              </w:rPr>
            </w:pPr>
            <w:r>
              <w:rPr>
                <w:rFonts w:ascii="Arial" w:cs="Arial" w:eastAsia="Arial" w:hAnsi="Arial"/>
                <w:sz w:val="18"/>
                <w:szCs w:val="18"/>
                <w:color w:val="auto"/>
              </w:rPr>
              <w:t>Price</w:t>
            </w:r>
          </w:p>
        </w:tc>
        <w:tc>
          <w:tcPr>
            <w:tcW w:w="4680" w:type="dxa"/>
            <w:vAlign w:val="bottom"/>
          </w:tcPr>
          <w:p>
            <w:pPr>
              <w:jc w:val="right"/>
              <w:spacing w:after="0"/>
              <w:rPr>
                <w:sz w:val="20"/>
                <w:szCs w:val="20"/>
                <w:color w:val="auto"/>
              </w:rPr>
            </w:pPr>
            <w:r>
              <w:rPr>
                <w:rFonts w:ascii="Arial" w:cs="Arial" w:eastAsia="Arial" w:hAnsi="Arial"/>
                <w:sz w:val="18"/>
                <w:szCs w:val="18"/>
                <w:color w:val="auto"/>
              </w:rPr>
              <w:t>0.3</w:t>
            </w:r>
          </w:p>
        </w:tc>
        <w:tc>
          <w:tcPr>
            <w:tcW w:w="440" w:type="dxa"/>
            <w:vAlign w:val="bottom"/>
          </w:tcPr>
          <w:p>
            <w:pPr>
              <w:spacing w:after="0"/>
              <w:rPr>
                <w:sz w:val="21"/>
                <w:szCs w:val="21"/>
                <w:color w:val="auto"/>
              </w:rPr>
            </w:pPr>
          </w:p>
        </w:tc>
        <w:tc>
          <w:tcPr>
            <w:tcW w:w="3580" w:type="dxa"/>
            <w:vAlign w:val="bottom"/>
          </w:tcPr>
          <w:p>
            <w:pPr>
              <w:ind w:left="330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21"/>
                <w:szCs w:val="21"/>
                <w:color w:val="auto"/>
              </w:rPr>
            </w:pPr>
          </w:p>
        </w:tc>
      </w:tr>
      <w:tr>
        <w:trPr>
          <w:trHeight w:val="27"/>
        </w:trPr>
        <w:tc>
          <w:tcPr>
            <w:tcW w:w="2360" w:type="dxa"/>
            <w:vAlign w:val="bottom"/>
            <w:tcBorders>
              <w:bottom w:val="single" w:sz="8" w:color="auto"/>
            </w:tcBorders>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44"/>
        </w:trPr>
        <w:tc>
          <w:tcPr>
            <w:tcW w:w="2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Core growth</w:t>
            </w:r>
          </w:p>
        </w:tc>
        <w:tc>
          <w:tcPr>
            <w:tcW w:w="4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440" w:type="dxa"/>
            <w:vAlign w:val="bottom"/>
            <w:tcBorders>
              <w:bottom w:val="single" w:sz="8" w:color="CCEEFF"/>
            </w:tcBorders>
            <w:shd w:val="clear" w:color="auto" w:fill="CCEEFF"/>
          </w:tcPr>
          <w:p>
            <w:pPr>
              <w:spacing w:after="0"/>
              <w:rPr>
                <w:sz w:val="21"/>
                <w:szCs w:val="21"/>
                <w:color w:val="auto"/>
              </w:rPr>
            </w:pPr>
          </w:p>
        </w:tc>
        <w:tc>
          <w:tcPr>
            <w:tcW w:w="3580" w:type="dxa"/>
            <w:vAlign w:val="bottom"/>
            <w:tcBorders>
              <w:bottom w:val="single" w:sz="8" w:color="CCEEFF"/>
            </w:tcBorders>
            <w:shd w:val="clear" w:color="auto" w:fill="CCEEFF"/>
          </w:tcPr>
          <w:p>
            <w:pPr>
              <w:ind w:left="3300"/>
              <w:spacing w:after="0"/>
              <w:rPr>
                <w:sz w:val="20"/>
                <w:szCs w:val="20"/>
                <w:color w:val="auto"/>
              </w:rPr>
            </w:pPr>
            <w:r>
              <w:rPr>
                <w:rFonts w:ascii="Arial" w:cs="Arial" w:eastAsia="Arial" w:hAnsi="Arial"/>
                <w:sz w:val="18"/>
                <w:szCs w:val="18"/>
                <w:color w:val="auto"/>
              </w:rPr>
              <w:t>6.6</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2360" w:type="dxa"/>
            <w:vAlign w:val="bottom"/>
          </w:tcPr>
          <w:p>
            <w:pPr>
              <w:ind w:left="20"/>
              <w:spacing w:after="0"/>
              <w:rPr>
                <w:sz w:val="20"/>
                <w:szCs w:val="20"/>
                <w:color w:val="auto"/>
              </w:rPr>
            </w:pPr>
            <w:r>
              <w:rPr>
                <w:rFonts w:ascii="Arial" w:cs="Arial" w:eastAsia="Arial" w:hAnsi="Arial"/>
                <w:sz w:val="18"/>
                <w:szCs w:val="18"/>
                <w:color w:val="auto"/>
              </w:rPr>
              <w:t>Acquisition</w:t>
            </w:r>
          </w:p>
        </w:tc>
        <w:tc>
          <w:tcPr>
            <w:tcW w:w="4680" w:type="dxa"/>
            <w:vAlign w:val="bottom"/>
          </w:tcPr>
          <w:p>
            <w:pPr>
              <w:jc w:val="right"/>
              <w:spacing w:after="0"/>
              <w:rPr>
                <w:sz w:val="20"/>
                <w:szCs w:val="20"/>
                <w:color w:val="auto"/>
              </w:rPr>
            </w:pPr>
            <w:r>
              <w:rPr>
                <w:rFonts w:ascii="Arial" w:cs="Arial" w:eastAsia="Arial" w:hAnsi="Arial"/>
                <w:sz w:val="18"/>
                <w:szCs w:val="18"/>
                <w:color w:val="auto"/>
              </w:rPr>
              <w:t>1.0</w:t>
            </w:r>
          </w:p>
        </w:tc>
        <w:tc>
          <w:tcPr>
            <w:tcW w:w="440" w:type="dxa"/>
            <w:vAlign w:val="bottom"/>
          </w:tcPr>
          <w:p>
            <w:pPr>
              <w:spacing w:after="0"/>
              <w:rPr>
                <w:sz w:val="21"/>
                <w:szCs w:val="21"/>
                <w:color w:val="auto"/>
              </w:rPr>
            </w:pPr>
          </w:p>
        </w:tc>
        <w:tc>
          <w:tcPr>
            <w:tcW w:w="3580" w:type="dxa"/>
            <w:vAlign w:val="bottom"/>
          </w:tcPr>
          <w:p>
            <w:pPr>
              <w:ind w:left="330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21"/>
                <w:szCs w:val="21"/>
                <w:color w:val="auto"/>
              </w:rPr>
            </w:pPr>
          </w:p>
        </w:tc>
      </w:tr>
      <w:tr>
        <w:trPr>
          <w:trHeight w:val="27"/>
        </w:trPr>
        <w:tc>
          <w:tcPr>
            <w:tcW w:w="2360" w:type="dxa"/>
            <w:vAlign w:val="bottom"/>
          </w:tcPr>
          <w:p>
            <w:pPr>
              <w:spacing w:after="0"/>
              <w:rPr>
                <w:sz w:val="2"/>
                <w:szCs w:val="2"/>
                <w:color w:val="auto"/>
              </w:rPr>
            </w:pPr>
          </w:p>
        </w:tc>
        <w:tc>
          <w:tcPr>
            <w:tcW w:w="4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75"/>
        </w:trPr>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Currency</w:t>
            </w:r>
          </w:p>
        </w:tc>
        <w:tc>
          <w:tcPr>
            <w:tcW w:w="4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440" w:type="dxa"/>
            <w:vAlign w:val="bottom"/>
            <w:tcBorders>
              <w:bottom w:val="single" w:sz="8" w:color="CCEEFF"/>
            </w:tcBorders>
            <w:shd w:val="clear" w:color="auto" w:fill="CCEEFF"/>
          </w:tcPr>
          <w:p>
            <w:pPr>
              <w:spacing w:after="0"/>
              <w:rPr>
                <w:sz w:val="23"/>
                <w:szCs w:val="23"/>
                <w:color w:val="auto"/>
              </w:rPr>
            </w:pPr>
          </w:p>
        </w:tc>
        <w:tc>
          <w:tcPr>
            <w:tcW w:w="3580" w:type="dxa"/>
            <w:vAlign w:val="bottom"/>
            <w:tcBorders>
              <w:bottom w:val="single" w:sz="8" w:color="CCEEFF"/>
            </w:tcBorders>
            <w:shd w:val="clear" w:color="auto" w:fill="CCEEFF"/>
          </w:tcPr>
          <w:p>
            <w:pPr>
              <w:ind w:left="3220"/>
              <w:spacing w:after="0"/>
              <w:rPr>
                <w:sz w:val="20"/>
                <w:szCs w:val="20"/>
                <w:color w:val="auto"/>
              </w:rPr>
            </w:pPr>
            <w:r>
              <w:rPr>
                <w:rFonts w:ascii="Arial" w:cs="Arial" w:eastAsia="Arial" w:hAnsi="Arial"/>
                <w:sz w:val="18"/>
                <w:szCs w:val="18"/>
                <w:color w:val="auto"/>
                <w:w w:val="91"/>
              </w:rPr>
              <w:t>(0.2)</w:t>
            </w:r>
          </w:p>
        </w:tc>
        <w:tc>
          <w:tcPr>
            <w:tcW w:w="180" w:type="dxa"/>
            <w:vAlign w:val="bottom"/>
            <w:tcBorders>
              <w:bottom w:val="single" w:sz="8" w:color="CCEEFF"/>
            </w:tcBorders>
            <w:shd w:val="clear" w:color="auto" w:fill="CCEEFF"/>
          </w:tcPr>
          <w:p>
            <w:pPr>
              <w:spacing w:after="0"/>
              <w:rPr>
                <w:sz w:val="23"/>
                <w:szCs w:val="23"/>
                <w:color w:val="auto"/>
              </w:rPr>
            </w:pPr>
          </w:p>
        </w:tc>
      </w:tr>
      <w:tr>
        <w:trPr>
          <w:trHeight w:val="236"/>
        </w:trPr>
        <w:tc>
          <w:tcPr>
            <w:tcW w:w="23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4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4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3580" w:type="dxa"/>
            <w:vAlign w:val="bottom"/>
            <w:tcBorders>
              <w:top w:val="single" w:sz="8" w:color="auto"/>
            </w:tcBorders>
          </w:tcPr>
          <w:p>
            <w:pPr>
              <w:ind w:left="3300"/>
              <w:spacing w:after="0"/>
              <w:rPr>
                <w:sz w:val="20"/>
                <w:szCs w:val="20"/>
                <w:color w:val="auto"/>
              </w:rPr>
            </w:pPr>
            <w:r>
              <w:rPr>
                <w:rFonts w:ascii="Arial" w:cs="Arial" w:eastAsia="Arial" w:hAnsi="Arial"/>
                <w:sz w:val="18"/>
                <w:szCs w:val="18"/>
                <w:color w:val="auto"/>
              </w:rPr>
              <w:t>7.5</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w:t>
            </w:r>
          </w:p>
        </w:tc>
      </w:tr>
      <w:tr>
        <w:trPr>
          <w:trHeight w:val="27"/>
        </w:trPr>
        <w:tc>
          <w:tcPr>
            <w:tcW w:w="2360" w:type="dxa"/>
            <w:vAlign w:val="bottom"/>
            <w:tcBorders>
              <w:bottom w:val="single" w:sz="8" w:color="auto"/>
            </w:tcBorders>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0"/>
        </w:trPr>
        <w:tc>
          <w:tcPr>
            <w:tcW w:w="2360" w:type="dxa"/>
            <w:vAlign w:val="bottom"/>
            <w:tcBorders>
              <w:bottom w:val="single" w:sz="8" w:color="auto"/>
            </w:tcBorders>
          </w:tcPr>
          <w:p>
            <w:pPr>
              <w:spacing w:after="0" w:line="20" w:lineRule="exact"/>
              <w:rPr>
                <w:sz w:val="1"/>
                <w:szCs w:val="1"/>
                <w:color w:val="auto"/>
              </w:rPr>
            </w:pPr>
          </w:p>
        </w:tc>
        <w:tc>
          <w:tcPr>
            <w:tcW w:w="46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i w:val="1"/>
          <w:iCs w:val="1"/>
          <w:color w:val="auto"/>
        </w:rPr>
        <w:t xml:space="preserve">The 24.9 </w:t>
      </w:r>
      <w:r>
        <w:rPr>
          <w:rFonts w:ascii="Arial" w:cs="Arial" w:eastAsia="Arial" w:hAnsi="Arial"/>
          <w:sz w:val="18"/>
          <w:szCs w:val="18"/>
          <w:color w:val="auto"/>
        </w:rPr>
        <w:t>and</w:t>
      </w:r>
      <w:r>
        <w:rPr>
          <w:rFonts w:ascii="Arial" w:cs="Arial" w:eastAsia="Arial" w:hAnsi="Arial"/>
          <w:sz w:val="18"/>
          <w:szCs w:val="18"/>
          <w:i w:val="1"/>
          <w:iCs w:val="1"/>
          <w:color w:val="auto"/>
        </w:rPr>
        <w:t xml:space="preserve"> 7.5 percent increases in net sales for Consumer Solutions in the third quarter and first nine months, respectively, of 2020 from 2019 were primarily driven by:</w:t>
      </w:r>
    </w:p>
    <w:p>
      <w:pPr>
        <w:spacing w:after="0" w:line="116" w:lineRule="exact"/>
        <w:rPr>
          <w:sz w:val="20"/>
          <w:szCs w:val="20"/>
          <w:color w:val="auto"/>
        </w:rPr>
      </w:pPr>
    </w:p>
    <w:p>
      <w:pPr>
        <w:ind w:left="500" w:right="360" w:hanging="330"/>
        <w:spacing w:after="0" w:line="277" w:lineRule="auto"/>
        <w:tabs>
          <w:tab w:leader="none" w:pos="495"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increased sales volume across all product lines in our pool business in the first quarter of 2020 due to more normal weather patterns and reduced inventory levels in the channel compared to 2019;</w:t>
      </w:r>
    </w:p>
    <w:p>
      <w:pPr>
        <w:spacing w:after="0" w:line="116" w:lineRule="exact"/>
        <w:rPr>
          <w:rFonts w:ascii="Arial" w:cs="Arial" w:eastAsia="Arial" w:hAnsi="Arial"/>
          <w:sz w:val="18"/>
          <w:szCs w:val="18"/>
          <w:color w:val="auto"/>
        </w:rPr>
      </w:pPr>
    </w:p>
    <w:p>
      <w:pPr>
        <w:ind w:left="500" w:right="120" w:hanging="330"/>
        <w:spacing w:after="0" w:line="277" w:lineRule="auto"/>
        <w:tabs>
          <w:tab w:leader="none" w:pos="495"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increased sales volume across several of the product lines in our pool business in the second and third quarters of 2020 due to consumers increasing their pool use while sheltering-in-place due to the COVID-19 pandemic;</w:t>
      </w:r>
    </w:p>
    <w:p>
      <w:pPr>
        <w:spacing w:after="0" w:line="116" w:lineRule="exact"/>
        <w:rPr>
          <w:rFonts w:ascii="Arial" w:cs="Arial" w:eastAsia="Arial" w:hAnsi="Arial"/>
          <w:sz w:val="18"/>
          <w:szCs w:val="18"/>
          <w:color w:val="auto"/>
        </w:rPr>
      </w:pPr>
    </w:p>
    <w:p>
      <w:pPr>
        <w:ind w:left="480" w:hanging="310"/>
        <w:spacing w:after="0"/>
        <w:tabs>
          <w:tab w:leader="none" w:pos="4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increased sales volumes in our residential filtration product lines in North America in the third quarter of 2020;</w:t>
      </w:r>
    </w:p>
    <w:p>
      <w:pPr>
        <w:spacing w:after="0" w:line="171" w:lineRule="exact"/>
        <w:rPr>
          <w:rFonts w:ascii="Arial" w:cs="Arial" w:eastAsia="Arial" w:hAnsi="Arial"/>
          <w:sz w:val="18"/>
          <w:szCs w:val="18"/>
          <w:color w:val="auto"/>
        </w:rPr>
      </w:pPr>
    </w:p>
    <w:p>
      <w:pPr>
        <w:ind w:left="480" w:hanging="310"/>
        <w:spacing w:after="0"/>
        <w:tabs>
          <w:tab w:leader="none" w:pos="4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impacts of inflation; and</w:t>
      </w:r>
    </w:p>
    <w:p>
      <w:pPr>
        <w:spacing w:after="0" w:line="171" w:lineRule="exact"/>
        <w:rPr>
          <w:rFonts w:ascii="Arial" w:cs="Arial" w:eastAsia="Arial" w:hAnsi="Arial"/>
          <w:sz w:val="18"/>
          <w:szCs w:val="18"/>
          <w:color w:val="auto"/>
        </w:rPr>
      </w:pPr>
    </w:p>
    <w:p>
      <w:pPr>
        <w:ind w:left="500" w:right="140" w:hanging="330"/>
        <w:spacing w:after="0" w:line="277" w:lineRule="auto"/>
        <w:tabs>
          <w:tab w:leader="none" w:pos="495"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increased sales due to the Aquion and Pelican acquisitions that occurred in February 2019 and other small acquisitions in the fourth quarter of 2019 and first nine months of 2020.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These increases were partially offset by:</w:t>
      </w:r>
    </w:p>
    <w:p>
      <w:pPr>
        <w:spacing w:after="0" w:line="171" w:lineRule="exact"/>
        <w:rPr>
          <w:sz w:val="20"/>
          <w:szCs w:val="20"/>
          <w:color w:val="auto"/>
        </w:rPr>
      </w:pPr>
    </w:p>
    <w:p>
      <w:pPr>
        <w:ind w:left="500" w:right="240" w:hanging="330"/>
        <w:spacing w:after="0" w:line="308" w:lineRule="auto"/>
        <w:tabs>
          <w:tab w:leader="none" w:pos="495" w:val="left"/>
        </w:tabs>
        <w:numPr>
          <w:ilvl w:val="0"/>
          <w:numId w:val="36"/>
        </w:numPr>
        <w:rPr>
          <w:rFonts w:ascii="Arial" w:cs="Arial" w:eastAsia="Arial" w:hAnsi="Arial"/>
          <w:sz w:val="17"/>
          <w:szCs w:val="17"/>
          <w:color w:val="auto"/>
        </w:rPr>
      </w:pPr>
      <w:r>
        <w:rPr>
          <w:rFonts w:ascii="Arial" w:cs="Arial" w:eastAsia="Arial" w:hAnsi="Arial"/>
          <w:sz w:val="17"/>
          <w:szCs w:val="17"/>
          <w:color w:val="auto"/>
        </w:rPr>
        <w:t>sales decreases for the first nine months of 2020 due to decreased demand in the water treatment business as government-mandated shutdown and shelter-in-place orders and commercial closures due to the COVID-19 pandemic impacting the ability to reach customers.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change in Consumer Solutions segment income as a percentage of net sales from the prior period were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80" w:type="dxa"/>
            <w:vAlign w:val="bottom"/>
          </w:tcPr>
          <w:p>
            <w:pPr>
              <w:spacing w:after="0"/>
              <w:rPr>
                <w:sz w:val="20"/>
                <w:szCs w:val="20"/>
                <w:color w:val="auto"/>
              </w:rPr>
            </w:pPr>
          </w:p>
        </w:tc>
        <w:tc>
          <w:tcPr>
            <w:tcW w:w="4440" w:type="dxa"/>
            <w:vAlign w:val="bottom"/>
          </w:tcPr>
          <w:p>
            <w:pPr>
              <w:jc w:val="center"/>
              <w:ind w:left="890"/>
              <w:spacing w:after="0"/>
              <w:rPr>
                <w:sz w:val="20"/>
                <w:szCs w:val="20"/>
                <w:color w:val="auto"/>
              </w:rPr>
            </w:pPr>
            <w:r>
              <w:rPr>
                <w:rFonts w:ascii="Arial" w:cs="Arial" w:eastAsia="Arial" w:hAnsi="Arial"/>
                <w:sz w:val="18"/>
                <w:szCs w:val="18"/>
                <w:b w:val="1"/>
                <w:bCs w:val="1"/>
                <w:color w:val="auto"/>
                <w:w w:val="89"/>
              </w:rPr>
              <w:t>Three months ended September 30, 2020</w:t>
            </w:r>
          </w:p>
        </w:tc>
        <w:tc>
          <w:tcPr>
            <w:tcW w:w="520" w:type="dxa"/>
            <w:vAlign w:val="bottom"/>
          </w:tcPr>
          <w:p>
            <w:pPr>
              <w:spacing w:after="0"/>
              <w:rPr>
                <w:sz w:val="20"/>
                <w:szCs w:val="20"/>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89"/>
              </w:rPr>
              <w:t>Nine months ended September 30, 2020</w:t>
            </w:r>
          </w:p>
        </w:tc>
        <w:tc>
          <w:tcPr>
            <w:tcW w:w="280" w:type="dxa"/>
            <w:vAlign w:val="bottom"/>
          </w:tcPr>
          <w:p>
            <w:pPr>
              <w:spacing w:after="0"/>
              <w:rPr>
                <w:sz w:val="20"/>
                <w:szCs w:val="20"/>
                <w:color w:val="auto"/>
              </w:rPr>
            </w:pPr>
          </w:p>
        </w:tc>
      </w:tr>
      <w:tr>
        <w:trPr>
          <w:trHeight w:val="270"/>
        </w:trPr>
        <w:tc>
          <w:tcPr>
            <w:tcW w:w="2480" w:type="dxa"/>
            <w:vAlign w:val="bottom"/>
          </w:tcPr>
          <w:p>
            <w:pPr>
              <w:spacing w:after="0"/>
              <w:rPr>
                <w:sz w:val="23"/>
                <w:szCs w:val="23"/>
                <w:color w:val="auto"/>
              </w:rPr>
            </w:pPr>
          </w:p>
        </w:tc>
        <w:tc>
          <w:tcPr>
            <w:tcW w:w="4440" w:type="dxa"/>
            <w:vAlign w:val="bottom"/>
          </w:tcPr>
          <w:p>
            <w:pPr>
              <w:jc w:val="center"/>
              <w:ind w:left="910"/>
              <w:spacing w:after="0"/>
              <w:rPr>
                <w:sz w:val="20"/>
                <w:szCs w:val="20"/>
                <w:color w:val="auto"/>
              </w:rPr>
            </w:pPr>
            <w:r>
              <w:rPr>
                <w:rFonts w:ascii="Arial" w:cs="Arial" w:eastAsia="Arial" w:hAnsi="Arial"/>
                <w:sz w:val="18"/>
                <w:szCs w:val="18"/>
                <w:b w:val="1"/>
                <w:bCs w:val="1"/>
                <w:color w:val="auto"/>
                <w:w w:val="91"/>
              </w:rPr>
              <w:t>over the prior year period</w:t>
            </w:r>
          </w:p>
        </w:tc>
        <w:tc>
          <w:tcPr>
            <w:tcW w:w="520" w:type="dxa"/>
            <w:vAlign w:val="bottom"/>
          </w:tcPr>
          <w:p>
            <w:pPr>
              <w:spacing w:after="0"/>
              <w:rPr>
                <w:sz w:val="23"/>
                <w:szCs w:val="23"/>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1"/>
              </w:rPr>
              <w:t>over the prior year period</w:t>
            </w:r>
          </w:p>
        </w:tc>
        <w:tc>
          <w:tcPr>
            <w:tcW w:w="280" w:type="dxa"/>
            <w:vAlign w:val="bottom"/>
          </w:tcPr>
          <w:p>
            <w:pPr>
              <w:spacing w:after="0"/>
              <w:rPr>
                <w:sz w:val="23"/>
                <w:szCs w:val="23"/>
                <w:color w:val="auto"/>
              </w:rPr>
            </w:pPr>
          </w:p>
        </w:tc>
      </w:tr>
      <w:tr>
        <w:trPr>
          <w:trHeight w:val="27"/>
        </w:trPr>
        <w:tc>
          <w:tcPr>
            <w:tcW w:w="248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r>
      <w:tr>
        <w:trPr>
          <w:trHeight w:val="243"/>
        </w:trPr>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Growth</w:t>
            </w:r>
          </w:p>
        </w:tc>
        <w:tc>
          <w:tcPr>
            <w:tcW w:w="4440" w:type="dxa"/>
            <w:vAlign w:val="bottom"/>
            <w:tcBorders>
              <w:bottom w:val="single" w:sz="8" w:color="CCEEFF"/>
            </w:tcBorders>
            <w:shd w:val="clear" w:color="auto" w:fill="CCEEFF"/>
          </w:tcPr>
          <w:p>
            <w:pPr>
              <w:jc w:val="center"/>
              <w:ind w:left="3930"/>
              <w:spacing w:after="0"/>
              <w:rPr>
                <w:sz w:val="20"/>
                <w:szCs w:val="20"/>
                <w:color w:val="auto"/>
              </w:rPr>
            </w:pPr>
            <w:r>
              <w:rPr>
                <w:rFonts w:ascii="Arial" w:cs="Arial" w:eastAsia="Arial" w:hAnsi="Arial"/>
                <w:sz w:val="18"/>
                <w:szCs w:val="18"/>
                <w:color w:val="auto"/>
                <w:w w:val="87"/>
              </w:rPr>
              <w:t>3.6</w:t>
            </w:r>
          </w:p>
        </w:tc>
        <w:tc>
          <w:tcPr>
            <w:tcW w:w="5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pts</w:t>
            </w:r>
          </w:p>
        </w:tc>
        <w:tc>
          <w:tcPr>
            <w:tcW w:w="3520" w:type="dxa"/>
            <w:vAlign w:val="bottom"/>
            <w:tcBorders>
              <w:bottom w:val="single" w:sz="8" w:color="CCEEFF"/>
            </w:tcBorders>
            <w:shd w:val="clear" w:color="auto" w:fill="CCEEFF"/>
          </w:tcPr>
          <w:p>
            <w:pPr>
              <w:jc w:val="center"/>
              <w:ind w:left="3010"/>
              <w:spacing w:after="0"/>
              <w:rPr>
                <w:sz w:val="20"/>
                <w:szCs w:val="20"/>
                <w:color w:val="auto"/>
              </w:rPr>
            </w:pPr>
            <w:r>
              <w:rPr>
                <w:rFonts w:ascii="Arial" w:cs="Arial" w:eastAsia="Arial" w:hAnsi="Arial"/>
                <w:sz w:val="18"/>
                <w:szCs w:val="18"/>
                <w:color w:val="auto"/>
                <w:w w:val="87"/>
              </w:rPr>
              <w:t>1.0</w:t>
            </w:r>
          </w:p>
        </w:tc>
        <w:tc>
          <w:tcPr>
            <w:tcW w:w="2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w w:val="83"/>
              </w:rPr>
              <w:t>pts</w:t>
            </w:r>
          </w:p>
        </w:tc>
      </w:tr>
      <w:tr>
        <w:trPr>
          <w:trHeight w:val="243"/>
        </w:trPr>
        <w:tc>
          <w:tcPr>
            <w:tcW w:w="2480" w:type="dxa"/>
            <w:vAlign w:val="bottom"/>
          </w:tcPr>
          <w:p>
            <w:pPr>
              <w:ind w:left="20"/>
              <w:spacing w:after="0"/>
              <w:rPr>
                <w:sz w:val="20"/>
                <w:szCs w:val="20"/>
                <w:color w:val="auto"/>
              </w:rPr>
            </w:pPr>
            <w:r>
              <w:rPr>
                <w:rFonts w:ascii="Arial" w:cs="Arial" w:eastAsia="Arial" w:hAnsi="Arial"/>
                <w:sz w:val="18"/>
                <w:szCs w:val="18"/>
                <w:color w:val="auto"/>
              </w:rPr>
              <w:t>Acquisition</w:t>
            </w:r>
          </w:p>
        </w:tc>
        <w:tc>
          <w:tcPr>
            <w:tcW w:w="4440" w:type="dxa"/>
            <w:vAlign w:val="bottom"/>
          </w:tcPr>
          <w:p>
            <w:pPr>
              <w:jc w:val="center"/>
              <w:ind w:left="3930"/>
              <w:spacing w:after="0"/>
              <w:rPr>
                <w:sz w:val="20"/>
                <w:szCs w:val="20"/>
                <w:color w:val="auto"/>
              </w:rPr>
            </w:pPr>
            <w:r>
              <w:rPr>
                <w:rFonts w:ascii="Arial" w:cs="Arial" w:eastAsia="Arial" w:hAnsi="Arial"/>
                <w:sz w:val="18"/>
                <w:szCs w:val="18"/>
                <w:color w:val="auto"/>
                <w:w w:val="87"/>
              </w:rPr>
              <w:t>0.6</w:t>
            </w:r>
          </w:p>
        </w:tc>
        <w:tc>
          <w:tcPr>
            <w:tcW w:w="520" w:type="dxa"/>
            <w:vAlign w:val="bottom"/>
          </w:tcPr>
          <w:p>
            <w:pPr>
              <w:spacing w:after="0"/>
              <w:rPr>
                <w:sz w:val="21"/>
                <w:szCs w:val="21"/>
                <w:color w:val="auto"/>
              </w:rPr>
            </w:pPr>
          </w:p>
        </w:tc>
        <w:tc>
          <w:tcPr>
            <w:tcW w:w="3520" w:type="dxa"/>
            <w:vAlign w:val="bottom"/>
          </w:tcPr>
          <w:p>
            <w:pPr>
              <w:jc w:val="center"/>
              <w:ind w:left="3010"/>
              <w:spacing w:after="0"/>
              <w:rPr>
                <w:sz w:val="20"/>
                <w:szCs w:val="20"/>
                <w:color w:val="auto"/>
              </w:rPr>
            </w:pPr>
            <w:r>
              <w:rPr>
                <w:rFonts w:ascii="Arial" w:cs="Arial" w:eastAsia="Arial" w:hAnsi="Arial"/>
                <w:sz w:val="18"/>
                <w:szCs w:val="18"/>
                <w:color w:val="auto"/>
                <w:w w:val="87"/>
              </w:rPr>
              <w:t>0.4</w:t>
            </w:r>
          </w:p>
        </w:tc>
        <w:tc>
          <w:tcPr>
            <w:tcW w:w="280" w:type="dxa"/>
            <w:vAlign w:val="bottom"/>
          </w:tcPr>
          <w:p>
            <w:pPr>
              <w:spacing w:after="0"/>
              <w:rPr>
                <w:sz w:val="21"/>
                <w:szCs w:val="21"/>
                <w:color w:val="auto"/>
              </w:rPr>
            </w:pPr>
          </w:p>
        </w:tc>
      </w:tr>
      <w:tr>
        <w:trPr>
          <w:trHeight w:val="27"/>
        </w:trPr>
        <w:tc>
          <w:tcPr>
            <w:tcW w:w="24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50"/>
        </w:trPr>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Inflation</w:t>
            </w:r>
          </w:p>
        </w:tc>
        <w:tc>
          <w:tcPr>
            <w:tcW w:w="4440" w:type="dxa"/>
            <w:vAlign w:val="bottom"/>
            <w:tcBorders>
              <w:bottom w:val="single" w:sz="8" w:color="CCEEFF"/>
            </w:tcBorders>
            <w:shd w:val="clear" w:color="auto" w:fill="CCEEFF"/>
          </w:tcPr>
          <w:p>
            <w:pPr>
              <w:jc w:val="center"/>
              <w:ind w:left="3890"/>
              <w:spacing w:after="0"/>
              <w:rPr>
                <w:sz w:val="20"/>
                <w:szCs w:val="20"/>
                <w:color w:val="auto"/>
              </w:rPr>
            </w:pPr>
            <w:r>
              <w:rPr>
                <w:rFonts w:ascii="Arial" w:cs="Arial" w:eastAsia="Arial" w:hAnsi="Arial"/>
                <w:sz w:val="18"/>
                <w:szCs w:val="18"/>
                <w:color w:val="auto"/>
                <w:w w:val="91"/>
              </w:rPr>
              <w:t>(1.2)</w:t>
            </w:r>
          </w:p>
        </w:tc>
        <w:tc>
          <w:tcPr>
            <w:tcW w:w="5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jc w:val="center"/>
              <w:ind w:left="2970"/>
              <w:spacing w:after="0"/>
              <w:rPr>
                <w:sz w:val="20"/>
                <w:szCs w:val="20"/>
                <w:color w:val="auto"/>
              </w:rPr>
            </w:pPr>
            <w:r>
              <w:rPr>
                <w:rFonts w:ascii="Arial" w:cs="Arial" w:eastAsia="Arial" w:hAnsi="Arial"/>
                <w:sz w:val="18"/>
                <w:szCs w:val="18"/>
                <w:color w:val="auto"/>
                <w:w w:val="91"/>
              </w:rPr>
              <w:t>(1.3)</w:t>
            </w:r>
          </w:p>
        </w:tc>
        <w:tc>
          <w:tcPr>
            <w:tcW w:w="280" w:type="dxa"/>
            <w:vAlign w:val="bottom"/>
            <w:tcBorders>
              <w:bottom w:val="single" w:sz="8" w:color="CCEEFF"/>
            </w:tcBorders>
            <w:shd w:val="clear" w:color="auto" w:fill="CCEEFF"/>
          </w:tcPr>
          <w:p>
            <w:pPr>
              <w:spacing w:after="0"/>
              <w:rPr>
                <w:sz w:val="21"/>
                <w:szCs w:val="21"/>
                <w:color w:val="auto"/>
              </w:rPr>
            </w:pPr>
          </w:p>
        </w:tc>
      </w:tr>
      <w:tr>
        <w:trPr>
          <w:trHeight w:val="243"/>
        </w:trPr>
        <w:tc>
          <w:tcPr>
            <w:tcW w:w="2480" w:type="dxa"/>
            <w:vAlign w:val="bottom"/>
          </w:tcPr>
          <w:p>
            <w:pPr>
              <w:ind w:left="20"/>
              <w:spacing w:after="0"/>
              <w:rPr>
                <w:sz w:val="20"/>
                <w:szCs w:val="20"/>
                <w:color w:val="auto"/>
              </w:rPr>
            </w:pPr>
            <w:r>
              <w:rPr>
                <w:rFonts w:ascii="Arial" w:cs="Arial" w:eastAsia="Arial" w:hAnsi="Arial"/>
                <w:sz w:val="18"/>
                <w:szCs w:val="18"/>
                <w:color w:val="auto"/>
              </w:rPr>
              <w:t>Productivity/Price</w:t>
            </w:r>
          </w:p>
        </w:tc>
        <w:tc>
          <w:tcPr>
            <w:tcW w:w="4440" w:type="dxa"/>
            <w:vAlign w:val="bottom"/>
          </w:tcPr>
          <w:p>
            <w:pPr>
              <w:jc w:val="center"/>
              <w:ind w:left="3890"/>
              <w:spacing w:after="0"/>
              <w:rPr>
                <w:sz w:val="20"/>
                <w:szCs w:val="20"/>
                <w:color w:val="auto"/>
              </w:rPr>
            </w:pPr>
            <w:r>
              <w:rPr>
                <w:rFonts w:ascii="Arial" w:cs="Arial" w:eastAsia="Arial" w:hAnsi="Arial"/>
                <w:sz w:val="18"/>
                <w:szCs w:val="18"/>
                <w:color w:val="auto"/>
                <w:w w:val="91"/>
              </w:rPr>
              <w:t>(0.5)</w:t>
            </w:r>
          </w:p>
        </w:tc>
        <w:tc>
          <w:tcPr>
            <w:tcW w:w="520" w:type="dxa"/>
            <w:vAlign w:val="bottom"/>
          </w:tcPr>
          <w:p>
            <w:pPr>
              <w:spacing w:after="0"/>
              <w:rPr>
                <w:sz w:val="21"/>
                <w:szCs w:val="21"/>
                <w:color w:val="auto"/>
              </w:rPr>
            </w:pPr>
          </w:p>
        </w:tc>
        <w:tc>
          <w:tcPr>
            <w:tcW w:w="3520" w:type="dxa"/>
            <w:vAlign w:val="bottom"/>
          </w:tcPr>
          <w:p>
            <w:pPr>
              <w:jc w:val="center"/>
              <w:ind w:left="3010"/>
              <w:spacing w:after="0"/>
              <w:rPr>
                <w:sz w:val="20"/>
                <w:szCs w:val="20"/>
                <w:color w:val="auto"/>
              </w:rPr>
            </w:pPr>
            <w:r>
              <w:rPr>
                <w:rFonts w:ascii="Arial" w:cs="Arial" w:eastAsia="Arial" w:hAnsi="Arial"/>
                <w:sz w:val="18"/>
                <w:szCs w:val="18"/>
                <w:color w:val="auto"/>
                <w:w w:val="87"/>
              </w:rPr>
              <w:t>0.6</w:t>
            </w:r>
          </w:p>
        </w:tc>
        <w:tc>
          <w:tcPr>
            <w:tcW w:w="280" w:type="dxa"/>
            <w:vAlign w:val="bottom"/>
          </w:tcPr>
          <w:p>
            <w:pPr>
              <w:spacing w:after="0"/>
              <w:rPr>
                <w:sz w:val="21"/>
                <w:szCs w:val="21"/>
                <w:color w:val="auto"/>
              </w:rPr>
            </w:pPr>
          </w:p>
        </w:tc>
      </w:tr>
      <w:tr>
        <w:trPr>
          <w:trHeight w:val="27"/>
        </w:trPr>
        <w:tc>
          <w:tcPr>
            <w:tcW w:w="248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r>
      <w:tr>
        <w:trPr>
          <w:trHeight w:val="288"/>
        </w:trPr>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440" w:type="dxa"/>
            <w:vAlign w:val="bottom"/>
            <w:tcBorders>
              <w:bottom w:val="single" w:sz="8" w:color="CCEEFF"/>
            </w:tcBorders>
            <w:shd w:val="clear" w:color="auto" w:fill="CCEEFF"/>
          </w:tcPr>
          <w:p>
            <w:pPr>
              <w:jc w:val="center"/>
              <w:ind w:left="3930"/>
              <w:spacing w:after="0"/>
              <w:rPr>
                <w:sz w:val="20"/>
                <w:szCs w:val="20"/>
                <w:color w:val="auto"/>
              </w:rPr>
            </w:pPr>
            <w:r>
              <w:rPr>
                <w:rFonts w:ascii="Arial" w:cs="Arial" w:eastAsia="Arial" w:hAnsi="Arial"/>
                <w:sz w:val="18"/>
                <w:szCs w:val="18"/>
                <w:color w:val="auto"/>
                <w:w w:val="87"/>
              </w:rPr>
              <w:t>2.5</w:t>
            </w:r>
          </w:p>
        </w:tc>
        <w:tc>
          <w:tcPr>
            <w:tcW w:w="5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pts</w:t>
            </w:r>
          </w:p>
        </w:tc>
        <w:tc>
          <w:tcPr>
            <w:tcW w:w="3520" w:type="dxa"/>
            <w:vAlign w:val="bottom"/>
            <w:tcBorders>
              <w:bottom w:val="single" w:sz="8" w:color="CCEEFF"/>
            </w:tcBorders>
            <w:shd w:val="clear" w:color="auto" w:fill="CCEEFF"/>
          </w:tcPr>
          <w:p>
            <w:pPr>
              <w:jc w:val="center"/>
              <w:ind w:left="3010"/>
              <w:spacing w:after="0"/>
              <w:rPr>
                <w:sz w:val="20"/>
                <w:szCs w:val="20"/>
                <w:color w:val="auto"/>
              </w:rPr>
            </w:pPr>
            <w:r>
              <w:rPr>
                <w:rFonts w:ascii="Arial" w:cs="Arial" w:eastAsia="Arial" w:hAnsi="Arial"/>
                <w:sz w:val="18"/>
                <w:szCs w:val="18"/>
                <w:color w:val="auto"/>
                <w:w w:val="87"/>
              </w:rPr>
              <w:t>0.7</w:t>
            </w:r>
          </w:p>
        </w:tc>
        <w:tc>
          <w:tcPr>
            <w:tcW w:w="2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w w:val="83"/>
              </w:rPr>
              <w:t>pts</w:t>
            </w:r>
          </w:p>
        </w:tc>
      </w:tr>
      <w:tr>
        <w:trPr>
          <w:trHeight w:val="20"/>
        </w:trPr>
        <w:tc>
          <w:tcPr>
            <w:tcW w:w="2480" w:type="dxa"/>
            <w:vAlign w:val="bottom"/>
            <w:tcBorders>
              <w:top w:val="single" w:sz="8" w:color="auto"/>
              <w:bottom w:val="single" w:sz="8" w:color="auto"/>
            </w:tcBorders>
          </w:tcPr>
          <w:p>
            <w:pPr>
              <w:spacing w:after="0" w:line="20" w:lineRule="exact"/>
              <w:rPr>
                <w:sz w:val="1"/>
                <w:szCs w:val="1"/>
                <w:color w:val="auto"/>
              </w:rPr>
            </w:pPr>
          </w:p>
        </w:tc>
        <w:tc>
          <w:tcPr>
            <w:tcW w:w="4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i w:val="1"/>
          <w:iCs w:val="1"/>
          <w:color w:val="auto"/>
        </w:rPr>
        <w:t xml:space="preserve">The 2.5 </w:t>
      </w:r>
      <w:r>
        <w:rPr>
          <w:rFonts w:ascii="Arial" w:cs="Arial" w:eastAsia="Arial" w:hAnsi="Arial"/>
          <w:sz w:val="18"/>
          <w:szCs w:val="18"/>
          <w:color w:val="auto"/>
        </w:rPr>
        <w:t>and</w:t>
      </w:r>
      <w:r>
        <w:rPr>
          <w:rFonts w:ascii="Arial" w:cs="Arial" w:eastAsia="Arial" w:hAnsi="Arial"/>
          <w:sz w:val="18"/>
          <w:szCs w:val="18"/>
          <w:i w:val="1"/>
          <w:iCs w:val="1"/>
          <w:color w:val="auto"/>
        </w:rPr>
        <w:t xml:space="preserve"> 0.7 percentage point increases in segment income for Consumer Solutions as a percentage of net sales in the third quarter and first nine months, respectively, of 2020 from 2019 were primarily driven by:</w:t>
      </w:r>
    </w:p>
    <w:p>
      <w:pPr>
        <w:spacing w:after="0" w:line="116" w:lineRule="exact"/>
        <w:rPr>
          <w:sz w:val="20"/>
          <w:szCs w:val="20"/>
          <w:color w:val="auto"/>
        </w:rPr>
      </w:pPr>
    </w:p>
    <w:p>
      <w:pPr>
        <w:ind w:left="480" w:hanging="310"/>
        <w:spacing w:after="0"/>
        <w:tabs>
          <w:tab w:leader="none" w:pos="4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increase in sales volume in our pool business in the third quarter and first nine months of 2020 resulting in favorable sales mix;</w:t>
      </w:r>
    </w:p>
    <w:p>
      <w:pPr>
        <w:spacing w:after="0" w:line="171" w:lineRule="exact"/>
        <w:rPr>
          <w:rFonts w:ascii="Arial" w:cs="Arial" w:eastAsia="Arial" w:hAnsi="Arial"/>
          <w:sz w:val="18"/>
          <w:szCs w:val="18"/>
          <w:color w:val="auto"/>
        </w:rPr>
      </w:pPr>
    </w:p>
    <w:p>
      <w:pPr>
        <w:ind w:left="480" w:hanging="310"/>
        <w:spacing w:after="0"/>
        <w:tabs>
          <w:tab w:leader="none" w:pos="4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reduction in travel and entertainment, trade show and advertising expenses due to the COVID-19 pandemic and other cost reduction initiatives;</w:t>
      </w:r>
    </w:p>
    <w:p>
      <w:pPr>
        <w:spacing w:after="0" w:line="182" w:lineRule="exact"/>
        <w:rPr>
          <w:rFonts w:ascii="Arial" w:cs="Arial" w:eastAsia="Arial" w:hAnsi="Arial"/>
          <w:sz w:val="17"/>
          <w:szCs w:val="17"/>
          <w:color w:val="auto"/>
        </w:rPr>
      </w:pPr>
    </w:p>
    <w:p>
      <w:pPr>
        <w:ind w:left="480" w:hanging="310"/>
        <w:spacing w:after="0"/>
        <w:tabs>
          <w:tab w:leader="none" w:pos="4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impact of Aquion and Pelican acquisitions; and</w:t>
      </w:r>
    </w:p>
    <w:p>
      <w:pPr>
        <w:spacing w:after="0" w:line="171" w:lineRule="exact"/>
        <w:rPr>
          <w:rFonts w:ascii="Arial" w:cs="Arial" w:eastAsia="Arial" w:hAnsi="Arial"/>
          <w:sz w:val="18"/>
          <w:szCs w:val="18"/>
          <w:color w:val="auto"/>
        </w:rPr>
      </w:pPr>
    </w:p>
    <w:p>
      <w:pPr>
        <w:ind w:left="480" w:hanging="310"/>
        <w:spacing w:after="0"/>
        <w:tabs>
          <w:tab w:leader="none" w:pos="4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the impacts of inflation.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These increases were partially offset by:</w:t>
      </w:r>
    </w:p>
    <w:p>
      <w:pPr>
        <w:spacing w:after="0" w:line="171" w:lineRule="exact"/>
        <w:rPr>
          <w:sz w:val="20"/>
          <w:szCs w:val="20"/>
          <w:color w:val="auto"/>
        </w:rPr>
      </w:pPr>
    </w:p>
    <w:p>
      <w:pPr>
        <w:ind w:left="480" w:hanging="310"/>
        <w:spacing w:after="0"/>
        <w:tabs>
          <w:tab w:leader="none" w:pos="4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lower sales volume in the higher margin commercial filtration business;</w:t>
      </w:r>
    </w:p>
    <w:p>
      <w:pPr>
        <w:spacing w:after="0" w:line="171" w:lineRule="exact"/>
        <w:rPr>
          <w:rFonts w:ascii="Arial" w:cs="Arial" w:eastAsia="Arial" w:hAnsi="Arial"/>
          <w:sz w:val="18"/>
          <w:szCs w:val="18"/>
          <w:color w:val="auto"/>
        </w:rPr>
      </w:pPr>
    </w:p>
    <w:p>
      <w:pPr>
        <w:ind w:left="480" w:hanging="310"/>
        <w:spacing w:after="0"/>
        <w:tabs>
          <w:tab w:leader="none" w:pos="4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higher sales rebates and employee incentive compensation expense in line with increased sales in our pool business;</w:t>
      </w:r>
    </w:p>
    <w:p>
      <w:pPr>
        <w:spacing w:after="0" w:line="171" w:lineRule="exact"/>
        <w:rPr>
          <w:rFonts w:ascii="Arial" w:cs="Arial" w:eastAsia="Arial" w:hAnsi="Arial"/>
          <w:sz w:val="18"/>
          <w:szCs w:val="18"/>
          <w:color w:val="auto"/>
        </w:rPr>
      </w:pPr>
    </w:p>
    <w:p>
      <w:pPr>
        <w:ind w:left="480" w:hanging="310"/>
        <w:spacing w:after="0"/>
        <w:tabs>
          <w:tab w:leader="none" w:pos="4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higher transportation and labor costs due to increased demand in our pool business; and</w:t>
      </w:r>
    </w:p>
    <w:p>
      <w:pPr>
        <w:spacing w:after="0" w:line="171" w:lineRule="exact"/>
        <w:rPr>
          <w:rFonts w:ascii="Arial" w:cs="Arial" w:eastAsia="Arial" w:hAnsi="Arial"/>
          <w:sz w:val="18"/>
          <w:szCs w:val="18"/>
          <w:color w:val="auto"/>
        </w:rPr>
      </w:pPr>
    </w:p>
    <w:p>
      <w:pPr>
        <w:ind w:left="480" w:hanging="310"/>
        <w:spacing w:after="0"/>
        <w:tabs>
          <w:tab w:leader="none" w:pos="4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inflationary increases related to certain raw materials.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 &amp; Flow Technologies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net sales and segment income for Industrial &amp; Flow Technologies were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60" w:type="dxa"/>
            <w:vAlign w:val="bottom"/>
            <w:gridSpan w:val="3"/>
          </w:tcPr>
          <w:p>
            <w:pPr>
              <w:jc w:val="right"/>
              <w:ind w:right="49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40" w:type="dxa"/>
            <w:vAlign w:val="bottom"/>
            <w:gridSpan w:val="3"/>
          </w:tcPr>
          <w:p>
            <w:pPr>
              <w:jc w:val="right"/>
              <w:ind w:right="530"/>
              <w:spacing w:after="0"/>
              <w:rPr>
                <w:sz w:val="20"/>
                <w:szCs w:val="20"/>
                <w:color w:val="auto"/>
              </w:rPr>
            </w:pPr>
            <w:r>
              <w:rPr>
                <w:rFonts w:ascii="Arial" w:cs="Arial" w:eastAsia="Arial" w:hAnsi="Arial"/>
                <w:sz w:val="18"/>
                <w:szCs w:val="18"/>
                <w:b w:val="1"/>
                <w:bCs w:val="1"/>
                <w:color w:val="auto"/>
              </w:rPr>
              <w:t>Nine months ended</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7"/>
        </w:trPr>
        <w:tc>
          <w:tcPr>
            <w:tcW w:w="22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18"/>
        </w:trPr>
        <w:tc>
          <w:tcPr>
            <w:tcW w:w="2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w w:val="92"/>
              </w:rPr>
              <w:t>September 30,</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w w:val="92"/>
              </w:rPr>
              <w:t>September 30,</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 / Point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w w:val="94"/>
              </w:rPr>
              <w:t>September 30,</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w w:val="92"/>
              </w:rPr>
              <w:t>September 30,</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 / Point</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2260" w:type="dxa"/>
            <w:vAlign w:val="bottom"/>
          </w:tcPr>
          <w:p>
            <w:pPr>
              <w:ind w:left="20"/>
              <w:spacing w:after="0"/>
              <w:rPr>
                <w:sz w:val="20"/>
                <w:szCs w:val="20"/>
                <w:color w:val="auto"/>
              </w:rPr>
            </w:pPr>
            <w:r>
              <w:rPr>
                <w:rFonts w:ascii="Arial" w:cs="Arial" w:eastAsia="Arial" w:hAnsi="Arial"/>
                <w:sz w:val="18"/>
                <w:szCs w:val="18"/>
                <w:i w:val="1"/>
                <w:iCs w:val="1"/>
                <w:color w:val="auto"/>
              </w:rPr>
              <w:t>In millions</w:t>
            </w:r>
          </w:p>
        </w:tc>
        <w:tc>
          <w:tcPr>
            <w:tcW w:w="180" w:type="dxa"/>
            <w:vAlign w:val="bottom"/>
          </w:tcPr>
          <w:p>
            <w:pPr>
              <w:spacing w:after="0"/>
              <w:rPr>
                <w:sz w:val="20"/>
                <w:szCs w:val="20"/>
                <w:color w:val="auto"/>
              </w:rPr>
            </w:pPr>
          </w:p>
        </w:tc>
        <w:tc>
          <w:tcPr>
            <w:tcW w:w="1180" w:type="dxa"/>
            <w:vAlign w:val="bottom"/>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380" w:type="dxa"/>
            <w:vAlign w:val="bottom"/>
          </w:tcPr>
          <w:p>
            <w:pPr>
              <w:spacing w:after="0"/>
              <w:rPr>
                <w:sz w:val="20"/>
                <w:szCs w:val="20"/>
                <w:color w:val="auto"/>
              </w:rPr>
            </w:pPr>
          </w:p>
        </w:tc>
        <w:tc>
          <w:tcPr>
            <w:tcW w:w="12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Change</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360" w:type="dxa"/>
            <w:vAlign w:val="bottom"/>
          </w:tcPr>
          <w:p>
            <w:pPr>
              <w:spacing w:after="0"/>
              <w:rPr>
                <w:sz w:val="20"/>
                <w:szCs w:val="20"/>
                <w:color w:val="auto"/>
              </w:rPr>
            </w:pPr>
          </w:p>
        </w:tc>
        <w:tc>
          <w:tcPr>
            <w:tcW w:w="11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Change</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7"/>
        </w:trPr>
        <w:tc>
          <w:tcPr>
            <w:tcW w:w="2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44"/>
        </w:trPr>
        <w:tc>
          <w:tcPr>
            <w:tcW w:w="2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327.4</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336.2</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5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960.1</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1,028.6</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r>
        <w:trPr>
          <w:trHeight w:val="243"/>
        </w:trPr>
        <w:tc>
          <w:tcPr>
            <w:tcW w:w="226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42.7</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55.9</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(23.6)</w:t>
            </w: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131.5</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156.6</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r>
        <w:trPr>
          <w:trHeight w:val="27"/>
        </w:trPr>
        <w:tc>
          <w:tcPr>
            <w:tcW w:w="2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gridSpan w:val="2"/>
          </w:tcPr>
          <w:p>
            <w:pPr>
              <w:spacing w:after="0"/>
              <w:rPr>
                <w:sz w:val="2"/>
                <w:szCs w:val="2"/>
                <w:color w:val="auto"/>
              </w:rPr>
            </w:pPr>
          </w:p>
        </w:tc>
      </w:tr>
      <w:tr>
        <w:trPr>
          <w:trHeight w:val="250"/>
        </w:trPr>
        <w:tc>
          <w:tcPr>
            <w:tcW w:w="22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i w:val="1"/>
                <w:iCs w:val="1"/>
                <w:color w:val="auto"/>
              </w:rPr>
              <w:t>% of net sales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13.0</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i w:val="1"/>
                <w:iCs w:val="1"/>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16.6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(3.6)</w:t>
            </w:r>
          </w:p>
        </w:tc>
        <w:tc>
          <w:tcPr>
            <w:tcW w:w="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i w:val="1"/>
                <w:iCs w:val="1"/>
                <w:color w:val="auto"/>
              </w:rPr>
              <w:t>pts</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13.7</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i w:val="1"/>
                <w:iCs w:val="1"/>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15.2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74"/>
              </w:rPr>
              <w:t>pts</w:t>
            </w:r>
          </w:p>
        </w:tc>
        <w:tc>
          <w:tcPr>
            <w:tcW w:w="60" w:type="dxa"/>
            <w:vAlign w:val="bottom"/>
          </w:tcPr>
          <w:p>
            <w:pPr>
              <w:spacing w:after="0"/>
              <w:rPr>
                <w:sz w:val="21"/>
                <w:szCs w:val="21"/>
                <w:color w:val="auto"/>
              </w:rPr>
            </w:pPr>
          </w:p>
        </w:tc>
      </w:tr>
      <w:tr>
        <w:trPr>
          <w:trHeight w:val="864"/>
        </w:trPr>
        <w:tc>
          <w:tcPr>
            <w:tcW w:w="2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ind w:right="650"/>
              <w:spacing w:after="0"/>
              <w:rPr>
                <w:sz w:val="20"/>
                <w:szCs w:val="20"/>
                <w:color w:val="auto"/>
              </w:rPr>
            </w:pPr>
            <w:r>
              <w:rPr>
                <w:rFonts w:ascii="Arial" w:cs="Arial" w:eastAsia="Arial" w:hAnsi="Arial"/>
                <w:sz w:val="18"/>
                <w:szCs w:val="18"/>
                <w:color w:val="auto"/>
              </w:rPr>
              <w:t>30</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22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change in Industrial &amp; Flow Technologies net sales from the prior period were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60" w:type="dxa"/>
            <w:vAlign w:val="bottom"/>
          </w:tcPr>
          <w:p>
            <w:pPr>
              <w:spacing w:after="0"/>
              <w:rPr>
                <w:sz w:val="20"/>
                <w:szCs w:val="20"/>
                <w:color w:val="auto"/>
              </w:rPr>
            </w:pPr>
          </w:p>
        </w:tc>
        <w:tc>
          <w:tcPr>
            <w:tcW w:w="5120" w:type="dxa"/>
            <w:vAlign w:val="bottom"/>
          </w:tcPr>
          <w:p>
            <w:pPr>
              <w:jc w:val="center"/>
              <w:ind w:left="550"/>
              <w:spacing w:after="0"/>
              <w:rPr>
                <w:sz w:val="20"/>
                <w:szCs w:val="20"/>
                <w:color w:val="auto"/>
              </w:rPr>
            </w:pPr>
            <w:r>
              <w:rPr>
                <w:rFonts w:ascii="Arial" w:cs="Arial" w:eastAsia="Arial" w:hAnsi="Arial"/>
                <w:sz w:val="18"/>
                <w:szCs w:val="18"/>
                <w:b w:val="1"/>
                <w:bCs w:val="1"/>
                <w:color w:val="auto"/>
                <w:w w:val="89"/>
              </w:rPr>
              <w:t>Three months ended September 30, 2020</w:t>
            </w:r>
          </w:p>
        </w:tc>
        <w:tc>
          <w:tcPr>
            <w:tcW w:w="3760" w:type="dxa"/>
            <w:vAlign w:val="bottom"/>
          </w:tcPr>
          <w:p>
            <w:pPr>
              <w:ind w:left="240"/>
              <w:spacing w:after="0"/>
              <w:rPr>
                <w:sz w:val="20"/>
                <w:szCs w:val="20"/>
                <w:color w:val="auto"/>
              </w:rPr>
            </w:pPr>
            <w:r>
              <w:rPr>
                <w:rFonts w:ascii="Arial" w:cs="Arial" w:eastAsia="Arial" w:hAnsi="Arial"/>
                <w:sz w:val="18"/>
                <w:szCs w:val="18"/>
                <w:b w:val="1"/>
                <w:bCs w:val="1"/>
                <w:color w:val="auto"/>
              </w:rPr>
              <w:t>Nine months ended September 30, 2020</w:t>
            </w:r>
          </w:p>
        </w:tc>
      </w:tr>
      <w:tr>
        <w:trPr>
          <w:trHeight w:val="270"/>
        </w:trPr>
        <w:tc>
          <w:tcPr>
            <w:tcW w:w="2360" w:type="dxa"/>
            <w:vAlign w:val="bottom"/>
          </w:tcPr>
          <w:p>
            <w:pPr>
              <w:spacing w:after="0"/>
              <w:rPr>
                <w:sz w:val="23"/>
                <w:szCs w:val="23"/>
                <w:color w:val="auto"/>
              </w:rPr>
            </w:pPr>
          </w:p>
        </w:tc>
        <w:tc>
          <w:tcPr>
            <w:tcW w:w="5120" w:type="dxa"/>
            <w:vAlign w:val="bottom"/>
          </w:tcPr>
          <w:p>
            <w:pPr>
              <w:jc w:val="center"/>
              <w:ind w:left="550"/>
              <w:spacing w:after="0"/>
              <w:rPr>
                <w:sz w:val="20"/>
                <w:szCs w:val="20"/>
                <w:color w:val="auto"/>
              </w:rPr>
            </w:pPr>
            <w:r>
              <w:rPr>
                <w:rFonts w:ascii="Arial" w:cs="Arial" w:eastAsia="Arial" w:hAnsi="Arial"/>
                <w:sz w:val="18"/>
                <w:szCs w:val="18"/>
                <w:b w:val="1"/>
                <w:bCs w:val="1"/>
                <w:color w:val="auto"/>
                <w:w w:val="91"/>
              </w:rPr>
              <w:t>over the prior year period</w:t>
            </w:r>
          </w:p>
        </w:tc>
        <w:tc>
          <w:tcPr>
            <w:tcW w:w="3760" w:type="dxa"/>
            <w:vAlign w:val="bottom"/>
          </w:tcPr>
          <w:p>
            <w:pPr>
              <w:ind w:left="760"/>
              <w:spacing w:after="0"/>
              <w:rPr>
                <w:sz w:val="20"/>
                <w:szCs w:val="20"/>
                <w:color w:val="auto"/>
              </w:rPr>
            </w:pPr>
            <w:r>
              <w:rPr>
                <w:rFonts w:ascii="Arial" w:cs="Arial" w:eastAsia="Arial" w:hAnsi="Arial"/>
                <w:sz w:val="18"/>
                <w:szCs w:val="18"/>
                <w:b w:val="1"/>
                <w:bCs w:val="1"/>
                <w:color w:val="auto"/>
              </w:rPr>
              <w:t>over the prior year period</w:t>
            </w:r>
          </w:p>
        </w:tc>
      </w:tr>
      <w:tr>
        <w:trPr>
          <w:trHeight w:val="27"/>
        </w:trPr>
        <w:tc>
          <w:tcPr>
            <w:tcW w:w="2360" w:type="dxa"/>
            <w:vAlign w:val="bottom"/>
            <w:tcBorders>
              <w:bottom w:val="single" w:sz="8" w:color="auto"/>
            </w:tcBorders>
          </w:tcPr>
          <w:p>
            <w:pPr>
              <w:spacing w:after="0"/>
              <w:rPr>
                <w:sz w:val="2"/>
                <w:szCs w:val="2"/>
                <w:color w:val="auto"/>
              </w:rPr>
            </w:pPr>
          </w:p>
        </w:tc>
        <w:tc>
          <w:tcPr>
            <w:tcW w:w="512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243"/>
        </w:trPr>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Volume</w:t>
            </w:r>
          </w:p>
        </w:tc>
        <w:tc>
          <w:tcPr>
            <w:tcW w:w="5120" w:type="dxa"/>
            <w:vAlign w:val="bottom"/>
            <w:tcBorders>
              <w:bottom w:val="single" w:sz="8" w:color="CCEEFF"/>
            </w:tcBorders>
            <w:shd w:val="clear" w:color="auto" w:fill="CCEEFF"/>
          </w:tcPr>
          <w:p>
            <w:pPr>
              <w:ind w:left="4360"/>
              <w:spacing w:after="0"/>
              <w:rPr>
                <w:sz w:val="20"/>
                <w:szCs w:val="20"/>
                <w:color w:val="auto"/>
              </w:rPr>
            </w:pPr>
            <w:r>
              <w:rPr>
                <w:rFonts w:ascii="Arial" w:cs="Arial" w:eastAsia="Arial" w:hAnsi="Arial"/>
                <w:sz w:val="18"/>
                <w:szCs w:val="18"/>
                <w:color w:val="auto"/>
              </w:rPr>
              <w:t>(4.4)%</w:t>
            </w:r>
          </w:p>
        </w:tc>
        <w:tc>
          <w:tcPr>
            <w:tcW w:w="3760" w:type="dxa"/>
            <w:vAlign w:val="bottom"/>
            <w:tcBorders>
              <w:bottom w:val="single" w:sz="8" w:color="CCEEFF"/>
            </w:tcBorders>
            <w:shd w:val="clear" w:color="auto" w:fill="CCEEFF"/>
          </w:tcPr>
          <w:p>
            <w:pPr>
              <w:ind w:left="3220"/>
              <w:spacing w:after="0"/>
              <w:rPr>
                <w:sz w:val="20"/>
                <w:szCs w:val="20"/>
                <w:color w:val="auto"/>
              </w:rPr>
            </w:pPr>
            <w:r>
              <w:rPr>
                <w:rFonts w:ascii="Arial" w:cs="Arial" w:eastAsia="Arial" w:hAnsi="Arial"/>
                <w:sz w:val="18"/>
                <w:szCs w:val="18"/>
                <w:color w:val="auto"/>
                <w:w w:val="98"/>
              </w:rPr>
              <w:t>(7.2)%</w:t>
            </w:r>
          </w:p>
        </w:tc>
      </w:tr>
      <w:tr>
        <w:trPr>
          <w:trHeight w:val="243"/>
        </w:trPr>
        <w:tc>
          <w:tcPr>
            <w:tcW w:w="2360" w:type="dxa"/>
            <w:vAlign w:val="bottom"/>
          </w:tcPr>
          <w:p>
            <w:pPr>
              <w:ind w:left="20"/>
              <w:spacing w:after="0"/>
              <w:rPr>
                <w:sz w:val="20"/>
                <w:szCs w:val="20"/>
                <w:color w:val="auto"/>
              </w:rPr>
            </w:pPr>
            <w:r>
              <w:rPr>
                <w:rFonts w:ascii="Arial" w:cs="Arial" w:eastAsia="Arial" w:hAnsi="Arial"/>
                <w:sz w:val="18"/>
                <w:szCs w:val="18"/>
                <w:color w:val="auto"/>
              </w:rPr>
              <w:t>Price</w:t>
            </w:r>
          </w:p>
        </w:tc>
        <w:tc>
          <w:tcPr>
            <w:tcW w:w="5120" w:type="dxa"/>
            <w:vAlign w:val="bottom"/>
          </w:tcPr>
          <w:p>
            <w:pPr>
              <w:jc w:val="right"/>
              <w:ind w:right="370"/>
              <w:spacing w:after="0"/>
              <w:rPr>
                <w:sz w:val="20"/>
                <w:szCs w:val="20"/>
                <w:color w:val="auto"/>
              </w:rPr>
            </w:pPr>
            <w:r>
              <w:rPr>
                <w:rFonts w:ascii="Arial" w:cs="Arial" w:eastAsia="Arial" w:hAnsi="Arial"/>
                <w:sz w:val="18"/>
                <w:szCs w:val="18"/>
                <w:color w:val="auto"/>
              </w:rPr>
              <w:t>0.4</w:t>
            </w:r>
          </w:p>
        </w:tc>
        <w:tc>
          <w:tcPr>
            <w:tcW w:w="3760" w:type="dxa"/>
            <w:vAlign w:val="bottom"/>
          </w:tcPr>
          <w:p>
            <w:pPr>
              <w:ind w:left="3300"/>
              <w:spacing w:after="0"/>
              <w:rPr>
                <w:sz w:val="20"/>
                <w:szCs w:val="20"/>
                <w:color w:val="auto"/>
              </w:rPr>
            </w:pPr>
            <w:r>
              <w:rPr>
                <w:rFonts w:ascii="Arial" w:cs="Arial" w:eastAsia="Arial" w:hAnsi="Arial"/>
                <w:sz w:val="18"/>
                <w:szCs w:val="18"/>
                <w:color w:val="auto"/>
              </w:rPr>
              <w:t>0.9</w:t>
            </w:r>
          </w:p>
        </w:tc>
      </w:tr>
      <w:tr>
        <w:trPr>
          <w:trHeight w:val="27"/>
        </w:trPr>
        <w:tc>
          <w:tcPr>
            <w:tcW w:w="2360" w:type="dxa"/>
            <w:vAlign w:val="bottom"/>
            <w:tcBorders>
              <w:bottom w:val="single" w:sz="8" w:color="auto"/>
            </w:tcBorders>
          </w:tcPr>
          <w:p>
            <w:pPr>
              <w:spacing w:after="0"/>
              <w:rPr>
                <w:sz w:val="2"/>
                <w:szCs w:val="2"/>
                <w:color w:val="auto"/>
              </w:rPr>
            </w:pPr>
          </w:p>
        </w:tc>
        <w:tc>
          <w:tcPr>
            <w:tcW w:w="512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243"/>
        </w:trPr>
        <w:tc>
          <w:tcPr>
            <w:tcW w:w="2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Core growth</w:t>
            </w:r>
          </w:p>
        </w:tc>
        <w:tc>
          <w:tcPr>
            <w:tcW w:w="5120" w:type="dxa"/>
            <w:vAlign w:val="bottom"/>
            <w:tcBorders>
              <w:bottom w:val="single" w:sz="8" w:color="CCEEFF"/>
            </w:tcBorders>
            <w:shd w:val="clear" w:color="auto" w:fill="CCEEFF"/>
          </w:tcPr>
          <w:p>
            <w:pPr>
              <w:ind w:left="4360"/>
              <w:spacing w:after="0"/>
              <w:rPr>
                <w:sz w:val="20"/>
                <w:szCs w:val="20"/>
                <w:color w:val="auto"/>
              </w:rPr>
            </w:pPr>
            <w:r>
              <w:rPr>
                <w:rFonts w:ascii="Arial" w:cs="Arial" w:eastAsia="Arial" w:hAnsi="Arial"/>
                <w:sz w:val="18"/>
                <w:szCs w:val="18"/>
                <w:color w:val="auto"/>
              </w:rPr>
              <w:t>(4.0)</w:t>
            </w:r>
          </w:p>
        </w:tc>
        <w:tc>
          <w:tcPr>
            <w:tcW w:w="3760" w:type="dxa"/>
            <w:vAlign w:val="bottom"/>
            <w:tcBorders>
              <w:bottom w:val="single" w:sz="8" w:color="CCEEFF"/>
            </w:tcBorders>
            <w:shd w:val="clear" w:color="auto" w:fill="CCEEFF"/>
          </w:tcPr>
          <w:p>
            <w:pPr>
              <w:ind w:left="3220"/>
              <w:spacing w:after="0"/>
              <w:rPr>
                <w:sz w:val="20"/>
                <w:szCs w:val="20"/>
                <w:color w:val="auto"/>
              </w:rPr>
            </w:pPr>
            <w:r>
              <w:rPr>
                <w:rFonts w:ascii="Arial" w:cs="Arial" w:eastAsia="Arial" w:hAnsi="Arial"/>
                <w:sz w:val="18"/>
                <w:szCs w:val="18"/>
                <w:color w:val="auto"/>
              </w:rPr>
              <w:t>(6.3)</w:t>
            </w:r>
          </w:p>
        </w:tc>
      </w:tr>
      <w:tr>
        <w:trPr>
          <w:trHeight w:val="243"/>
        </w:trPr>
        <w:tc>
          <w:tcPr>
            <w:tcW w:w="2360" w:type="dxa"/>
            <w:vAlign w:val="bottom"/>
          </w:tcPr>
          <w:p>
            <w:pPr>
              <w:ind w:left="20"/>
              <w:spacing w:after="0"/>
              <w:rPr>
                <w:sz w:val="20"/>
                <w:szCs w:val="20"/>
                <w:color w:val="auto"/>
              </w:rPr>
            </w:pPr>
            <w:r>
              <w:rPr>
                <w:rFonts w:ascii="Arial" w:cs="Arial" w:eastAsia="Arial" w:hAnsi="Arial"/>
                <w:sz w:val="18"/>
                <w:szCs w:val="18"/>
                <w:color w:val="auto"/>
              </w:rPr>
              <w:t>Currency</w:t>
            </w:r>
          </w:p>
        </w:tc>
        <w:tc>
          <w:tcPr>
            <w:tcW w:w="5120" w:type="dxa"/>
            <w:vAlign w:val="bottom"/>
          </w:tcPr>
          <w:p>
            <w:pPr>
              <w:jc w:val="right"/>
              <w:ind w:right="370"/>
              <w:spacing w:after="0"/>
              <w:rPr>
                <w:sz w:val="20"/>
                <w:szCs w:val="20"/>
                <w:color w:val="auto"/>
              </w:rPr>
            </w:pPr>
            <w:r>
              <w:rPr>
                <w:rFonts w:ascii="Arial" w:cs="Arial" w:eastAsia="Arial" w:hAnsi="Arial"/>
                <w:sz w:val="18"/>
                <w:szCs w:val="18"/>
                <w:color w:val="auto"/>
              </w:rPr>
              <w:t>1.4</w:t>
            </w:r>
          </w:p>
        </w:tc>
        <w:tc>
          <w:tcPr>
            <w:tcW w:w="3760" w:type="dxa"/>
            <w:vAlign w:val="bottom"/>
          </w:tcPr>
          <w:p>
            <w:pPr>
              <w:ind w:left="3220"/>
              <w:spacing w:after="0"/>
              <w:rPr>
                <w:sz w:val="20"/>
                <w:szCs w:val="20"/>
                <w:color w:val="auto"/>
              </w:rPr>
            </w:pPr>
            <w:r>
              <w:rPr>
                <w:rFonts w:ascii="Arial" w:cs="Arial" w:eastAsia="Arial" w:hAnsi="Arial"/>
                <w:sz w:val="18"/>
                <w:szCs w:val="18"/>
                <w:color w:val="auto"/>
              </w:rPr>
              <w:t>(0.4)</w:t>
            </w:r>
          </w:p>
        </w:tc>
      </w:tr>
      <w:tr>
        <w:trPr>
          <w:trHeight w:val="27"/>
        </w:trPr>
        <w:tc>
          <w:tcPr>
            <w:tcW w:w="2360" w:type="dxa"/>
            <w:vAlign w:val="bottom"/>
            <w:tcBorders>
              <w:bottom w:val="single" w:sz="8" w:color="auto"/>
            </w:tcBorders>
          </w:tcPr>
          <w:p>
            <w:pPr>
              <w:spacing w:after="0"/>
              <w:rPr>
                <w:sz w:val="2"/>
                <w:szCs w:val="2"/>
                <w:color w:val="auto"/>
              </w:rPr>
            </w:pPr>
          </w:p>
        </w:tc>
        <w:tc>
          <w:tcPr>
            <w:tcW w:w="512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288"/>
        </w:trPr>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5120" w:type="dxa"/>
            <w:vAlign w:val="bottom"/>
            <w:tcBorders>
              <w:bottom w:val="single" w:sz="8" w:color="CCEEFF"/>
            </w:tcBorders>
            <w:shd w:val="clear" w:color="auto" w:fill="CCEEFF"/>
          </w:tcPr>
          <w:p>
            <w:pPr>
              <w:ind w:left="4360"/>
              <w:spacing w:after="0"/>
              <w:rPr>
                <w:sz w:val="20"/>
                <w:szCs w:val="20"/>
                <w:color w:val="auto"/>
              </w:rPr>
            </w:pPr>
            <w:r>
              <w:rPr>
                <w:rFonts w:ascii="Arial" w:cs="Arial" w:eastAsia="Arial" w:hAnsi="Arial"/>
                <w:sz w:val="18"/>
                <w:szCs w:val="18"/>
                <w:color w:val="auto"/>
              </w:rPr>
              <w:t>(2.6)%</w:t>
            </w:r>
          </w:p>
        </w:tc>
        <w:tc>
          <w:tcPr>
            <w:tcW w:w="3760" w:type="dxa"/>
            <w:vAlign w:val="bottom"/>
            <w:tcBorders>
              <w:bottom w:val="single" w:sz="8" w:color="CCEEFF"/>
            </w:tcBorders>
            <w:shd w:val="clear" w:color="auto" w:fill="CCEEFF"/>
          </w:tcPr>
          <w:p>
            <w:pPr>
              <w:ind w:left="3220"/>
              <w:spacing w:after="0"/>
              <w:rPr>
                <w:sz w:val="20"/>
                <w:szCs w:val="20"/>
                <w:color w:val="auto"/>
              </w:rPr>
            </w:pPr>
            <w:r>
              <w:rPr>
                <w:rFonts w:ascii="Arial" w:cs="Arial" w:eastAsia="Arial" w:hAnsi="Arial"/>
                <w:sz w:val="18"/>
                <w:szCs w:val="18"/>
                <w:color w:val="auto"/>
                <w:w w:val="98"/>
              </w:rPr>
              <w:t>(6.7)%</w:t>
            </w:r>
          </w:p>
        </w:tc>
      </w:tr>
      <w:tr>
        <w:trPr>
          <w:trHeight w:val="20"/>
        </w:trPr>
        <w:tc>
          <w:tcPr>
            <w:tcW w:w="2360" w:type="dxa"/>
            <w:vAlign w:val="bottom"/>
            <w:tcBorders>
              <w:top w:val="single" w:sz="8" w:color="auto"/>
              <w:bottom w:val="single" w:sz="8" w:color="auto"/>
            </w:tcBorders>
          </w:tcPr>
          <w:p>
            <w:pPr>
              <w:spacing w:after="0" w:line="20" w:lineRule="exact"/>
              <w:rPr>
                <w:sz w:val="1"/>
                <w:szCs w:val="1"/>
                <w:color w:val="auto"/>
              </w:rPr>
            </w:pPr>
          </w:p>
        </w:tc>
        <w:tc>
          <w:tcPr>
            <w:tcW w:w="5120" w:type="dxa"/>
            <w:vAlign w:val="bottom"/>
            <w:tcBorders>
              <w:top w:val="single" w:sz="8" w:color="auto"/>
              <w:bottom w:val="single" w:sz="8" w:color="auto"/>
            </w:tcBorders>
          </w:tcPr>
          <w:p>
            <w:pPr>
              <w:spacing w:after="0" w:line="20" w:lineRule="exact"/>
              <w:rPr>
                <w:sz w:val="1"/>
                <w:szCs w:val="1"/>
                <w:color w:val="auto"/>
              </w:rPr>
            </w:pPr>
          </w:p>
        </w:tc>
        <w:tc>
          <w:tcPr>
            <w:tcW w:w="37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i w:val="1"/>
          <w:iCs w:val="1"/>
          <w:color w:val="auto"/>
        </w:rPr>
        <w:t>The 2.6 and 6.7 percent decreases in net sales for Industrial &amp; Flow Technologies in the third quarter and first nine months, respectively, of 2020 from 2019 were primarily driven by:</w:t>
      </w:r>
    </w:p>
    <w:p>
      <w:pPr>
        <w:spacing w:after="0" w:line="116" w:lineRule="exact"/>
        <w:rPr>
          <w:sz w:val="20"/>
          <w:szCs w:val="20"/>
          <w:color w:val="auto"/>
        </w:rPr>
      </w:pPr>
    </w:p>
    <w:p>
      <w:pPr>
        <w:ind w:left="500" w:right="60" w:hanging="330"/>
        <w:spacing w:after="0" w:line="286" w:lineRule="auto"/>
        <w:tabs>
          <w:tab w:leader="none" w:pos="495" w:val="left"/>
        </w:tabs>
        <w:numPr>
          <w:ilvl w:val="0"/>
          <w:numId w:val="39"/>
        </w:numPr>
        <w:rPr>
          <w:rFonts w:ascii="Arial" w:cs="Arial" w:eastAsia="Arial" w:hAnsi="Arial"/>
          <w:sz w:val="17"/>
          <w:szCs w:val="17"/>
          <w:color w:val="auto"/>
        </w:rPr>
      </w:pPr>
      <w:r>
        <w:rPr>
          <w:rFonts w:ascii="Arial" w:cs="Arial" w:eastAsia="Arial" w:hAnsi="Arial"/>
          <w:sz w:val="17"/>
          <w:szCs w:val="17"/>
          <w:color w:val="auto"/>
        </w:rPr>
        <w:t>decreased sales volume in our commercial water supply and water disposal, industrial filtration and food and beverage businesses due to less project sales as a result of customers deferring their capital spending and less service and aftermarket revenue driven by reduced consumption and travel restrictions from government-mandated shutdowns and “shelter-in-place” orders due to the COVID-19 pandemic;</w:t>
      </w:r>
    </w:p>
    <w:p>
      <w:pPr>
        <w:spacing w:after="0" w:line="111" w:lineRule="exact"/>
        <w:rPr>
          <w:rFonts w:ascii="Arial" w:cs="Arial" w:eastAsia="Arial" w:hAnsi="Arial"/>
          <w:sz w:val="17"/>
          <w:szCs w:val="17"/>
          <w:color w:val="auto"/>
        </w:rPr>
      </w:pPr>
    </w:p>
    <w:p>
      <w:pPr>
        <w:ind w:left="500" w:right="60" w:hanging="330"/>
        <w:spacing w:after="0" w:line="277" w:lineRule="auto"/>
        <w:tabs>
          <w:tab w:leader="none" w:pos="495"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decreased sales volume in our residential and irrigation flow businesses in the first half of 2020 due to market conditions resulting from the COVID-19 pandemic; and</w:t>
      </w:r>
    </w:p>
    <w:p>
      <w:pPr>
        <w:spacing w:after="0" w:line="116" w:lineRule="exact"/>
        <w:rPr>
          <w:rFonts w:ascii="Arial" w:cs="Arial" w:eastAsia="Arial" w:hAnsi="Arial"/>
          <w:sz w:val="18"/>
          <w:szCs w:val="18"/>
          <w:color w:val="auto"/>
        </w:rPr>
      </w:pPr>
    </w:p>
    <w:p>
      <w:pPr>
        <w:ind w:left="480" w:hanging="310"/>
        <w:spacing w:after="0"/>
        <w:tabs>
          <w:tab w:leader="none" w:pos="4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unfavorable foreign currency effects in the first nine months compared to the same period of the prior year.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These decreases were partially offset by:</w:t>
      </w:r>
    </w:p>
    <w:p>
      <w:pPr>
        <w:spacing w:after="0" w:line="171" w:lineRule="exact"/>
        <w:rPr>
          <w:sz w:val="20"/>
          <w:szCs w:val="20"/>
          <w:color w:val="auto"/>
        </w:rPr>
      </w:pPr>
    </w:p>
    <w:p>
      <w:pPr>
        <w:ind w:left="500" w:right="360" w:hanging="330"/>
        <w:spacing w:after="0" w:line="277" w:lineRule="auto"/>
        <w:tabs>
          <w:tab w:leader="none" w:pos="495"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increased sales volume in our residential and irrigation flow businesses in the third quarter of 2020 due to strong demand in the residential water supply, water disposal and specialty spray product lines;</w:t>
      </w:r>
    </w:p>
    <w:p>
      <w:pPr>
        <w:spacing w:after="0" w:line="116" w:lineRule="exact"/>
        <w:rPr>
          <w:rFonts w:ascii="Arial" w:cs="Arial" w:eastAsia="Arial" w:hAnsi="Arial"/>
          <w:sz w:val="18"/>
          <w:szCs w:val="18"/>
          <w:color w:val="auto"/>
        </w:rPr>
      </w:pPr>
    </w:p>
    <w:p>
      <w:pPr>
        <w:ind w:left="480" w:hanging="310"/>
        <w:spacing w:after="0"/>
        <w:tabs>
          <w:tab w:leader="none" w:pos="4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sales growth in our infrastructure business as a result of strong backlog entering 2020; and</w:t>
      </w:r>
    </w:p>
    <w:p>
      <w:pPr>
        <w:spacing w:after="0" w:line="171" w:lineRule="exact"/>
        <w:rPr>
          <w:rFonts w:ascii="Arial" w:cs="Arial" w:eastAsia="Arial" w:hAnsi="Arial"/>
          <w:sz w:val="18"/>
          <w:szCs w:val="18"/>
          <w:color w:val="auto"/>
        </w:rPr>
      </w:pPr>
    </w:p>
    <w:p>
      <w:pPr>
        <w:ind w:left="480" w:hanging="310"/>
        <w:spacing w:after="0"/>
        <w:tabs>
          <w:tab w:leader="none" w:pos="4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inflationary cost increases.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income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the change in Industrial &amp; Flow Technologies segment income as a percentage of net sales from the prior period were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00" w:type="dxa"/>
            <w:vAlign w:val="bottom"/>
          </w:tcPr>
          <w:p>
            <w:pPr>
              <w:spacing w:after="0"/>
              <w:rPr>
                <w:sz w:val="20"/>
                <w:szCs w:val="20"/>
                <w:color w:val="auto"/>
              </w:rPr>
            </w:pPr>
          </w:p>
        </w:tc>
        <w:tc>
          <w:tcPr>
            <w:tcW w:w="4460" w:type="dxa"/>
            <w:vAlign w:val="bottom"/>
          </w:tcPr>
          <w:p>
            <w:pPr>
              <w:jc w:val="center"/>
              <w:ind w:left="870"/>
              <w:spacing w:after="0"/>
              <w:rPr>
                <w:sz w:val="20"/>
                <w:szCs w:val="20"/>
                <w:color w:val="auto"/>
              </w:rPr>
            </w:pPr>
            <w:r>
              <w:rPr>
                <w:rFonts w:ascii="Arial" w:cs="Arial" w:eastAsia="Arial" w:hAnsi="Arial"/>
                <w:sz w:val="18"/>
                <w:szCs w:val="18"/>
                <w:b w:val="1"/>
                <w:bCs w:val="1"/>
                <w:color w:val="auto"/>
                <w:w w:val="89"/>
              </w:rPr>
              <w:t>Three months ended September 30, 2020</w:t>
            </w:r>
          </w:p>
        </w:tc>
        <w:tc>
          <w:tcPr>
            <w:tcW w:w="500" w:type="dxa"/>
            <w:vAlign w:val="bottom"/>
          </w:tcPr>
          <w:p>
            <w:pPr>
              <w:spacing w:after="0"/>
              <w:rPr>
                <w:sz w:val="20"/>
                <w:szCs w:val="20"/>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88"/>
              </w:rPr>
              <w:t>Nine months ended September 30, 2020</w:t>
            </w:r>
          </w:p>
        </w:tc>
        <w:tc>
          <w:tcPr>
            <w:tcW w:w="260" w:type="dxa"/>
            <w:vAlign w:val="bottom"/>
          </w:tcPr>
          <w:p>
            <w:pPr>
              <w:spacing w:after="0"/>
              <w:rPr>
                <w:sz w:val="20"/>
                <w:szCs w:val="20"/>
                <w:color w:val="auto"/>
              </w:rPr>
            </w:pPr>
          </w:p>
        </w:tc>
      </w:tr>
      <w:tr>
        <w:trPr>
          <w:trHeight w:val="270"/>
        </w:trPr>
        <w:tc>
          <w:tcPr>
            <w:tcW w:w="2500" w:type="dxa"/>
            <w:vAlign w:val="bottom"/>
          </w:tcPr>
          <w:p>
            <w:pPr>
              <w:spacing w:after="0"/>
              <w:rPr>
                <w:sz w:val="23"/>
                <w:szCs w:val="23"/>
                <w:color w:val="auto"/>
              </w:rPr>
            </w:pPr>
          </w:p>
        </w:tc>
        <w:tc>
          <w:tcPr>
            <w:tcW w:w="4460" w:type="dxa"/>
            <w:vAlign w:val="bottom"/>
          </w:tcPr>
          <w:p>
            <w:pPr>
              <w:jc w:val="center"/>
              <w:ind w:left="890"/>
              <w:spacing w:after="0"/>
              <w:rPr>
                <w:sz w:val="20"/>
                <w:szCs w:val="20"/>
                <w:color w:val="auto"/>
              </w:rPr>
            </w:pPr>
            <w:r>
              <w:rPr>
                <w:rFonts w:ascii="Arial" w:cs="Arial" w:eastAsia="Arial" w:hAnsi="Arial"/>
                <w:sz w:val="18"/>
                <w:szCs w:val="18"/>
                <w:b w:val="1"/>
                <w:bCs w:val="1"/>
                <w:color w:val="auto"/>
                <w:w w:val="91"/>
              </w:rPr>
              <w:t>over the prior year period</w:t>
            </w:r>
          </w:p>
        </w:tc>
        <w:tc>
          <w:tcPr>
            <w:tcW w:w="500" w:type="dxa"/>
            <w:vAlign w:val="bottom"/>
          </w:tcPr>
          <w:p>
            <w:pPr>
              <w:spacing w:after="0"/>
              <w:rPr>
                <w:sz w:val="23"/>
                <w:szCs w:val="23"/>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1"/>
              </w:rPr>
              <w:t>over the prior year period</w:t>
            </w:r>
          </w:p>
        </w:tc>
        <w:tc>
          <w:tcPr>
            <w:tcW w:w="260" w:type="dxa"/>
            <w:vAlign w:val="bottom"/>
          </w:tcPr>
          <w:p>
            <w:pPr>
              <w:spacing w:after="0"/>
              <w:rPr>
                <w:sz w:val="23"/>
                <w:szCs w:val="23"/>
                <w:color w:val="auto"/>
              </w:rPr>
            </w:pPr>
          </w:p>
        </w:tc>
      </w:tr>
      <w:tr>
        <w:trPr>
          <w:trHeight w:val="27"/>
        </w:trPr>
        <w:tc>
          <w:tcPr>
            <w:tcW w:w="2500" w:type="dxa"/>
            <w:vAlign w:val="bottom"/>
            <w:tcBorders>
              <w:bottom w:val="single" w:sz="8" w:color="auto"/>
            </w:tcBorders>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243"/>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Growth</w:t>
            </w:r>
          </w:p>
        </w:tc>
        <w:tc>
          <w:tcPr>
            <w:tcW w:w="4460" w:type="dxa"/>
            <w:vAlign w:val="bottom"/>
            <w:tcBorders>
              <w:bottom w:val="single" w:sz="8" w:color="CCEEFF"/>
            </w:tcBorders>
            <w:shd w:val="clear" w:color="auto" w:fill="CCEEFF"/>
          </w:tcPr>
          <w:p>
            <w:pPr>
              <w:jc w:val="center"/>
              <w:ind w:left="3950"/>
              <w:spacing w:after="0"/>
              <w:rPr>
                <w:sz w:val="20"/>
                <w:szCs w:val="20"/>
                <w:color w:val="auto"/>
              </w:rPr>
            </w:pPr>
            <w:r>
              <w:rPr>
                <w:rFonts w:ascii="Arial" w:cs="Arial" w:eastAsia="Arial" w:hAnsi="Arial"/>
                <w:sz w:val="18"/>
                <w:szCs w:val="18"/>
                <w:color w:val="auto"/>
                <w:w w:val="91"/>
              </w:rPr>
              <w:t>(2.9)</w:t>
            </w:r>
          </w:p>
        </w:tc>
        <w:tc>
          <w:tcPr>
            <w:tcW w:w="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pts</w:t>
            </w:r>
          </w:p>
        </w:tc>
        <w:tc>
          <w:tcPr>
            <w:tcW w:w="3520" w:type="dxa"/>
            <w:vAlign w:val="bottom"/>
            <w:tcBorders>
              <w:bottom w:val="single" w:sz="8" w:color="CCEEFF"/>
            </w:tcBorders>
            <w:shd w:val="clear" w:color="auto" w:fill="CCEEFF"/>
          </w:tcPr>
          <w:p>
            <w:pPr>
              <w:jc w:val="center"/>
              <w:ind w:left="3010"/>
              <w:spacing w:after="0"/>
              <w:rPr>
                <w:sz w:val="20"/>
                <w:szCs w:val="20"/>
                <w:color w:val="auto"/>
              </w:rPr>
            </w:pPr>
            <w:r>
              <w:rPr>
                <w:rFonts w:ascii="Arial" w:cs="Arial" w:eastAsia="Arial" w:hAnsi="Arial"/>
                <w:sz w:val="18"/>
                <w:szCs w:val="18"/>
                <w:color w:val="auto"/>
                <w:w w:val="91"/>
              </w:rPr>
              <w:t>(2.5)</w:t>
            </w: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3"/>
              </w:rPr>
              <w:t>pts</w:t>
            </w:r>
          </w:p>
        </w:tc>
      </w:tr>
      <w:tr>
        <w:trPr>
          <w:trHeight w:val="243"/>
        </w:trPr>
        <w:tc>
          <w:tcPr>
            <w:tcW w:w="2500" w:type="dxa"/>
            <w:vAlign w:val="bottom"/>
          </w:tcPr>
          <w:p>
            <w:pPr>
              <w:ind w:left="20"/>
              <w:spacing w:after="0"/>
              <w:rPr>
                <w:sz w:val="20"/>
                <w:szCs w:val="20"/>
                <w:color w:val="auto"/>
              </w:rPr>
            </w:pPr>
            <w:r>
              <w:rPr>
                <w:rFonts w:ascii="Arial" w:cs="Arial" w:eastAsia="Arial" w:hAnsi="Arial"/>
                <w:sz w:val="18"/>
                <w:szCs w:val="18"/>
                <w:color w:val="auto"/>
              </w:rPr>
              <w:t>Inflation</w:t>
            </w:r>
          </w:p>
        </w:tc>
        <w:tc>
          <w:tcPr>
            <w:tcW w:w="4460" w:type="dxa"/>
            <w:vAlign w:val="bottom"/>
          </w:tcPr>
          <w:p>
            <w:pPr>
              <w:jc w:val="center"/>
              <w:ind w:left="3950"/>
              <w:spacing w:after="0"/>
              <w:rPr>
                <w:sz w:val="20"/>
                <w:szCs w:val="20"/>
                <w:color w:val="auto"/>
              </w:rPr>
            </w:pPr>
            <w:r>
              <w:rPr>
                <w:rFonts w:ascii="Arial" w:cs="Arial" w:eastAsia="Arial" w:hAnsi="Arial"/>
                <w:sz w:val="18"/>
                <w:szCs w:val="18"/>
                <w:color w:val="auto"/>
                <w:w w:val="91"/>
              </w:rPr>
              <w:t>(1.3)</w:t>
            </w:r>
          </w:p>
        </w:tc>
        <w:tc>
          <w:tcPr>
            <w:tcW w:w="500" w:type="dxa"/>
            <w:vAlign w:val="bottom"/>
          </w:tcPr>
          <w:p>
            <w:pPr>
              <w:spacing w:after="0"/>
              <w:rPr>
                <w:sz w:val="21"/>
                <w:szCs w:val="21"/>
                <w:color w:val="auto"/>
              </w:rPr>
            </w:pPr>
          </w:p>
        </w:tc>
        <w:tc>
          <w:tcPr>
            <w:tcW w:w="3520" w:type="dxa"/>
            <w:vAlign w:val="bottom"/>
          </w:tcPr>
          <w:p>
            <w:pPr>
              <w:jc w:val="center"/>
              <w:ind w:left="3010"/>
              <w:spacing w:after="0"/>
              <w:rPr>
                <w:sz w:val="20"/>
                <w:szCs w:val="20"/>
                <w:color w:val="auto"/>
              </w:rPr>
            </w:pPr>
            <w:r>
              <w:rPr>
                <w:rFonts w:ascii="Arial" w:cs="Arial" w:eastAsia="Arial" w:hAnsi="Arial"/>
                <w:sz w:val="18"/>
                <w:szCs w:val="18"/>
                <w:color w:val="auto"/>
                <w:w w:val="91"/>
              </w:rPr>
              <w:t>(1.1)</w:t>
            </w:r>
          </w:p>
        </w:tc>
        <w:tc>
          <w:tcPr>
            <w:tcW w:w="260" w:type="dxa"/>
            <w:vAlign w:val="bottom"/>
          </w:tcPr>
          <w:p>
            <w:pPr>
              <w:spacing w:after="0"/>
              <w:rPr>
                <w:sz w:val="21"/>
                <w:szCs w:val="21"/>
                <w:color w:val="auto"/>
              </w:rPr>
            </w:pPr>
          </w:p>
        </w:tc>
      </w:tr>
      <w:tr>
        <w:trPr>
          <w:trHeight w:val="27"/>
        </w:trPr>
        <w:tc>
          <w:tcPr>
            <w:tcW w:w="2500" w:type="dxa"/>
            <w:vAlign w:val="bottom"/>
          </w:tcPr>
          <w:p>
            <w:pPr>
              <w:spacing w:after="0"/>
              <w:rPr>
                <w:sz w:val="2"/>
                <w:szCs w:val="2"/>
                <w:color w:val="auto"/>
              </w:rPr>
            </w:pPr>
          </w:p>
        </w:tc>
        <w:tc>
          <w:tcPr>
            <w:tcW w:w="4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52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75"/>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Productivity/Price</w:t>
            </w:r>
          </w:p>
        </w:tc>
        <w:tc>
          <w:tcPr>
            <w:tcW w:w="4460" w:type="dxa"/>
            <w:vAlign w:val="bottom"/>
            <w:tcBorders>
              <w:bottom w:val="single" w:sz="8" w:color="CCEEFF"/>
            </w:tcBorders>
            <w:shd w:val="clear" w:color="auto" w:fill="CCEEFF"/>
          </w:tcPr>
          <w:p>
            <w:pPr>
              <w:jc w:val="center"/>
              <w:ind w:left="3990"/>
              <w:spacing w:after="0"/>
              <w:rPr>
                <w:sz w:val="20"/>
                <w:szCs w:val="20"/>
                <w:color w:val="auto"/>
              </w:rPr>
            </w:pPr>
            <w:r>
              <w:rPr>
                <w:rFonts w:ascii="Arial" w:cs="Arial" w:eastAsia="Arial" w:hAnsi="Arial"/>
                <w:sz w:val="18"/>
                <w:szCs w:val="18"/>
                <w:color w:val="auto"/>
                <w:w w:val="87"/>
              </w:rPr>
              <w:t>0.6</w:t>
            </w:r>
          </w:p>
        </w:tc>
        <w:tc>
          <w:tcPr>
            <w:tcW w:w="500" w:type="dxa"/>
            <w:vAlign w:val="bottom"/>
            <w:tcBorders>
              <w:bottom w:val="single" w:sz="8" w:color="CCEEFF"/>
            </w:tcBorders>
            <w:shd w:val="clear" w:color="auto" w:fill="CCEEFF"/>
          </w:tcPr>
          <w:p>
            <w:pPr>
              <w:spacing w:after="0"/>
              <w:rPr>
                <w:sz w:val="23"/>
                <w:szCs w:val="23"/>
                <w:color w:val="auto"/>
              </w:rPr>
            </w:pPr>
          </w:p>
        </w:tc>
        <w:tc>
          <w:tcPr>
            <w:tcW w:w="3520" w:type="dxa"/>
            <w:vAlign w:val="bottom"/>
            <w:tcBorders>
              <w:bottom w:val="single" w:sz="8" w:color="CCEEFF"/>
            </w:tcBorders>
            <w:shd w:val="clear" w:color="auto" w:fill="CCEEFF"/>
          </w:tcPr>
          <w:p>
            <w:pPr>
              <w:jc w:val="center"/>
              <w:ind w:left="3050"/>
              <w:spacing w:after="0"/>
              <w:rPr>
                <w:sz w:val="20"/>
                <w:szCs w:val="20"/>
                <w:color w:val="auto"/>
              </w:rPr>
            </w:pPr>
            <w:r>
              <w:rPr>
                <w:rFonts w:ascii="Arial" w:cs="Arial" w:eastAsia="Arial" w:hAnsi="Arial"/>
                <w:sz w:val="18"/>
                <w:szCs w:val="18"/>
                <w:color w:val="auto"/>
                <w:w w:val="87"/>
              </w:rPr>
              <w:t>2.1</w:t>
            </w:r>
          </w:p>
        </w:tc>
        <w:tc>
          <w:tcPr>
            <w:tcW w:w="260" w:type="dxa"/>
            <w:vAlign w:val="bottom"/>
            <w:tcBorders>
              <w:bottom w:val="single" w:sz="8" w:color="CCEEFF"/>
            </w:tcBorders>
            <w:shd w:val="clear" w:color="auto" w:fill="CCEEFF"/>
          </w:tcPr>
          <w:p>
            <w:pPr>
              <w:spacing w:after="0"/>
              <w:rPr>
                <w:sz w:val="23"/>
                <w:szCs w:val="23"/>
                <w:color w:val="auto"/>
              </w:rPr>
            </w:pPr>
          </w:p>
        </w:tc>
      </w:tr>
      <w:tr>
        <w:trPr>
          <w:trHeight w:val="237"/>
        </w:trPr>
        <w:tc>
          <w:tcPr>
            <w:tcW w:w="25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4460" w:type="dxa"/>
            <w:vAlign w:val="bottom"/>
            <w:tcBorders>
              <w:top w:val="single" w:sz="8" w:color="auto"/>
            </w:tcBorders>
          </w:tcPr>
          <w:p>
            <w:pPr>
              <w:jc w:val="center"/>
              <w:ind w:left="3950"/>
              <w:spacing w:after="0"/>
              <w:rPr>
                <w:sz w:val="20"/>
                <w:szCs w:val="20"/>
                <w:color w:val="auto"/>
              </w:rPr>
            </w:pPr>
            <w:r>
              <w:rPr>
                <w:rFonts w:ascii="Arial" w:cs="Arial" w:eastAsia="Arial" w:hAnsi="Arial"/>
                <w:sz w:val="18"/>
                <w:szCs w:val="18"/>
                <w:color w:val="auto"/>
                <w:w w:val="91"/>
              </w:rPr>
              <w:t>(3.6)</w:t>
            </w:r>
          </w:p>
        </w:tc>
        <w:tc>
          <w:tcPr>
            <w:tcW w:w="5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pts</w:t>
            </w:r>
          </w:p>
        </w:tc>
        <w:tc>
          <w:tcPr>
            <w:tcW w:w="3520" w:type="dxa"/>
            <w:vAlign w:val="bottom"/>
            <w:tcBorders>
              <w:top w:val="single" w:sz="8" w:color="auto"/>
            </w:tcBorders>
          </w:tcPr>
          <w:p>
            <w:pPr>
              <w:jc w:val="center"/>
              <w:ind w:left="3010"/>
              <w:spacing w:after="0"/>
              <w:rPr>
                <w:sz w:val="20"/>
                <w:szCs w:val="20"/>
                <w:color w:val="auto"/>
              </w:rPr>
            </w:pPr>
            <w:r>
              <w:rPr>
                <w:rFonts w:ascii="Arial" w:cs="Arial" w:eastAsia="Arial" w:hAnsi="Arial"/>
                <w:sz w:val="18"/>
                <w:szCs w:val="18"/>
                <w:color w:val="auto"/>
                <w:w w:val="91"/>
              </w:rPr>
              <w:t>(1.5)</w:t>
            </w:r>
          </w:p>
        </w:tc>
        <w:tc>
          <w:tcPr>
            <w:tcW w:w="2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83"/>
              </w:rPr>
              <w:t>pts</w:t>
            </w:r>
          </w:p>
        </w:tc>
      </w:tr>
      <w:tr>
        <w:trPr>
          <w:trHeight w:val="27"/>
        </w:trPr>
        <w:tc>
          <w:tcPr>
            <w:tcW w:w="2500" w:type="dxa"/>
            <w:vAlign w:val="bottom"/>
            <w:tcBorders>
              <w:bottom w:val="single" w:sz="8" w:color="auto"/>
            </w:tcBorders>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20"/>
        </w:trPr>
        <w:tc>
          <w:tcPr>
            <w:tcW w:w="2500" w:type="dxa"/>
            <w:vAlign w:val="bottom"/>
            <w:tcBorders>
              <w:bottom w:val="single" w:sz="8" w:color="auto"/>
            </w:tcBorders>
          </w:tcPr>
          <w:p>
            <w:pPr>
              <w:spacing w:after="0" w:line="20" w:lineRule="exact"/>
              <w:rPr>
                <w:sz w:val="1"/>
                <w:szCs w:val="1"/>
                <w:color w:val="auto"/>
              </w:rPr>
            </w:pPr>
          </w:p>
        </w:tc>
        <w:tc>
          <w:tcPr>
            <w:tcW w:w="44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5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i w:val="1"/>
          <w:iCs w:val="1"/>
          <w:color w:val="auto"/>
        </w:rPr>
        <w:t xml:space="preserve">The 3.6 </w:t>
      </w:r>
      <w:r>
        <w:rPr>
          <w:rFonts w:ascii="Arial" w:cs="Arial" w:eastAsia="Arial" w:hAnsi="Arial"/>
          <w:sz w:val="18"/>
          <w:szCs w:val="18"/>
          <w:color w:val="auto"/>
        </w:rPr>
        <w:t>and</w:t>
      </w:r>
      <w:r>
        <w:rPr>
          <w:rFonts w:ascii="Arial" w:cs="Arial" w:eastAsia="Arial" w:hAnsi="Arial"/>
          <w:sz w:val="18"/>
          <w:szCs w:val="18"/>
          <w:i w:val="1"/>
          <w:iCs w:val="1"/>
          <w:color w:val="auto"/>
        </w:rPr>
        <w:t xml:space="preserve"> 1.5 percentage point decreases in segment income for Industrial &amp; Flow Technologies as a percentage of net sales in the third quarter and first nine months, respectively, of 2020 from 2019 were primarily driven by:</w:t>
      </w:r>
    </w:p>
    <w:p>
      <w:pPr>
        <w:spacing w:after="0" w:line="116" w:lineRule="exact"/>
        <w:rPr>
          <w:sz w:val="20"/>
          <w:szCs w:val="20"/>
          <w:color w:val="auto"/>
        </w:rPr>
      </w:pPr>
    </w:p>
    <w:p>
      <w:pPr>
        <w:ind w:left="500" w:right="140" w:hanging="330"/>
        <w:spacing w:after="0" w:line="277" w:lineRule="auto"/>
        <w:tabs>
          <w:tab w:leader="none" w:pos="495"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decreased sales volumes in our residential and irrigation flow businesses in the first half of 2020 due to the COVID-19 pandemic, which resulted in decreased leverage on fixed operating expenses;</w:t>
      </w:r>
    </w:p>
    <w:p>
      <w:pPr>
        <w:spacing w:after="0" w:line="116" w:lineRule="exact"/>
        <w:rPr>
          <w:rFonts w:ascii="Arial" w:cs="Arial" w:eastAsia="Arial" w:hAnsi="Arial"/>
          <w:sz w:val="18"/>
          <w:szCs w:val="18"/>
          <w:color w:val="auto"/>
        </w:rPr>
      </w:pPr>
    </w:p>
    <w:p>
      <w:pPr>
        <w:ind w:left="500" w:right="660" w:hanging="330"/>
        <w:spacing w:after="0" w:line="277" w:lineRule="auto"/>
        <w:tabs>
          <w:tab w:leader="none" w:pos="495"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decreased sales volume in our commercial water supply and water disposal, industrial filtration and food and beverage businesses due to the COVID-19 pandemic along with unfavorable mix within our industrial filtration business; and</w:t>
      </w:r>
    </w:p>
    <w:p>
      <w:pPr>
        <w:spacing w:after="0" w:line="116" w:lineRule="exact"/>
        <w:rPr>
          <w:rFonts w:ascii="Arial" w:cs="Arial" w:eastAsia="Arial" w:hAnsi="Arial"/>
          <w:sz w:val="18"/>
          <w:szCs w:val="18"/>
          <w:color w:val="auto"/>
        </w:rPr>
      </w:pPr>
    </w:p>
    <w:p>
      <w:pPr>
        <w:ind w:left="480" w:hanging="310"/>
        <w:spacing w:after="0"/>
        <w:tabs>
          <w:tab w:leader="none" w:pos="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inflationary increases related to raw material and labor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These decreases were partially offset by:</w:t>
      </w:r>
    </w:p>
    <w:p>
      <w:pPr>
        <w:spacing w:after="0" w:line="171" w:lineRule="exact"/>
        <w:rPr>
          <w:sz w:val="20"/>
          <w:szCs w:val="20"/>
          <w:color w:val="auto"/>
        </w:rPr>
      </w:pPr>
    </w:p>
    <w:p>
      <w:pPr>
        <w:ind w:left="480" w:hanging="310"/>
        <w:spacing w:after="0"/>
        <w:tabs>
          <w:tab w:leader="none" w:pos="4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inflationary cost increases;</w:t>
      </w:r>
    </w:p>
    <w:p>
      <w:pPr>
        <w:spacing w:after="0" w:line="171" w:lineRule="exact"/>
        <w:rPr>
          <w:rFonts w:ascii="Arial" w:cs="Arial" w:eastAsia="Arial" w:hAnsi="Arial"/>
          <w:sz w:val="18"/>
          <w:szCs w:val="18"/>
          <w:color w:val="auto"/>
        </w:rPr>
      </w:pPr>
    </w:p>
    <w:p>
      <w:pPr>
        <w:ind w:left="480" w:hanging="310"/>
        <w:spacing w:after="0"/>
        <w:tabs>
          <w:tab w:leader="none" w:pos="4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lower sales incentive expense in line with decreased sales; and</w:t>
      </w:r>
    </w:p>
    <w:p>
      <w:pPr>
        <w:spacing w:after="0" w:line="171" w:lineRule="exact"/>
        <w:rPr>
          <w:rFonts w:ascii="Arial" w:cs="Arial" w:eastAsia="Arial" w:hAnsi="Arial"/>
          <w:sz w:val="18"/>
          <w:szCs w:val="18"/>
          <w:color w:val="auto"/>
        </w:rPr>
      </w:pPr>
    </w:p>
    <w:p>
      <w:pPr>
        <w:ind w:left="480" w:hanging="310"/>
        <w:spacing w:after="0"/>
        <w:tabs>
          <w:tab w:leader="none" w:pos="4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increased productivity due to cost actions driving manufacturing efficiencies and lower operating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generally fund cash requirements for working capital, capital expenditures, equity investments, acquisitions, debt repayments, dividend payments and share repurchases from cash generated from operations, availability under existing committed revolving credit facilities and in certain instances, public and private debt and equity offerings. Our primary revolving credit facilities have generally been adequate for these purposes, although we have negotiated additional credit facilities or completed debt and equity offerings as needed to allow us to complete acquisitions.</w:t>
      </w:r>
    </w:p>
    <w:p>
      <w:pPr>
        <w:spacing w:after="0" w:line="117"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We experience seasonal cash flows primarily due to seasonal demand in a number of markets. Consistent with historical trends, we experienced seasonal cash usage in the first quarter of 2020 and drew on our revolving credit facility to repay commercial paper and to fund our operations. This cash usage reversed in the second quarter of 2020 as the seasonality of our businesses peaked. Consistent with historical seasonal patterns, the second quarter of 2020 generated significant cash to fund our operations and we used this cash to significantly reduce the draw on our revolving credit facility. We continued to experience strong cash flow in the third quarter of 2020, which we used to further reduce the draw on our revolving credit facility.</w:t>
      </w:r>
    </w:p>
    <w:p>
      <w:pPr>
        <w:spacing w:after="0" w:line="107"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End-user demand for pool and certain pumping equipment follows warm weather trends and is at seasonal highs from April to August. The magnitude of the sales spike is partially mitigated by employing some advance sale “early buy” programs (generally including extended payment terms and/or additional discounts). Demand for residential and agricultural water systems is also impacted by weather patterns, particularly by heavy flooding and droughts.</w:t>
      </w:r>
    </w:p>
    <w:p>
      <w:pPr>
        <w:spacing w:after="0" w:line="9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expect to continue to have cash requirements to support working capital needs and capital expenditures, to pay interest and service debt and to pay dividends to shareholders quarterly. We believe our existing liquidity position, coupled with our currently anticipated operating cash flows will be sufficient to meet our cash needs arising in the ordinary course of business for the next twelve months. Although there is uncertainty of the impact of the COVID-19 pandemic on our future results, we believe we are well-positioned to manage our business and have the ability and sufficient capacity to meet these cash requirements by using available cash, internally generated funds and borrowing under our committed and uncommitted credit facilities. We are committed to maintaining investment grade credit ratings and a solid liquidity position.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3"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Cash provided by operating activities of continuing operations was $500.8 million in the first nine months of 2020, compared to $266.1 million in the same period of 2019.</w:t>
      </w:r>
    </w:p>
    <w:p>
      <w:pPr>
        <w:spacing w:after="0" w:line="13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$500.8 million in net cash provided by operating activities of continuing operations in the first nine months of 2020 primarily reflects $313.2 million of net income from continuing operations, net of non-cash depreciation and amortization. Additionally, the Company had a cash inflow of $165.6 million as a result of changes in net working capital, primarily the result of collections on accounts receivables from our early buy programs in the pool business that became due in the second quarter of 2020.</w:t>
      </w:r>
    </w:p>
    <w:p>
      <w:pPr>
        <w:spacing w:after="0" w:line="21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$266.1 million in net cash provided by operating activities of continuing operations in the first nine months of 2019 primarily reflects net income from continuing operations of $337.5 million, net of non-cash depreciation, amortization and asset impairments, partially offset by an increase in net working capital of $50.3 million, $11.1 million of pension plan contributions and an $11.8 million pension settlement gain in conjunction with the termination of the Pentair Salaried Plan during the first nine months of 2019.</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Cash used for investing activities was $70.6 million in the first nine months of 2020, compared to $329.5 million in the same period of 2019. Net cash used for investing activities in the first nine months of 2020 primarily reflects capital expenditures of $44.4 million and cash paid for acquisitions of $28.5 million, net of cash acquired.</w:t>
      </w:r>
    </w:p>
    <w:p>
      <w:pPr>
        <w:spacing w:after="0" w:line="13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Net cash used for investing activities in the first nine months of 2019 primarily reflects capital expenditures of $44.6 million and cash paid for the Aquion and Pelican acquisitions of $284.5 million, net of cash acquired.</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Net cash used for financing activities was $414.8 million in the first nine months of 2020, compared to $97.8 million of net cash provided by financing activities in the same period of 2019. Net cash used for financing activities in the first nine months of 2020 primarily relates to net repayments of commercial paper and revolving long-term debt of $151.3 million, the repayment of the 3.625% Senior Notes due in 2020 of $74.0 million, $115.2 million of share repurchases and dividend payments of $95.4 million.</w:t>
      </w:r>
    </w:p>
    <w:p>
      <w:pPr>
        <w:spacing w:after="0" w:line="22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Net cash provided by financing activities in the first nine months of 2019 primarily relates to proceeds from long-term debt of $400.0 million, net receipts of commercial paper and revolving long-term debt of $91.2 million, partially offset by $150.0 million of share repurchases, the payment of dividends of $92.4 million and the repayment of the 2.450% Senior Notes due in 2019 of $151.5 million.</w:t>
      </w:r>
    </w:p>
    <w:p>
      <w:pPr>
        <w:spacing w:after="0" w:line="13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April 2018, Pentair, PISG, PFSA and Pentair, Inc. entered into a credit agreement, providing for an $800.0 million senior unsecured revolving credit facility with a term of five years (the “Senior Credit Facility”), with Pentair and PISG as guarantors and PFSA and Pentair, Inc. as borrowers. In June 2020, Pentair assumed the PISG guarantee. The Senior Credit Facility has a maturity date of April 25, 2023. Borrowings under the Senior Credit Facility bear interest at a rate equal to an adjusted base rate or the London Interbank Offered Rate, plus, in each case, an applicable margin. The applicable margin is based on, at PFSA’s election, Pentair’s leverage level or PFSA’s public credit rating. In May 2019, PFSA executed an increase of the Senior Credit Facility by $100.0 million for a total commitment up to $900.0 million in the aggregate.</w:t>
      </w:r>
    </w:p>
    <w:p>
      <w:pPr>
        <w:spacing w:after="0" w:line="12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December 2019, the Senior Credit Facility was amended to provide for the extension of term loans in an aggregate amount of $200.0 million (the “Term Loans”). The Term Loans are in addition to the Senior Credit Facility commitment. In addition, PFSA has the option to further increase the Senior Credit Facility in an aggregate amount of up to $300.0 million, through a combination of increases to the total commitment amount of the Senior Credit Facility and/or one or more tranches of term loans in addition to the Term Loans, subject to customary conditions, including the commitment of the participating lenders.</w:t>
      </w:r>
    </w:p>
    <w:p>
      <w:pPr>
        <w:spacing w:after="0" w:line="13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In June 2019, PFSA completed a public offering of $400.0 million aggregate principal amount of PFSA’s 4.500% Senior Notes due 2029 (the “2029 Notes”). We used the net proceeds of the 2029 Notes to partially repay outstanding commercial paper.</w:t>
      </w:r>
    </w:p>
    <w:p>
      <w:pPr>
        <w:spacing w:after="0" w:line="116"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PFSA is authorized to sell short-term commercial paper notes to the extent availability exists under the Senior Credit Facility. PFSA uses the Senior Credit Facility as back-up liquidity to support 100% of commercial paper outstanding. PFSA had no commercial paper outstanding as of September 30, 2020 and $117.8 million as of December 31, 2019, all of which was classified as long-term debt as we have the intent and the ability to refinance such obligations on a long-term basis under the Senior Credit Facility.</w:t>
      </w:r>
    </w:p>
    <w:p>
      <w:pPr>
        <w:spacing w:after="0" w:line="133"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In March 2020, the commercial paper market began to experience high levels of volatility due to uncertainty related to the COVID-19 pandemic. The volatility impacted both market access to and pricing of commercial paper. As a cost mitigation action, we withdrew our credit ratings to access the commercial paper market in the second quarter of 2020 and continued to use the revolving credit facility, along with cash generated from operations, to fund our general operations. As of September 30, 2020, total availability under the Senior Credit Facility was $897.8 million.</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debt agreements contain various financial covenants, but the most restrictive covenants are contained in the Senior Credit Facility. The Senior Credit Facility contains covenants requiring us not to permit (i) the ratio of our consolidated debt (net of our consolidated unrestricted cash in excess of $5.0 million but not to exceed $250.0 million) to our consolidated net income (excluding, among other things, non-cash gains and losses) before interest, taxes, depreciation, amortization and non-cash share-based compensation expense (“EBITDA”) on the last day of any period of four consecutive fiscal quarters to exceed 3.75 to 1.00 (the “Leverage Ratio”) and (ii) the ratio of our EBITDA to our consolidated interest expense, for the same period to be less than 3.00 to 1.00 as of the end of each fiscal quarter. For purposes of the Leverage Ratio, the Senior Credit Facility provides for the calculation of EBITDA giving pro forma effect to certain acquisitions, divestitures and liquidations during the period to which such calculation relates. As of September 30, 2020, we were in compliance with all financial covenants in our debt agreements, and there was no material uncertainty about our ongoing ability to meet these covenants.</w:t>
      </w:r>
    </w:p>
    <w:p>
      <w:pPr>
        <w:spacing w:after="0" w:line="11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 addition to the Senior Credit Facility, we have various other credit facilities with an aggregate availability of $21.1 million, of which there were no outstanding borrowings at September 30, 2020. Borrowings under these credit facilities bear interest at variable rates.</w:t>
      </w:r>
    </w:p>
    <w:p>
      <w:pPr>
        <w:spacing w:after="0" w:line="19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have $103.8 million aggregate principal amount of fixed rate senior notes maturing in the next twelve months. We classified this debt as long-term as of September 30, 2020 as we have the intent and ability to refinance such obligation on a long-term basis under the Senior Credit Facility.</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As of September 30, 2020, we have $56.0 million of cash held in certain countries in which the ability to repatriate is limited due to local regulations or significant potential tax consequences.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Supplemental guarantor information</w:t>
      </w:r>
    </w:p>
    <w:p>
      <w:pPr>
        <w:spacing w:after="0" w:line="2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Prior to the second quarter of 2020, Pentair plc (the “Parent Company Guarantor”) and PISG (the “Subsidiary Guarantor”), fully and unconditionally, guaranteed the senior notes of PFSA (the “Subsidiary Issuer”). The Subsidiary Guarantor is a Switzerland limited liability company and 100 percent-owned subsidiary of the Parent Company Guarantor. The Subsidiary Issuer is a Luxembourg private limited liability company and 100 percent-owned subsidiary of the Parent Company Guarantor. In June 2020, the Parent Company Guarantor assumed the guarantee of the Subsidiary Guarantor, and the guarantee of the Subsidiary Guarantor was released.</w:t>
      </w:r>
    </w:p>
    <w:p>
      <w:pPr>
        <w:spacing w:after="0" w:line="21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Parent Company Guarantor is a holding company established to own directly and indirectly substantially all of its operating and other subsidiaries. The Subsidiary Issuer is a holding company formed to own directly and indirectly substantially all of its operating and other subsidiaries and to issue debt securities, including the senior notes. The Parent Company Guarantor’s principal source of cash flow, including cash flow to make payments on the senior notes pursuant to the guarantees, is dividends from its subsidiaries. The Subsidiary Issuer’s principal source of cash flow is interest income from its subsidiaries. None of the subsidiaries of the Parent Company Guarantor or the Subsidiary Issuer is under any direct obligation to pay or otherwise fund amounts due on the senior notes or the guarantees, whether in the form of dividends, distributions, loans or other payments. In addition, there may be statutory and regulatory limitations on the payment of dividends from certain subsidiaries of the Parent Company Guarantor or the Subsidiary Issuer. If such subsidiaries are unable to transfer funds to the Parent Company Guarantor or the Subsidiary Issuer and sufficient cash or liquidity is not otherwise available, the Parent Company Guarantor or the Subsidiary Issuer may not be able to make principal and interest payments on their outstanding debt, including the senior notes or the guarantees.</w:t>
      </w:r>
    </w:p>
    <w:p>
      <w:pPr>
        <w:spacing w:after="0" w:line="21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following table presents summarized financial information as of September 30, 2020 for the Parent Company Guarantor and Subsidiary Issuer and as of December 31, 2019 for the Parent Company Guarantor, Subsidiary Guarantor and Subsidiary Issuer on a combined basis after elimination of (i) intercompany transactions and balances among the guarantors and issuer and (ii) equity in earnings from and investments in any subsidiary that is a non-Guarantor or issuer.</w:t>
      </w:r>
    </w:p>
    <w:p>
      <w:pPr>
        <w:spacing w:after="0" w:line="35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860" w:type="dxa"/>
            <w:vAlign w:val="bottom"/>
          </w:tcPr>
          <w:p>
            <w:pPr>
              <w:jc w:val="right"/>
              <w:ind w:right="450"/>
              <w:spacing w:after="0"/>
              <w:rPr>
                <w:sz w:val="20"/>
                <w:szCs w:val="20"/>
                <w:color w:val="auto"/>
              </w:rPr>
            </w:pPr>
            <w:r>
              <w:rPr>
                <w:rFonts w:ascii="Arial" w:cs="Arial" w:eastAsia="Arial" w:hAnsi="Arial"/>
                <w:sz w:val="18"/>
                <w:szCs w:val="18"/>
                <w:b w:val="1"/>
                <w:bCs w:val="1"/>
                <w:color w:val="auto"/>
              </w:rPr>
              <w:t>September 30,</w:t>
            </w:r>
          </w:p>
        </w:tc>
        <w:tc>
          <w:tcPr>
            <w:tcW w:w="380" w:type="dxa"/>
            <w:vAlign w:val="bottom"/>
          </w:tcPr>
          <w:p>
            <w:pPr>
              <w:spacing w:after="0"/>
              <w:rPr>
                <w:sz w:val="18"/>
                <w:szCs w:val="18"/>
                <w:color w:val="auto"/>
              </w:rPr>
            </w:pPr>
          </w:p>
        </w:tc>
        <w:tc>
          <w:tcPr>
            <w:tcW w:w="1860" w:type="dxa"/>
            <w:vAlign w:val="bottom"/>
          </w:tcPr>
          <w:p>
            <w:pPr>
              <w:jc w:val="right"/>
              <w:ind w:right="49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4240" w:type="dxa"/>
            <w:vAlign w:val="bottom"/>
          </w:tcPr>
          <w:p>
            <w:pPr>
              <w:spacing w:after="0"/>
              <w:rPr>
                <w:sz w:val="20"/>
                <w:szCs w:val="20"/>
                <w:color w:val="auto"/>
              </w:rPr>
            </w:pPr>
            <w:r>
              <w:rPr>
                <w:rFonts w:ascii="Arial" w:cs="Arial" w:eastAsia="Arial" w:hAnsi="Arial"/>
                <w:sz w:val="18"/>
                <w:szCs w:val="18"/>
                <w:i w:val="1"/>
                <w:iCs w:val="1"/>
                <w:color w:val="auto"/>
              </w:rPr>
              <w:t>In millions</w:t>
            </w:r>
          </w:p>
        </w:tc>
        <w:tc>
          <w:tcPr>
            <w:tcW w:w="2840" w:type="dxa"/>
            <w:vAlign w:val="bottom"/>
          </w:tcPr>
          <w:p>
            <w:pPr>
              <w:spacing w:after="0"/>
              <w:rPr>
                <w:sz w:val="20"/>
                <w:szCs w:val="20"/>
                <w:color w:val="auto"/>
              </w:rPr>
            </w:pPr>
          </w:p>
        </w:tc>
        <w:tc>
          <w:tcPr>
            <w:tcW w:w="1860" w:type="dxa"/>
            <w:vAlign w:val="bottom"/>
          </w:tcPr>
          <w:p>
            <w:pPr>
              <w:jc w:val="right"/>
              <w:ind w:right="810"/>
              <w:spacing w:after="0"/>
              <w:rPr>
                <w:sz w:val="20"/>
                <w:szCs w:val="20"/>
                <w:color w:val="auto"/>
              </w:rPr>
            </w:pPr>
            <w:r>
              <w:rPr>
                <w:rFonts w:ascii="Arial" w:cs="Arial" w:eastAsia="Arial" w:hAnsi="Arial"/>
                <w:sz w:val="18"/>
                <w:szCs w:val="18"/>
                <w:b w:val="1"/>
                <w:bCs w:val="1"/>
                <w:color w:val="auto"/>
              </w:rPr>
              <w:t>2020</w:t>
            </w:r>
          </w:p>
        </w:tc>
        <w:tc>
          <w:tcPr>
            <w:tcW w:w="380" w:type="dxa"/>
            <w:vAlign w:val="bottom"/>
          </w:tcPr>
          <w:p>
            <w:pPr>
              <w:spacing w:after="0"/>
              <w:rPr>
                <w:sz w:val="20"/>
                <w:szCs w:val="20"/>
                <w:color w:val="auto"/>
              </w:rPr>
            </w:pPr>
          </w:p>
        </w:tc>
        <w:tc>
          <w:tcPr>
            <w:tcW w:w="1860" w:type="dxa"/>
            <w:vAlign w:val="bottom"/>
          </w:tcPr>
          <w:p>
            <w:pPr>
              <w:jc w:val="right"/>
              <w:ind w:right="830"/>
              <w:spacing w:after="0"/>
              <w:rPr>
                <w:sz w:val="20"/>
                <w:szCs w:val="20"/>
                <w:color w:val="auto"/>
              </w:rPr>
            </w:pPr>
            <w:r>
              <w:rPr>
                <w:rFonts w:ascii="Arial" w:cs="Arial" w:eastAsia="Arial" w:hAnsi="Arial"/>
                <w:sz w:val="18"/>
                <w:szCs w:val="18"/>
                <w:b w:val="1"/>
                <w:bCs w:val="1"/>
                <w:color w:val="auto"/>
              </w:rPr>
              <w:t>2019</w:t>
            </w:r>
          </w:p>
        </w:tc>
      </w:tr>
      <w:tr>
        <w:trPr>
          <w:trHeight w:val="27"/>
        </w:trPr>
        <w:tc>
          <w:tcPr>
            <w:tcW w:w="424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63"/>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Current assets </w:t>
            </w:r>
            <w:r>
              <w:rPr>
                <w:rFonts w:ascii="Arial" w:cs="Arial" w:eastAsia="Arial" w:hAnsi="Arial"/>
                <w:sz w:val="23"/>
                <w:szCs w:val="23"/>
                <w:color w:val="auto"/>
                <w:vertAlign w:val="superscript"/>
              </w:rPr>
              <w:t>(1)</w:t>
            </w:r>
          </w:p>
        </w:tc>
        <w:tc>
          <w:tcPr>
            <w:tcW w:w="28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70"/>
        </w:trPr>
        <w:tc>
          <w:tcPr>
            <w:tcW w:w="4240" w:type="dxa"/>
            <w:vAlign w:val="bottom"/>
          </w:tcPr>
          <w:p>
            <w:pPr>
              <w:spacing w:after="0"/>
              <w:rPr>
                <w:sz w:val="20"/>
                <w:szCs w:val="20"/>
                <w:color w:val="auto"/>
              </w:rPr>
            </w:pPr>
            <w:r>
              <w:rPr>
                <w:rFonts w:ascii="Arial" w:cs="Arial" w:eastAsia="Arial" w:hAnsi="Arial"/>
                <w:sz w:val="18"/>
                <w:szCs w:val="18"/>
                <w:color w:val="auto"/>
              </w:rPr>
              <w:t xml:space="preserve">Noncurrent assets </w:t>
            </w:r>
            <w:r>
              <w:rPr>
                <w:rFonts w:ascii="Arial" w:cs="Arial" w:eastAsia="Arial" w:hAnsi="Arial"/>
                <w:sz w:val="23"/>
                <w:szCs w:val="23"/>
                <w:color w:val="auto"/>
                <w:vertAlign w:val="superscript"/>
              </w:rPr>
              <w:t>(2)</w:t>
            </w:r>
          </w:p>
        </w:tc>
        <w:tc>
          <w:tcPr>
            <w:tcW w:w="284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1,018.6</w:t>
            </w:r>
          </w:p>
        </w:tc>
        <w:tc>
          <w:tcPr>
            <w:tcW w:w="38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1,303.2</w:t>
            </w:r>
          </w:p>
        </w:tc>
      </w:tr>
      <w:tr>
        <w:trPr>
          <w:trHeight w:val="27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Current liabilities </w:t>
            </w:r>
            <w:r>
              <w:rPr>
                <w:rFonts w:ascii="Arial" w:cs="Arial" w:eastAsia="Arial" w:hAnsi="Arial"/>
                <w:sz w:val="23"/>
                <w:szCs w:val="23"/>
                <w:color w:val="auto"/>
                <w:vertAlign w:val="superscript"/>
              </w:rPr>
              <w:t>(3)</w:t>
            </w:r>
          </w:p>
        </w:tc>
        <w:tc>
          <w:tcPr>
            <w:tcW w:w="2840" w:type="dxa"/>
            <w:vAlign w:val="bottom"/>
            <w:shd w:val="clear" w:color="auto" w:fill="CCEEFF"/>
          </w:tcPr>
          <w:p>
            <w:pPr>
              <w:spacing w:after="0"/>
              <w:rPr>
                <w:sz w:val="23"/>
                <w:szCs w:val="23"/>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551.0</w:t>
            </w:r>
          </w:p>
        </w:tc>
        <w:tc>
          <w:tcPr>
            <w:tcW w:w="380" w:type="dxa"/>
            <w:vAlign w:val="bottom"/>
            <w:shd w:val="clear" w:color="auto" w:fill="CCEEFF"/>
          </w:tcPr>
          <w:p>
            <w:pPr>
              <w:spacing w:after="0"/>
              <w:rPr>
                <w:sz w:val="23"/>
                <w:szCs w:val="23"/>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702.6</w:t>
            </w:r>
          </w:p>
        </w:tc>
      </w:tr>
      <w:tr>
        <w:trPr>
          <w:trHeight w:val="282"/>
        </w:trPr>
        <w:tc>
          <w:tcPr>
            <w:tcW w:w="4240" w:type="dxa"/>
            <w:vAlign w:val="bottom"/>
          </w:tcPr>
          <w:p>
            <w:pPr>
              <w:spacing w:after="0"/>
              <w:rPr>
                <w:sz w:val="20"/>
                <w:szCs w:val="20"/>
                <w:color w:val="auto"/>
              </w:rPr>
            </w:pPr>
            <w:r>
              <w:rPr>
                <w:rFonts w:ascii="Arial" w:cs="Arial" w:eastAsia="Arial" w:hAnsi="Arial"/>
                <w:sz w:val="18"/>
                <w:szCs w:val="18"/>
                <w:color w:val="auto"/>
              </w:rPr>
              <w:t xml:space="preserve">Noncurrent liabilities </w:t>
            </w:r>
            <w:r>
              <w:rPr>
                <w:rFonts w:ascii="Arial" w:cs="Arial" w:eastAsia="Arial" w:hAnsi="Arial"/>
                <w:sz w:val="23"/>
                <w:szCs w:val="23"/>
                <w:color w:val="auto"/>
                <w:vertAlign w:val="superscript"/>
              </w:rPr>
              <w:t>(4)</w:t>
            </w:r>
          </w:p>
        </w:tc>
        <w:tc>
          <w:tcPr>
            <w:tcW w:w="284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1,262.6</w:t>
            </w:r>
          </w:p>
        </w:tc>
        <w:tc>
          <w:tcPr>
            <w:tcW w:w="38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1,428.4</w:t>
            </w:r>
          </w:p>
        </w:tc>
      </w:tr>
    </w:tbl>
    <w:p>
      <w:pPr>
        <w:ind w:left="220" w:hanging="174"/>
        <w:spacing w:after="0" w:line="181" w:lineRule="auto"/>
        <w:tabs>
          <w:tab w:leader="none" w:pos="220" w:val="left"/>
        </w:tabs>
        <w:numPr>
          <w:ilvl w:val="0"/>
          <w:numId w:val="43"/>
        </w:numPr>
        <w:rPr>
          <w:rFonts w:ascii="Arial" w:cs="Arial" w:eastAsia="Arial" w:hAnsi="Arial"/>
          <w:sz w:val="21"/>
          <w:szCs w:val="21"/>
          <w:color w:val="auto"/>
          <w:vertAlign w:val="superscript"/>
        </w:rPr>
      </w:pPr>
      <w:r>
        <w:rPr>
          <w:rFonts w:ascii="Arial" w:cs="Arial" w:eastAsia="Arial" w:hAnsi="Arial"/>
          <w:sz w:val="14"/>
          <w:szCs w:val="14"/>
          <w:color w:val="auto"/>
        </w:rPr>
        <w:t>Includes assets due from non-guarantor subsidiaries of $7.1 million and $2.4 million as of September 30, 2020 and December 31, 2019, respectively.</w:t>
      </w:r>
    </w:p>
    <w:p>
      <w:pPr>
        <w:spacing w:after="0" w:line="20" w:lineRule="exact"/>
        <w:rPr>
          <w:rFonts w:ascii="Arial" w:cs="Arial" w:eastAsia="Arial" w:hAnsi="Arial"/>
          <w:sz w:val="21"/>
          <w:szCs w:val="21"/>
          <w:color w:val="auto"/>
          <w:vertAlign w:val="superscript"/>
        </w:rPr>
      </w:pPr>
    </w:p>
    <w:p>
      <w:pPr>
        <w:ind w:left="220" w:hanging="174"/>
        <w:spacing w:after="0" w:line="181" w:lineRule="auto"/>
        <w:tabs>
          <w:tab w:leader="none" w:pos="220" w:val="left"/>
        </w:tabs>
        <w:numPr>
          <w:ilvl w:val="0"/>
          <w:numId w:val="43"/>
        </w:numPr>
        <w:rPr>
          <w:rFonts w:ascii="Arial" w:cs="Arial" w:eastAsia="Arial" w:hAnsi="Arial"/>
          <w:sz w:val="21"/>
          <w:szCs w:val="21"/>
          <w:color w:val="auto"/>
          <w:vertAlign w:val="superscript"/>
        </w:rPr>
      </w:pPr>
      <w:r>
        <w:rPr>
          <w:rFonts w:ascii="Arial" w:cs="Arial" w:eastAsia="Arial" w:hAnsi="Arial"/>
          <w:sz w:val="14"/>
          <w:szCs w:val="14"/>
          <w:color w:val="auto"/>
        </w:rPr>
        <w:t>Includes assets due from non-guarantor subsidiaries of $1,006.2 million and $1,278.7 million as of September 30, 2020 and December 31, 2019, respectively.</w:t>
      </w:r>
    </w:p>
    <w:p>
      <w:pPr>
        <w:spacing w:after="0" w:line="20" w:lineRule="exact"/>
        <w:rPr>
          <w:rFonts w:ascii="Arial" w:cs="Arial" w:eastAsia="Arial" w:hAnsi="Arial"/>
          <w:sz w:val="21"/>
          <w:szCs w:val="21"/>
          <w:color w:val="auto"/>
          <w:vertAlign w:val="superscript"/>
        </w:rPr>
      </w:pPr>
    </w:p>
    <w:p>
      <w:pPr>
        <w:ind w:left="220" w:hanging="174"/>
        <w:spacing w:after="0" w:line="181" w:lineRule="auto"/>
        <w:tabs>
          <w:tab w:leader="none" w:pos="220" w:val="left"/>
        </w:tabs>
        <w:numPr>
          <w:ilvl w:val="0"/>
          <w:numId w:val="43"/>
        </w:numPr>
        <w:rPr>
          <w:rFonts w:ascii="Arial" w:cs="Arial" w:eastAsia="Arial" w:hAnsi="Arial"/>
          <w:sz w:val="21"/>
          <w:szCs w:val="21"/>
          <w:color w:val="auto"/>
          <w:vertAlign w:val="superscript"/>
        </w:rPr>
      </w:pPr>
      <w:r>
        <w:rPr>
          <w:rFonts w:ascii="Arial" w:cs="Arial" w:eastAsia="Arial" w:hAnsi="Arial"/>
          <w:sz w:val="14"/>
          <w:szCs w:val="14"/>
          <w:color w:val="auto"/>
        </w:rPr>
        <w:t>Includes liabilities due to non-guarantor subsidiaries of $504.6 million and $648.8 million as of September 30, 2020 and December 31, 2019, respectively.</w:t>
      </w:r>
    </w:p>
    <w:p>
      <w:pPr>
        <w:spacing w:after="0" w:line="20" w:lineRule="exact"/>
        <w:rPr>
          <w:rFonts w:ascii="Arial" w:cs="Arial" w:eastAsia="Arial" w:hAnsi="Arial"/>
          <w:sz w:val="21"/>
          <w:szCs w:val="21"/>
          <w:color w:val="auto"/>
          <w:vertAlign w:val="superscript"/>
        </w:rPr>
      </w:pPr>
    </w:p>
    <w:p>
      <w:pPr>
        <w:ind w:left="220" w:hanging="174"/>
        <w:spacing w:after="0" w:line="181" w:lineRule="auto"/>
        <w:tabs>
          <w:tab w:leader="none" w:pos="220" w:val="left"/>
        </w:tabs>
        <w:numPr>
          <w:ilvl w:val="0"/>
          <w:numId w:val="43"/>
        </w:numPr>
        <w:rPr>
          <w:rFonts w:ascii="Arial" w:cs="Arial" w:eastAsia="Arial" w:hAnsi="Arial"/>
          <w:sz w:val="21"/>
          <w:szCs w:val="21"/>
          <w:color w:val="auto"/>
          <w:vertAlign w:val="superscript"/>
        </w:rPr>
      </w:pPr>
      <w:r>
        <w:rPr>
          <w:rFonts w:ascii="Arial" w:cs="Arial" w:eastAsia="Arial" w:hAnsi="Arial"/>
          <w:sz w:val="14"/>
          <w:szCs w:val="14"/>
          <w:color w:val="auto"/>
        </w:rPr>
        <w:t>Includes liabilities due to non-guarantor subsidiaries of $472.9 million and $449.9 million as of September 30, 2020 and December 31, 2019, respectively.</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The Parent Company Guarantor and Subsidiary Issuer do not have material results of operations on a combined basis.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23"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In May 2018, the Board of Directors authorized the repurchase of our ordinary shares up to a maximum dollar limit of $750.0 million. The authorization expires on May 31, 2021. During the nine months ended September 30, 2020, we repurchased 3.0 million of our shares for $115.2 million. As of September 30, 2020, we had $134.7 million available for share repurchases under this authorization.</w:t>
      </w:r>
    </w:p>
    <w:p>
      <w:pPr>
        <w:spacing w:after="0" w:line="217"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color w:val="auto"/>
        </w:rPr>
        <w:t>In March 2020, to enhance our liquidity position in response to the COVID-19 pandemic, we elected to temporarily suspend share repurchases under our existing share repurchase program. The temporary suspension of share repurchases has been lifted. The existing program remains authorized by the Board of Directors, and we may resume share repurchases in the future at any time, depending upon market conditions, our capital needs and other factors.</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 payable</w:t>
      </w:r>
    </w:p>
    <w:p>
      <w:pPr>
        <w:spacing w:after="0" w:line="2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 xml:space="preserve">On September 22, 2020, the Board of Directors declared a quarterly cash dividend of $0.19, payable on November 6, 2020 to shareholders of record at the close of business on October 23, 2020. As a result, the balance of dividends payable included in </w:t>
      </w:r>
      <w:r>
        <w:rPr>
          <w:rFonts w:ascii="Arial" w:cs="Arial" w:eastAsia="Arial" w:hAnsi="Arial"/>
          <w:sz w:val="16"/>
          <w:szCs w:val="16"/>
          <w:i w:val="1"/>
          <w:iCs w:val="1"/>
          <w:color w:val="auto"/>
        </w:rPr>
        <w:t>Other current liabilities</w:t>
      </w:r>
      <w:r>
        <w:rPr>
          <w:rFonts w:ascii="Arial" w:cs="Arial" w:eastAsia="Arial" w:hAnsi="Arial"/>
          <w:sz w:val="18"/>
          <w:szCs w:val="18"/>
          <w:color w:val="auto"/>
        </w:rPr>
        <w:t xml:space="preserve"> on our Condensed Consolidated Balance Sheets was $31.7 million at September 30, 2020, compared to $32.0 million at December 31, 2019.</w:t>
      </w:r>
    </w:p>
    <w:p>
      <w:pPr>
        <w:spacing w:after="0" w:line="14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paid dividends in the first nine months of 2020 of $95.4 million, or $0.57 per ordinary share compared with $92.4 million, or $0.54 per ordinary share, in the prior year period.</w:t>
      </w:r>
    </w:p>
    <w:p>
      <w:pPr>
        <w:spacing w:after="0" w:line="19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Under Irish law, the payment of future cash dividends and repurchases of shares may be paid only out of Pentair plc’s “distributable reserves” on its statutory balance sheet. Pentair plc is not permitted to pay dividends out of share capital, which includes share premiums. Distributable reserves may be created through the earnings of the Irish parent company and through a reduction in share capital approved by the Irish High Court. Distributable reserves are not linked to a U.S. generally accepted accounting principles (“GAAP”) reported amount (e.g., retained earnings). Our distributable reserve balance was $6.6 billion as of December 31, 2019.</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financial measures</w:t>
      </w:r>
    </w:p>
    <w:p>
      <w:pPr>
        <w:spacing w:after="0" w:line="2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addition to measuring our cash flow generation or usage based upon operating, investing and financing classifications included in the Condensed Consolidated Statements of Cash Flows, we also measure our free cash flow. We have a long-term goal to consistently generate free cash flow greater than 100 percent conversion of net income. Free cash flow is a non-GAAP financial measure that we use to assess our cash flow performance. We believe free cash flow is an important measure of liquidity because it provides us and our investors a measurement of cash generated from operations that is available to pay dividends, make acquisitions, repay debt and repurchase shares. In addition, free cash flow is used as a criterion to measure and pay compensation-based incentives. Our measure of free cash flow may not be comparable to similarly titled measures reported by other companies.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reconciliation of free cash flow:</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40" w:type="dxa"/>
            <w:vAlign w:val="bottom"/>
            <w:gridSpan w:val="3"/>
          </w:tcPr>
          <w:p>
            <w:pPr>
              <w:jc w:val="right"/>
              <w:ind w:right="670"/>
              <w:spacing w:after="0"/>
              <w:rPr>
                <w:sz w:val="20"/>
                <w:szCs w:val="20"/>
                <w:color w:val="auto"/>
              </w:rPr>
            </w:pPr>
            <w:r>
              <w:rPr>
                <w:rFonts w:ascii="Arial" w:cs="Arial" w:eastAsia="Arial" w:hAnsi="Arial"/>
                <w:sz w:val="18"/>
                <w:szCs w:val="18"/>
                <w:b w:val="1"/>
                <w:bCs w:val="1"/>
                <w:color w:val="auto"/>
              </w:rPr>
              <w:t>Nine months ended</w:t>
            </w:r>
          </w:p>
        </w:tc>
      </w:tr>
      <w:tr>
        <w:trPr>
          <w:trHeight w:val="27"/>
        </w:trPr>
        <w:tc>
          <w:tcPr>
            <w:tcW w:w="8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8"/>
        </w:trPr>
        <w:tc>
          <w:tcPr>
            <w:tcW w:w="8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September 30,</w:t>
            </w:r>
          </w:p>
        </w:tc>
        <w:tc>
          <w:tcPr>
            <w:tcW w:w="180" w:type="dxa"/>
            <w:vAlign w:val="bottom"/>
          </w:tcPr>
          <w:p>
            <w:pPr>
              <w:spacing w:after="0"/>
              <w:rPr>
                <w:sz w:val="18"/>
                <w:szCs w:val="18"/>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September 30,</w:t>
            </w:r>
          </w:p>
        </w:tc>
      </w:tr>
      <w:tr>
        <w:trPr>
          <w:trHeight w:val="234"/>
        </w:trPr>
        <w:tc>
          <w:tcPr>
            <w:tcW w:w="8200" w:type="dxa"/>
            <w:vAlign w:val="bottom"/>
          </w:tcPr>
          <w:p>
            <w:pPr>
              <w:ind w:left="20"/>
              <w:spacing w:after="0"/>
              <w:rPr>
                <w:sz w:val="20"/>
                <w:szCs w:val="20"/>
                <w:color w:val="auto"/>
              </w:rPr>
            </w:pPr>
            <w:r>
              <w:rPr>
                <w:rFonts w:ascii="Arial" w:cs="Arial" w:eastAsia="Arial" w:hAnsi="Arial"/>
                <w:sz w:val="18"/>
                <w:szCs w:val="18"/>
                <w:i w:val="1"/>
                <w:iCs w:val="1"/>
                <w:color w:val="auto"/>
              </w:rPr>
              <w:t>In millions</w:t>
            </w:r>
          </w:p>
        </w:tc>
        <w:tc>
          <w:tcPr>
            <w:tcW w:w="160" w:type="dxa"/>
            <w:vAlign w:val="bottom"/>
          </w:tcPr>
          <w:p>
            <w:pPr>
              <w:spacing w:after="0"/>
              <w:rPr>
                <w:sz w:val="20"/>
                <w:szCs w:val="20"/>
                <w:color w:val="auto"/>
              </w:rPr>
            </w:pPr>
          </w:p>
        </w:tc>
        <w:tc>
          <w:tcPr>
            <w:tcW w:w="132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r>
      <w:tr>
        <w:trPr>
          <w:trHeight w:val="27"/>
        </w:trPr>
        <w:tc>
          <w:tcPr>
            <w:tcW w:w="8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3"/>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 of continuing operations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266.1</w:t>
            </w:r>
          </w:p>
        </w:tc>
      </w:tr>
      <w:tr>
        <w:trPr>
          <w:trHeight w:val="243"/>
        </w:trPr>
        <w:tc>
          <w:tcPr>
            <w:tcW w:w="8200" w:type="dxa"/>
            <w:vAlign w:val="bottom"/>
          </w:tcPr>
          <w:p>
            <w:pPr>
              <w:ind w:left="20"/>
              <w:spacing w:after="0"/>
              <w:rPr>
                <w:sz w:val="20"/>
                <w:szCs w:val="20"/>
                <w:color w:val="auto"/>
              </w:rPr>
            </w:pPr>
            <w:r>
              <w:rPr>
                <w:rFonts w:ascii="Arial" w:cs="Arial" w:eastAsia="Arial" w:hAnsi="Arial"/>
                <w:sz w:val="18"/>
                <w:szCs w:val="18"/>
                <w:color w:val="auto"/>
              </w:rPr>
              <w:t>Capital expenditures of continuing operations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(44.4)</w:t>
            </w: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(44.6)</w:t>
            </w:r>
          </w:p>
        </w:tc>
      </w:tr>
      <w:tr>
        <w:trPr>
          <w:trHeight w:val="27"/>
        </w:trPr>
        <w:tc>
          <w:tcPr>
            <w:tcW w:w="8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5"/>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sale of property and equipment of continuing operations</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37"/>
        </w:trPr>
        <w:tc>
          <w:tcPr>
            <w:tcW w:w="820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Free cash flow from continuing operations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456.5</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221.9</w:t>
            </w:r>
          </w:p>
        </w:tc>
      </w:tr>
      <w:tr>
        <w:trPr>
          <w:trHeight w:val="27"/>
        </w:trPr>
        <w:tc>
          <w:tcPr>
            <w:tcW w:w="8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for operating activities of discontinued operations</w:t>
            </w: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7"/>
        </w:trPr>
        <w:tc>
          <w:tcPr>
            <w:tcW w:w="820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Free cash flow</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456.0</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220.5</w:t>
            </w:r>
          </w:p>
        </w:tc>
      </w:tr>
      <w:tr>
        <w:trPr>
          <w:trHeight w:val="27"/>
        </w:trPr>
        <w:tc>
          <w:tcPr>
            <w:tcW w:w="8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8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See Note 1 of the Notes to Condensed Consolidated Financial Statements for information pertaining to recently adopted accounting standards.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adopted various accounting policies to prepare the consolidated financial statements in accordance with GAAP. Certain of our accounting policies require the application of significant judgment by management in selecting the appropriate assumptions for calculating financial estimates. In our 2019 Annual Report on Form 10-K, we identified the critical accounting policies that affect our more significant estimates and assumptions used in preparing our consolidated financial statements. There have been no material changes to our critical accounting policies and estimates from those disclosed in our 2019 Annual Report on Form 10-K for the year ended 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175"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Except for the broad effects of the COVID-19 pandemic as a result of its negative impact on the global economy and major financial markets, there have been no material changes in our market risk during the nine months ended September 30, 2020. For additional information refer to Item 7A of our 2019 Annual Report on Form 10-K.</w:t>
      </w:r>
    </w:p>
    <w:p>
      <w:pPr>
        <w:spacing w:after="0" w:line="13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71" w:lineRule="exact"/>
        <w:rPr>
          <w:sz w:val="20"/>
          <w:szCs w:val="20"/>
          <w:color w:val="auto"/>
        </w:rPr>
      </w:pPr>
    </w:p>
    <w:p>
      <w:pPr>
        <w:ind w:left="400" w:hanging="392"/>
        <w:spacing w:after="0"/>
        <w:tabs>
          <w:tab w:leader="none" w:pos="40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Evaluation of Disclosure Controls and Procedures</w:t>
      </w:r>
    </w:p>
    <w:p>
      <w:pPr>
        <w:spacing w:after="0" w:line="27" w:lineRule="exact"/>
        <w:rPr>
          <w:rFonts w:ascii="Arial" w:cs="Arial" w:eastAsia="Arial" w:hAnsi="Arial"/>
          <w:sz w:val="18"/>
          <w:szCs w:val="18"/>
          <w:b w:val="1"/>
          <w:bCs w:val="1"/>
          <w:color w:val="auto"/>
        </w:rPr>
      </w:pPr>
    </w:p>
    <w:p>
      <w:pPr>
        <w:ind w:left="420"/>
        <w:spacing w:after="0" w:line="268" w:lineRule="auto"/>
        <w:rPr>
          <w:rFonts w:ascii="Arial" w:cs="Arial" w:eastAsia="Arial" w:hAnsi="Arial"/>
          <w:sz w:val="18"/>
          <w:szCs w:val="18"/>
          <w:b w:val="1"/>
          <w:bCs w:val="1"/>
          <w:color w:val="auto"/>
        </w:rPr>
      </w:pPr>
      <w:r>
        <w:rPr>
          <w:rFonts w:ascii="Arial" w:cs="Arial" w:eastAsia="Arial" w:hAnsi="Arial"/>
          <w:sz w:val="17"/>
          <w:szCs w:val="17"/>
          <w:color w:val="auto"/>
        </w:rPr>
        <w:t>We maintain a system of disclosure controls and procedures designed to provide reasonable assurance as to the reliability of our published financial statements and other disclosures included in this report. Our management evaluated, with the participation of our Chief Executive Officer and our Chief Financial Officer, the effectiveness of the design and operation of our disclosure controls and procedures as of the end of the quarter ended September 30, 2020 pursuant to Rule 13a-15(b) of the Securities Exchange Act of 1934 (the “Exchange Act”). Based upon their evaluation, our Chief Executive Officer and our Chief Financial Officer concluded that our disclosure controls and procedures were effective, at the reasonable assurance level, as of the end of the quarter ended September 30, 2020 to ensure that information required to be disclosed by us in the reports we file or submit under the Exchange Act is recorded, processed, summarized and reported, within the time periods specified in the Securities and Exchange Commission’s rules and forms, and to ensure that information required to be disclosed by us in the reports we file or submit under the Exchange Act is accumulated and communicated to our management, including our principal executive and principal financial officers, as appropriate to allow timely decisions regarding required disclosures.</w:t>
      </w:r>
    </w:p>
    <w:p>
      <w:pPr>
        <w:spacing w:after="0" w:line="120" w:lineRule="exact"/>
        <w:rPr>
          <w:rFonts w:ascii="Arial" w:cs="Arial" w:eastAsia="Arial" w:hAnsi="Arial"/>
          <w:sz w:val="18"/>
          <w:szCs w:val="18"/>
          <w:b w:val="1"/>
          <w:bCs w:val="1"/>
          <w:color w:val="auto"/>
        </w:rPr>
      </w:pPr>
    </w:p>
    <w:p>
      <w:pPr>
        <w:ind w:left="400" w:hanging="392"/>
        <w:spacing w:after="0"/>
        <w:tabs>
          <w:tab w:leader="none" w:pos="40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Internal Control over Financial Reporting</w:t>
      </w:r>
    </w:p>
    <w:p>
      <w:pPr>
        <w:spacing w:after="0" w:line="27" w:lineRule="exact"/>
        <w:rPr>
          <w:rFonts w:ascii="Arial" w:cs="Arial" w:eastAsia="Arial" w:hAnsi="Arial"/>
          <w:sz w:val="18"/>
          <w:szCs w:val="18"/>
          <w:b w:val="1"/>
          <w:bCs w:val="1"/>
          <w:color w:val="auto"/>
        </w:rPr>
      </w:pPr>
    </w:p>
    <w:p>
      <w:pPr>
        <w:ind w:left="420" w:right="240"/>
        <w:spacing w:after="0" w:line="260" w:lineRule="auto"/>
        <w:rPr>
          <w:rFonts w:ascii="Arial" w:cs="Arial" w:eastAsia="Arial" w:hAnsi="Arial"/>
          <w:sz w:val="18"/>
          <w:szCs w:val="18"/>
          <w:b w:val="1"/>
          <w:bCs w:val="1"/>
          <w:color w:val="auto"/>
        </w:rPr>
      </w:pPr>
      <w:r>
        <w:rPr>
          <w:rFonts w:ascii="Arial" w:cs="Arial" w:eastAsia="Arial" w:hAnsi="Arial"/>
          <w:sz w:val="18"/>
          <w:szCs w:val="18"/>
          <w:color w:val="auto"/>
        </w:rPr>
        <w:t>There was no change in our internal control over financial reporting that occurred during the quarter ended September 30, 2020 that has materially affected, or is reasonably likely to materially affect, our internal control over financial reporting.</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LEGAL PROCEEDINGS</w:t>
      </w:r>
    </w:p>
    <w:p>
      <w:pPr>
        <w:spacing w:after="0" w:line="175"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We have been, and in the future may be, made parties to a number of actions filed or have been, and in the future may be, given notice of potential claims relating to the conduct of our business, including those relating to commercial or contractual disputes with suppliers, customers or parties to acquisitions and divestitures, intellectual property matters, environmental, safety and health matters, product liability, the use or installation of our products, consumer matters, and employment and labor matters.</w:t>
      </w:r>
    </w:p>
    <w:p>
      <w:pPr>
        <w:spacing w:after="0" w:line="11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While we believe that a material impact on our consolidated financial position, results of operations or cash flows from any such future claims or potential claims is unlikely, given the inherent uncertainty of litigation, a remote possibility exists that a future adverse ruling or unfavorable development could result in future charges that could have a material adverse impact. We do and will continue to periodically reexamine our estimates of probable liabilities and any associated expenses and receivables and make appropriate adjustments to such estimates based on experience and developments in litigation. As a result, the current estimates of the potential impact on our consolidated financial position, results of operations and cash flows for the proceedings and claims described in the notes to our consolidated financial statements could change in the future.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Asbestos matters</w:t>
      </w:r>
    </w:p>
    <w:p>
      <w:pPr>
        <w:spacing w:after="0" w:line="23"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Our current and former subsidiaries and numerous other unaffiliated companies are named as defendants in personal injury lawsuits based on alleged exposure to asbestos-containing materials. These cases typically involve product liability claims based primarily on allegations of manufacture, sale or distribution of industrial products that either contained asbestos or were attached to or used with asbestos-containing components manufactured by third-parties. Each case typically names between several dozen to more than a hundred corporate defendants. Our historical strategy has been to mount a vigorous defense aimed at having unsubstantiated suits dismissed, and, where appropriate, settling suits before trial. Although a large percentage of litigated suits have been dismissed, we cannot predict the extent to which we will be successful in resolving lawsuits in the future.</w:t>
      </w:r>
    </w:p>
    <w:p>
      <w:pPr>
        <w:spacing w:after="0" w:line="11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As of September 30, 2020, there were approximately 610 claims outstanding against our subsidiaries. This amount is not adjusted for claims that are not actively being prosecuted, identified incorrect defendants, or duplicated other actions, which would ultimately reflect our current estimate of the number of viable claims made against us, our affiliates, or entities for which we assumed responsibility in connection with acquisitions or divestitures. In addition, the amount does not include certain claims pending against third parties for which we have been provided an indemnification.</w:t>
      </w: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23" w:lineRule="exact"/>
        <w:rPr>
          <w:sz w:val="20"/>
          <w:szCs w:val="20"/>
          <w:color w:val="auto"/>
        </w:rPr>
      </w:pPr>
    </w:p>
    <w:p>
      <w:pPr>
        <w:ind w:right="160"/>
        <w:spacing w:after="0" w:line="292" w:lineRule="auto"/>
        <w:rPr>
          <w:sz w:val="20"/>
          <w:szCs w:val="20"/>
          <w:color w:val="auto"/>
        </w:rPr>
      </w:pPr>
      <w:r>
        <w:rPr>
          <w:rFonts w:ascii="Arial" w:cs="Arial" w:eastAsia="Arial" w:hAnsi="Arial"/>
          <w:sz w:val="16"/>
          <w:szCs w:val="16"/>
          <w:color w:val="auto"/>
        </w:rPr>
        <w:t>We have been named as defendant, target or a potentially responsible party (“PRP”) in a number of environmental clean-ups relating to our current or former business units. We have disposed of a number of businesses in recent years, and in certain cases, we have retained responsibility and potential liability for certain environmental obligations. We have received claims for indemnification from certain purchasers. We may be named as a PRP at other sites in the future for existing business units, as well as both divested and acquired businesses. In addition to cleanup actions brought by governmental authorities, private parties could bring personal injury or other claims due to the presence of, or exposure to, hazardous substances.</w:t>
      </w:r>
    </w:p>
    <w:p>
      <w:pPr>
        <w:spacing w:after="0" w:line="9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Certain environmental laws impose liability on current or previous owners or operators of real property for the cost of removal or remediation of hazardous substances at their properties or at properties at which they have disposed of hazardous substances. We have projects underway at several current and former manufacturing facilities to investigate and remediate environmental contamination resulting from our past operations or the operations of former subsidiaries or by other businesses that previously owned or used the properties.</w:t>
      </w:r>
    </w:p>
    <w:p>
      <w:pPr>
        <w:spacing w:after="0" w:line="133"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Our accruals for environmental matters are recorded on a site-by-site basis when it is probable that a liability has been incurred and the amount of the liability can be reasonably estimated, based on current law and existing technologies. It can be difficult to estimate reliably the final costs of investigation and remediation due to various factors. In our opinion, the amounts accrued are appropriate based on facts and circumstances as currently known. As of September 30, 2020, our recorded reserves for environmental matters were not material. We do not anticipate these environmental conditions will have a material adverse effect on our financial position, results of operations or cash flows. However, unknown conditions, new details about existing conditions or changes in environmental requirements may give rise to environmental liabilities that will exceed the amount of our current reserves and could have a material adverse effect in the future.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liability claims</w:t>
      </w:r>
    </w:p>
    <w:p>
      <w:pPr>
        <w:spacing w:after="0" w:line="23"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We are subject to various product liability lawsuits and personal injury claims. A substantial number of these lawsuits and claims are insured and accrued for by Penwald, our captive insurance subsidiary. Penwald records a liability for these claims based on actuarial projections of ultimate losses. For all other claims, accruals covering the claims are recorded, on an undiscounted basis, when it is probable that a liability has been incurred and the amount of the liability can be reasonably estimated based on existing information. The accruals are adjusted periodically as additional information becomes available. We have not experienced significant unfavorable trends in either the severity or frequency of product liability lawsuits or personal injury claims.</w:t>
      </w:r>
    </w:p>
    <w:p>
      <w:pPr>
        <w:spacing w:after="0" w:line="15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There have been no material changes from the risk factors previously disclosed in our 2019 Annual Report on Form 10-K for the year ended December 31, 2019, except for the addition of the risk factor set forth below.</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COVID-19 pandemic is expected to have a material negative impact on our business, financial condition, results of operations and cash flows.</w:t>
      </w:r>
    </w:p>
    <w:p>
      <w:pPr>
        <w:spacing w:after="0" w:line="19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business and financial results have been and are expected to continue to be negatively impacted by the COVID-19 pandemic. The severity, magnitude and duration of the current COVID-19 pandemic is uncertain, rapidly changing and hard to predict. In 2020, COVID-19 has significantly impacted economic activity and markets around the world, and it is expected to negatively impact our business in numerous ways, including but not limited to those outlined below:</w:t>
      </w:r>
    </w:p>
    <w:p>
      <w:pPr>
        <w:spacing w:after="0" w:line="133" w:lineRule="exact"/>
        <w:rPr>
          <w:sz w:val="20"/>
          <w:szCs w:val="20"/>
          <w:color w:val="auto"/>
        </w:rPr>
      </w:pPr>
    </w:p>
    <w:p>
      <w:pPr>
        <w:ind w:left="660" w:hanging="328"/>
        <w:spacing w:after="0" w:line="259"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COVID-19 pandemic has caused a global economic slowdown that may last for a potentially extended duration, and it is possible that it could cause a global recession. Deteriorating economic and political conditions caused by the COVID-19 pandemic, such as increased unemployment, decreases in capital spending, declines in consumer confidence, or economic slowdowns or recessions, could cause a decrease in demand for our products.</w:t>
      </w:r>
    </w:p>
    <w:p>
      <w:pPr>
        <w:spacing w:after="0" w:line="132" w:lineRule="exact"/>
        <w:rPr>
          <w:rFonts w:ascii="Arial" w:cs="Arial" w:eastAsia="Arial" w:hAnsi="Arial"/>
          <w:sz w:val="18"/>
          <w:szCs w:val="18"/>
          <w:color w:val="auto"/>
        </w:rPr>
      </w:pPr>
    </w:p>
    <w:p>
      <w:pPr>
        <w:ind w:left="660" w:right="300" w:hanging="328"/>
        <w:spacing w:after="0" w:line="263"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Due to the impacts of the COVID-19 pandemic, we have experienced and expect to continue to experience reductions in customer demand for certain of our products and in several of our end-markets, including residential and commercial filtration, residential and irrigation flow, commercial flow, industrial filtration and food and beverage.</w:t>
      </w:r>
    </w:p>
    <w:p>
      <w:pPr>
        <w:spacing w:after="0" w:line="129" w:lineRule="exact"/>
        <w:rPr>
          <w:rFonts w:ascii="Arial" w:cs="Arial" w:eastAsia="Arial" w:hAnsi="Arial"/>
          <w:sz w:val="18"/>
          <w:szCs w:val="18"/>
          <w:color w:val="auto"/>
        </w:rPr>
      </w:pPr>
    </w:p>
    <w:p>
      <w:pPr>
        <w:ind w:left="660" w:right="120" w:hanging="328"/>
        <w:spacing w:after="0" w:line="296" w:lineRule="auto"/>
        <w:tabs>
          <w:tab w:leader="none" w:pos="655"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COVID-19 pandemic is adversely affecting, and is expected to continue to adversely affect, certain elements of our business (including certain elements of our operations, supply chains and distribution systems), including as a result of impacts associated with required, preventive and precautionary measures that we, other businesses, our communities and governments are taking. These impacts include requiring employees to work from home or not go into their offices or facilities, limiting the number of employees attending meetings, reducing the number of people in our sites at any one time, reducing employee travel and adopting other employee safety measures. These measures</w:t>
      </w: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660" w:right="620"/>
        <w:spacing w:after="0" w:line="277" w:lineRule="auto"/>
        <w:rPr>
          <w:sz w:val="20"/>
          <w:szCs w:val="20"/>
          <w:color w:val="auto"/>
        </w:rPr>
      </w:pPr>
      <w:r>
        <w:rPr>
          <w:rFonts w:ascii="Arial" w:cs="Arial" w:eastAsia="Arial" w:hAnsi="Arial"/>
          <w:sz w:val="18"/>
          <w:szCs w:val="18"/>
          <w:color w:val="auto"/>
        </w:rPr>
        <w:t>also may impact our ability to meet production demands or requests and may delay our new product introductions depending on employee attendance or ability to continue to work.</w:t>
      </w:r>
    </w:p>
    <w:p>
      <w:pPr>
        <w:spacing w:after="0" w:line="116" w:lineRule="exact"/>
        <w:rPr>
          <w:sz w:val="20"/>
          <w:szCs w:val="20"/>
          <w:color w:val="auto"/>
        </w:rPr>
      </w:pPr>
    </w:p>
    <w:p>
      <w:pPr>
        <w:ind w:left="660" w:hanging="328"/>
        <w:spacing w:after="0" w:line="311" w:lineRule="auto"/>
        <w:tabs>
          <w:tab w:leader="none" w:pos="655" w:val="left"/>
        </w:tabs>
        <w:numPr>
          <w:ilvl w:val="0"/>
          <w:numId w:val="46"/>
        </w:numPr>
        <w:rPr>
          <w:rFonts w:ascii="Arial" w:cs="Arial" w:eastAsia="Arial" w:hAnsi="Arial"/>
          <w:sz w:val="16"/>
          <w:szCs w:val="16"/>
          <w:color w:val="auto"/>
        </w:rPr>
      </w:pPr>
      <w:r>
        <w:rPr>
          <w:rFonts w:ascii="Arial" w:cs="Arial" w:eastAsia="Arial" w:hAnsi="Arial"/>
          <w:sz w:val="16"/>
          <w:szCs w:val="16"/>
          <w:color w:val="auto"/>
        </w:rPr>
        <w:t>If the COVID-19 pandemic continues and economic conditions worsen, we expect to experience additional adverse impacts on our operational and commercial activities, customer orders and our collections of accounts receivable, which may be material, and it remains uncertain the impact on future operational and commercial activities, customer orders, and collections even if economic conditions begin to improve.</w:t>
      </w:r>
    </w:p>
    <w:p>
      <w:pPr>
        <w:spacing w:after="0" w:line="94" w:lineRule="exact"/>
        <w:rPr>
          <w:rFonts w:ascii="Arial" w:cs="Arial" w:eastAsia="Arial" w:hAnsi="Arial"/>
          <w:sz w:val="16"/>
          <w:szCs w:val="16"/>
          <w:color w:val="auto"/>
        </w:rPr>
      </w:pPr>
    </w:p>
    <w:p>
      <w:pPr>
        <w:ind w:left="660" w:hanging="328"/>
        <w:spacing w:after="0" w:line="272" w:lineRule="auto"/>
        <w:tabs>
          <w:tab w:leader="none" w:pos="655" w:val="left"/>
        </w:tabs>
        <w:numPr>
          <w:ilvl w:val="0"/>
          <w:numId w:val="46"/>
        </w:numPr>
        <w:rPr>
          <w:rFonts w:ascii="Arial" w:cs="Arial" w:eastAsia="Arial" w:hAnsi="Arial"/>
          <w:sz w:val="17"/>
          <w:szCs w:val="17"/>
          <w:color w:val="auto"/>
        </w:rPr>
      </w:pPr>
      <w:r>
        <w:rPr>
          <w:rFonts w:ascii="Arial" w:cs="Arial" w:eastAsia="Arial" w:hAnsi="Arial"/>
          <w:sz w:val="17"/>
          <w:szCs w:val="17"/>
          <w:color w:val="auto"/>
        </w:rPr>
        <w:t>Government or regulatory responses to the COVID-19 pandemic have and are likely to continue to negatively impact our business. During the first and second quarters of 2020, mandatory lockdowns or other restrictions on operations in some countries temporarily disrupted our ability to manufacture or distribute our products in some of these markets. A reoccurrence of these disruptions could materially adversely impact our operations and results. In addition to existing travel restrictions, jurisdictions may continue to close borders, impose prolonged quarantines and further restrict travel and business activity, which could significantly impact our ability to support our operations and customers, meet demand, develop new products, ship our backlog and also impact the ability of our employees to get to their workplaces to produce products and services, or significantly hamper our products from moving through the supply chain.</w:t>
      </w:r>
    </w:p>
    <w:p>
      <w:pPr>
        <w:spacing w:after="0" w:line="123" w:lineRule="exact"/>
        <w:rPr>
          <w:rFonts w:ascii="Arial" w:cs="Arial" w:eastAsia="Arial" w:hAnsi="Arial"/>
          <w:sz w:val="17"/>
          <w:szCs w:val="17"/>
          <w:color w:val="auto"/>
        </w:rPr>
      </w:pPr>
    </w:p>
    <w:p>
      <w:pPr>
        <w:ind w:left="660" w:hanging="328"/>
        <w:spacing w:after="0" w:line="311" w:lineRule="auto"/>
        <w:tabs>
          <w:tab w:leader="none" w:pos="655"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impacts of the COVID-19 pandemic may limit our ability to reduce our overall operating costs. We have experienced increased costs relating to our efforts to mitigate the impact of the COVID-19 pandemic through enhanced sanitization procedures and social-distancing measures we have enacted and will likely continue to enact at our locations around the world in an effort to protect our employees’ health and well-being.</w:t>
      </w:r>
    </w:p>
    <w:p>
      <w:pPr>
        <w:spacing w:after="0" w:line="94" w:lineRule="exact"/>
        <w:rPr>
          <w:rFonts w:ascii="Arial" w:cs="Arial" w:eastAsia="Arial" w:hAnsi="Arial"/>
          <w:sz w:val="16"/>
          <w:szCs w:val="16"/>
          <w:color w:val="auto"/>
        </w:rPr>
      </w:pPr>
    </w:p>
    <w:p>
      <w:pPr>
        <w:ind w:left="660" w:right="20" w:hanging="328"/>
        <w:spacing w:after="0" w:line="259"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COVID-19 pandemic has disrupted and is expected to continue to disrupt our operations, global supply chain and routes to market or those of our suppliers or their suppliers. These disruptions or our failure to effectively respond to them have increased and may continue to increase product, distribution or labor costs or cause delays in delivering our backlog or may cause an inability to deliver products to our customers or meet customer demand.</w:t>
      </w:r>
    </w:p>
    <w:p>
      <w:pPr>
        <w:spacing w:after="0" w:line="132" w:lineRule="exact"/>
        <w:rPr>
          <w:rFonts w:ascii="Arial" w:cs="Arial" w:eastAsia="Arial" w:hAnsi="Arial"/>
          <w:sz w:val="18"/>
          <w:szCs w:val="18"/>
          <w:color w:val="auto"/>
        </w:rPr>
      </w:pPr>
    </w:p>
    <w:p>
      <w:pPr>
        <w:ind w:left="660" w:right="40" w:hanging="328"/>
        <w:spacing w:after="0" w:line="259"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While we have experienced high demand in our pool business as consumers sheltered-in-place and have spent more time at home as a result of the COVID-19 pandemic that led to growth in our sales in the third quarter of 2020, such growth may not be sustainable and may not be repeated in future periods. Furthermore, even if growth in demand continues, we may not be able to meet that demand due to production and capacity challenges.</w:t>
      </w:r>
    </w:p>
    <w:p>
      <w:pPr>
        <w:spacing w:after="0" w:line="132"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Disruptions or uncertainties related to the COVID-19 pandemic for a sustained period of time could result in delays or modifications to some of our strategic plans and initiatives and hinder our ability to achieve our growth targets.</w:t>
      </w:r>
    </w:p>
    <w:p>
      <w:pPr>
        <w:spacing w:after="0" w:line="116" w:lineRule="exact"/>
        <w:rPr>
          <w:rFonts w:ascii="Arial" w:cs="Arial" w:eastAsia="Arial" w:hAnsi="Arial"/>
          <w:sz w:val="18"/>
          <w:szCs w:val="18"/>
          <w:color w:val="auto"/>
        </w:rPr>
      </w:pPr>
    </w:p>
    <w:p>
      <w:pPr>
        <w:ind w:left="660" w:right="80" w:hanging="328"/>
        <w:spacing w:after="0" w:line="263"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COVID-19 pandemic has increased volatility and pricing in and disrupted the capital markets and commercial paper markets, and volatility is likely to continue. We might not be able to continue to access preferred sources of liquidity when we would like, and our borrowing costs could increase.</w:t>
      </w:r>
    </w:p>
    <w:p>
      <w:pPr>
        <w:spacing w:after="0" w:line="129"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Actions we have taken or may take, or decisions we have made or may make, as a consequence of the COVID-19 pandemic, may result in legal claims or litigation against us.</w:t>
      </w:r>
    </w:p>
    <w:p>
      <w:pPr>
        <w:spacing w:after="0" w:line="11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might not be able to predict or respond to all impacts of the COVID-19 pandemic on a timely basis to prevent near- or long-term adverse impacts to our results. Due to the speed with which the COVID-19 situation continues to develop, the global breadth of its spread and the range of governmental and community reactions thereto, there is uncertainty around its duration and ultimate impact; therefore, any negative impact on our business, financial condition (including without limitation our liquidity), results of operations and cash flows cannot be reasonably estimated at this time, but the COVID-19 pandemic could lead to extended disruption of economic activity and the impact on our business, financial condition, results of operations and cash flows could be material. The ultimate impact of these disruptions also depends on events beyond our knowledge or control, including the duration and severity of the COVID-19 pandemic and actions taken by parties other than us to respond to them. The foregoing and other impacts of the COVID-19 pandemic could have the effect of heightening many of the other risks described in our Annual Report on Form 10-K for the fiscal year ended December 31, 2019 and any of these impacts could materially adversely affect our business,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with respect to purchases we made of our ordinary shares during the third quarter of 2020:</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80" w:type="dxa"/>
            <w:vAlign w:val="bottom"/>
          </w:tcPr>
          <w:p>
            <w:pPr>
              <w:spacing w:after="0"/>
              <w:rPr>
                <w:sz w:val="20"/>
                <w:szCs w:val="20"/>
                <w:color w:val="auto"/>
              </w:rPr>
            </w:pPr>
          </w:p>
        </w:tc>
        <w:tc>
          <w:tcPr>
            <w:tcW w:w="1640" w:type="dxa"/>
            <w:vAlign w:val="bottom"/>
          </w:tcPr>
          <w:p>
            <w:pPr>
              <w:jc w:val="center"/>
              <w:ind w:left="410"/>
              <w:spacing w:after="0"/>
              <w:rPr>
                <w:sz w:val="20"/>
                <w:szCs w:val="20"/>
                <w:color w:val="auto"/>
              </w:rPr>
            </w:pPr>
            <w:r>
              <w:rPr>
                <w:rFonts w:ascii="Arial" w:cs="Arial" w:eastAsia="Arial" w:hAnsi="Arial"/>
                <w:sz w:val="18"/>
                <w:szCs w:val="18"/>
                <w:b w:val="1"/>
                <w:bCs w:val="1"/>
                <w:color w:val="auto"/>
                <w:w w:val="99"/>
              </w:rPr>
              <w:t>(a)</w:t>
            </w: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80" w:type="dxa"/>
            <w:vAlign w:val="bottom"/>
          </w:tcPr>
          <w:p>
            <w:pPr>
              <w:jc w:val="center"/>
              <w:ind w:right="250"/>
              <w:spacing w:after="0"/>
              <w:rPr>
                <w:sz w:val="20"/>
                <w:szCs w:val="20"/>
                <w:color w:val="auto"/>
              </w:rPr>
            </w:pPr>
            <w:r>
              <w:rPr>
                <w:rFonts w:ascii="Arial" w:cs="Arial" w:eastAsia="Arial" w:hAnsi="Arial"/>
                <w:sz w:val="18"/>
                <w:szCs w:val="18"/>
                <w:b w:val="1"/>
                <w:bCs w:val="1"/>
                <w:color w:val="auto"/>
                <w:w w:val="95"/>
              </w:rPr>
              <w:t>(b)</w:t>
            </w: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90"/>
              </w:rPr>
              <w:t>(c)</w:t>
            </w:r>
          </w:p>
        </w:tc>
        <w:tc>
          <w:tcPr>
            <w:tcW w:w="220" w:type="dxa"/>
            <w:vAlign w:val="bottom"/>
          </w:tcPr>
          <w:p>
            <w:pPr>
              <w:spacing w:after="0"/>
              <w:rPr>
                <w:sz w:val="20"/>
                <w:szCs w:val="20"/>
                <w:color w:val="auto"/>
              </w:rPr>
            </w:pPr>
          </w:p>
        </w:tc>
        <w:tc>
          <w:tcPr>
            <w:tcW w:w="2000" w:type="dxa"/>
            <w:vAlign w:val="bottom"/>
          </w:tcPr>
          <w:p>
            <w:pPr>
              <w:jc w:val="center"/>
              <w:ind w:right="90"/>
              <w:spacing w:after="0"/>
              <w:rPr>
                <w:sz w:val="20"/>
                <w:szCs w:val="20"/>
                <w:color w:val="auto"/>
              </w:rPr>
            </w:pPr>
            <w:r>
              <w:rPr>
                <w:rFonts w:ascii="Arial" w:cs="Arial" w:eastAsia="Arial" w:hAnsi="Arial"/>
                <w:sz w:val="18"/>
                <w:szCs w:val="18"/>
                <w:b w:val="1"/>
                <w:bCs w:val="1"/>
                <w:color w:val="auto"/>
                <w:w w:val="95"/>
              </w:rPr>
              <w:t>(d)</w:t>
            </w:r>
          </w:p>
        </w:tc>
      </w:tr>
      <w:tr>
        <w:trPr>
          <w:trHeight w:val="252"/>
        </w:trPr>
        <w:tc>
          <w:tcPr>
            <w:tcW w:w="24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91"/>
              </w:rPr>
              <w:t>Total number of shares</w:t>
            </w:r>
          </w:p>
        </w:tc>
        <w:tc>
          <w:tcPr>
            <w:tcW w:w="22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Dollar value of shares that</w:t>
            </w:r>
          </w:p>
        </w:tc>
      </w:tr>
      <w:tr>
        <w:trPr>
          <w:trHeight w:val="216"/>
        </w:trPr>
        <w:tc>
          <w:tcPr>
            <w:tcW w:w="2480" w:type="dxa"/>
            <w:vAlign w:val="bottom"/>
          </w:tcPr>
          <w:p>
            <w:pPr>
              <w:spacing w:after="0"/>
              <w:rPr>
                <w:sz w:val="18"/>
                <w:szCs w:val="18"/>
                <w:color w:val="auto"/>
              </w:rPr>
            </w:pPr>
          </w:p>
        </w:tc>
        <w:tc>
          <w:tcPr>
            <w:tcW w:w="1640" w:type="dxa"/>
            <w:vAlign w:val="bottom"/>
          </w:tcPr>
          <w:p>
            <w:pPr>
              <w:jc w:val="center"/>
              <w:ind w:left="410"/>
              <w:spacing w:after="0"/>
              <w:rPr>
                <w:sz w:val="20"/>
                <w:szCs w:val="20"/>
                <w:color w:val="auto"/>
              </w:rPr>
            </w:pPr>
            <w:r>
              <w:rPr>
                <w:rFonts w:ascii="Arial" w:cs="Arial" w:eastAsia="Arial" w:hAnsi="Arial"/>
                <w:sz w:val="18"/>
                <w:szCs w:val="18"/>
                <w:b w:val="1"/>
                <w:bCs w:val="1"/>
                <w:color w:val="auto"/>
                <w:w w:val="92"/>
              </w:rPr>
              <w:t>Total number</w:t>
            </w: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 as part of</w:t>
            </w:r>
          </w:p>
        </w:tc>
        <w:tc>
          <w:tcPr>
            <w:tcW w:w="220" w:type="dxa"/>
            <w:vAlign w:val="bottom"/>
          </w:tcPr>
          <w:p>
            <w:pPr>
              <w:spacing w:after="0"/>
              <w:rPr>
                <w:sz w:val="18"/>
                <w:szCs w:val="18"/>
                <w:color w:val="auto"/>
              </w:rPr>
            </w:pPr>
          </w:p>
        </w:tc>
        <w:tc>
          <w:tcPr>
            <w:tcW w:w="200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may yet be purchased</w:t>
            </w:r>
          </w:p>
        </w:tc>
      </w:tr>
      <w:tr>
        <w:trPr>
          <w:trHeight w:val="216"/>
        </w:trPr>
        <w:tc>
          <w:tcPr>
            <w:tcW w:w="2480" w:type="dxa"/>
            <w:vAlign w:val="bottom"/>
          </w:tcPr>
          <w:p>
            <w:pPr>
              <w:spacing w:after="0"/>
              <w:rPr>
                <w:sz w:val="18"/>
                <w:szCs w:val="18"/>
                <w:color w:val="auto"/>
              </w:rPr>
            </w:pPr>
          </w:p>
        </w:tc>
        <w:tc>
          <w:tcPr>
            <w:tcW w:w="1640" w:type="dxa"/>
            <w:vAlign w:val="bottom"/>
          </w:tcPr>
          <w:p>
            <w:pPr>
              <w:jc w:val="center"/>
              <w:ind w:left="430"/>
              <w:spacing w:after="0"/>
              <w:rPr>
                <w:sz w:val="20"/>
                <w:szCs w:val="20"/>
                <w:color w:val="auto"/>
              </w:rPr>
            </w:pPr>
            <w:r>
              <w:rPr>
                <w:rFonts w:ascii="Arial" w:cs="Arial" w:eastAsia="Arial" w:hAnsi="Arial"/>
                <w:sz w:val="18"/>
                <w:szCs w:val="18"/>
                <w:b w:val="1"/>
                <w:bCs w:val="1"/>
                <w:color w:val="auto"/>
                <w:w w:val="84"/>
              </w:rPr>
              <w:t>of shares</w:t>
            </w: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80" w:type="dxa"/>
            <w:vAlign w:val="bottom"/>
          </w:tcPr>
          <w:p>
            <w:pPr>
              <w:jc w:val="center"/>
              <w:ind w:right="250"/>
              <w:spacing w:after="0"/>
              <w:rPr>
                <w:sz w:val="20"/>
                <w:szCs w:val="20"/>
                <w:color w:val="auto"/>
              </w:rPr>
            </w:pPr>
            <w:r>
              <w:rPr>
                <w:rFonts w:ascii="Arial" w:cs="Arial" w:eastAsia="Arial" w:hAnsi="Arial"/>
                <w:sz w:val="18"/>
                <w:szCs w:val="18"/>
                <w:b w:val="1"/>
                <w:bCs w:val="1"/>
                <w:color w:val="auto"/>
                <w:w w:val="88"/>
              </w:rPr>
              <w:t>Average price</w:t>
            </w: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88"/>
              </w:rPr>
              <w:t>publicly announced plans</w:t>
            </w:r>
          </w:p>
        </w:tc>
        <w:tc>
          <w:tcPr>
            <w:tcW w:w="220" w:type="dxa"/>
            <w:vAlign w:val="bottom"/>
          </w:tcPr>
          <w:p>
            <w:pPr>
              <w:spacing w:after="0"/>
              <w:rPr>
                <w:sz w:val="18"/>
                <w:szCs w:val="18"/>
                <w:color w:val="auto"/>
              </w:rPr>
            </w:pPr>
          </w:p>
        </w:tc>
        <w:tc>
          <w:tcPr>
            <w:tcW w:w="200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under the plans or</w:t>
            </w:r>
          </w:p>
        </w:tc>
      </w:tr>
      <w:tr>
        <w:trPr>
          <w:trHeight w:val="234"/>
        </w:trPr>
        <w:tc>
          <w:tcPr>
            <w:tcW w:w="2480" w:type="dxa"/>
            <w:vAlign w:val="bottom"/>
          </w:tcPr>
          <w:p>
            <w:pPr>
              <w:ind w:left="980"/>
              <w:spacing w:after="0"/>
              <w:rPr>
                <w:sz w:val="20"/>
                <w:szCs w:val="20"/>
                <w:color w:val="auto"/>
              </w:rPr>
            </w:pPr>
            <w:r>
              <w:rPr>
                <w:rFonts w:ascii="Arial" w:cs="Arial" w:eastAsia="Arial" w:hAnsi="Arial"/>
                <w:sz w:val="18"/>
                <w:szCs w:val="18"/>
                <w:b w:val="1"/>
                <w:bCs w:val="1"/>
                <w:color w:val="auto"/>
              </w:rPr>
              <w:t>Period</w:t>
            </w:r>
          </w:p>
        </w:tc>
        <w:tc>
          <w:tcPr>
            <w:tcW w:w="1640" w:type="dxa"/>
            <w:vAlign w:val="bottom"/>
          </w:tcPr>
          <w:p>
            <w:pPr>
              <w:jc w:val="center"/>
              <w:ind w:left="430"/>
              <w:spacing w:after="0"/>
              <w:rPr>
                <w:sz w:val="20"/>
                <w:szCs w:val="20"/>
                <w:color w:val="auto"/>
              </w:rPr>
            </w:pPr>
            <w:r>
              <w:rPr>
                <w:rFonts w:ascii="Arial" w:cs="Arial" w:eastAsia="Arial" w:hAnsi="Arial"/>
                <w:sz w:val="18"/>
                <w:szCs w:val="18"/>
                <w:b w:val="1"/>
                <w:bCs w:val="1"/>
                <w:color w:val="auto"/>
                <w:w w:val="87"/>
              </w:rPr>
              <w:t>purchased</w:t>
            </w: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80" w:type="dxa"/>
            <w:vAlign w:val="bottom"/>
          </w:tcPr>
          <w:p>
            <w:pPr>
              <w:jc w:val="center"/>
              <w:ind w:right="250"/>
              <w:spacing w:after="0"/>
              <w:rPr>
                <w:sz w:val="20"/>
                <w:szCs w:val="20"/>
                <w:color w:val="auto"/>
              </w:rPr>
            </w:pPr>
            <w:r>
              <w:rPr>
                <w:rFonts w:ascii="Arial" w:cs="Arial" w:eastAsia="Arial" w:hAnsi="Arial"/>
                <w:sz w:val="18"/>
                <w:szCs w:val="18"/>
                <w:b w:val="1"/>
                <w:bCs w:val="1"/>
                <w:color w:val="auto"/>
                <w:w w:val="89"/>
              </w:rPr>
              <w:t>paid per share</w:t>
            </w: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90"/>
              </w:rPr>
              <w:t>or programs</w:t>
            </w:r>
          </w:p>
        </w:tc>
        <w:tc>
          <w:tcPr>
            <w:tcW w:w="220" w:type="dxa"/>
            <w:vAlign w:val="bottom"/>
          </w:tcPr>
          <w:p>
            <w:pPr>
              <w:spacing w:after="0"/>
              <w:rPr>
                <w:sz w:val="20"/>
                <w:szCs w:val="20"/>
                <w:color w:val="auto"/>
              </w:rPr>
            </w:pPr>
          </w:p>
        </w:tc>
        <w:tc>
          <w:tcPr>
            <w:tcW w:w="20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programs</w:t>
            </w:r>
          </w:p>
        </w:tc>
      </w:tr>
      <w:tr>
        <w:trPr>
          <w:trHeight w:val="27"/>
        </w:trPr>
        <w:tc>
          <w:tcPr>
            <w:tcW w:w="24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3"/>
        </w:trPr>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July 1 - July 25</w:t>
            </w:r>
          </w:p>
        </w:tc>
        <w:tc>
          <w:tcPr>
            <w:tcW w:w="16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5,110</w:t>
            </w:r>
          </w:p>
        </w:tc>
        <w:tc>
          <w:tcPr>
            <w:tcW w:w="3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37.04</w:t>
            </w:r>
          </w:p>
        </w:tc>
        <w:tc>
          <w:tcPr>
            <w:tcW w:w="2120" w:type="dxa"/>
            <w:vAlign w:val="bottom"/>
            <w:tcBorders>
              <w:bottom w:val="single" w:sz="8" w:color="CCEEFF"/>
            </w:tcBorders>
            <w:shd w:val="clear" w:color="auto" w:fill="CCEEFF"/>
          </w:tcPr>
          <w:p>
            <w:pPr>
              <w:ind w:left="19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134,718,028</w:t>
            </w:r>
          </w:p>
        </w:tc>
      </w:tr>
      <w:tr>
        <w:trPr>
          <w:trHeight w:val="243"/>
        </w:trPr>
        <w:tc>
          <w:tcPr>
            <w:tcW w:w="2480" w:type="dxa"/>
            <w:vAlign w:val="bottom"/>
          </w:tcPr>
          <w:p>
            <w:pPr>
              <w:ind w:left="20"/>
              <w:spacing w:after="0"/>
              <w:rPr>
                <w:sz w:val="20"/>
                <w:szCs w:val="20"/>
                <w:color w:val="auto"/>
              </w:rPr>
            </w:pPr>
            <w:r>
              <w:rPr>
                <w:rFonts w:ascii="Arial" w:cs="Arial" w:eastAsia="Arial" w:hAnsi="Arial"/>
                <w:sz w:val="18"/>
                <w:szCs w:val="18"/>
                <w:color w:val="auto"/>
              </w:rPr>
              <w:t>July 26 - August 22</w:t>
            </w:r>
          </w:p>
        </w:tc>
        <w:tc>
          <w:tcPr>
            <w:tcW w:w="16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3"/>
              </w:rPr>
              <w:t>1,008</w:t>
            </w:r>
          </w:p>
        </w:tc>
        <w:tc>
          <w:tcPr>
            <w:tcW w:w="360" w:type="dxa"/>
            <w:vAlign w:val="bottom"/>
          </w:tcPr>
          <w:p>
            <w:pPr>
              <w:spacing w:after="0"/>
              <w:rPr>
                <w:sz w:val="21"/>
                <w:szCs w:val="21"/>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43.08</w:t>
            </w:r>
          </w:p>
        </w:tc>
        <w:tc>
          <w:tcPr>
            <w:tcW w:w="2120" w:type="dxa"/>
            <w:vAlign w:val="bottom"/>
          </w:tcPr>
          <w:p>
            <w:pPr>
              <w:ind w:left="19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134,718,028</w:t>
            </w:r>
          </w:p>
        </w:tc>
      </w:tr>
      <w:tr>
        <w:trPr>
          <w:trHeight w:val="27"/>
        </w:trPr>
        <w:tc>
          <w:tcPr>
            <w:tcW w:w="24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75"/>
        </w:trPr>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August 23 - September 30</w:t>
            </w:r>
          </w:p>
        </w:tc>
        <w:tc>
          <w:tcPr>
            <w:tcW w:w="16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3,181</w:t>
            </w:r>
          </w:p>
        </w:tc>
        <w:tc>
          <w:tcPr>
            <w:tcW w:w="36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45.65</w:t>
            </w:r>
          </w:p>
        </w:tc>
        <w:tc>
          <w:tcPr>
            <w:tcW w:w="2120" w:type="dxa"/>
            <w:vAlign w:val="bottom"/>
            <w:tcBorders>
              <w:bottom w:val="single" w:sz="8" w:color="CCEEFF"/>
            </w:tcBorders>
            <w:shd w:val="clear" w:color="auto" w:fill="CCEEFF"/>
          </w:tcPr>
          <w:p>
            <w:pPr>
              <w:ind w:left="19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134,718,028</w:t>
            </w:r>
          </w:p>
        </w:tc>
      </w:tr>
      <w:tr>
        <w:trPr>
          <w:trHeight w:val="237"/>
        </w:trPr>
        <w:tc>
          <w:tcPr>
            <w:tcW w:w="24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164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9,299</w:t>
            </w:r>
          </w:p>
        </w:tc>
        <w:tc>
          <w:tcPr>
            <w:tcW w:w="360" w:type="dxa"/>
            <w:vAlign w:val="bottom"/>
            <w:tcBorders>
              <w:top w:val="single" w:sz="8" w:color="auto"/>
            </w:tcBorders>
          </w:tcPr>
          <w:p>
            <w:pPr>
              <w:spacing w:after="0"/>
              <w:rPr>
                <w:sz w:val="20"/>
                <w:szCs w:val="20"/>
                <w:color w:val="auto"/>
              </w:rPr>
            </w:pPr>
          </w:p>
        </w:tc>
        <w:tc>
          <w:tcPr>
            <w:tcW w:w="1880" w:type="dxa"/>
            <w:vAlign w:val="bottom"/>
            <w:tcBorders>
              <w:top w:val="single" w:sz="8" w:color="auto"/>
            </w:tcBorders>
          </w:tcPr>
          <w:p>
            <w:pPr>
              <w:spacing w:after="0"/>
              <w:rPr>
                <w:sz w:val="20"/>
                <w:szCs w:val="20"/>
                <w:color w:val="auto"/>
              </w:rPr>
            </w:pPr>
          </w:p>
        </w:tc>
        <w:tc>
          <w:tcPr>
            <w:tcW w:w="2120" w:type="dxa"/>
            <w:vAlign w:val="bottom"/>
            <w:tcBorders>
              <w:top w:val="single" w:sz="8" w:color="auto"/>
            </w:tcBorders>
          </w:tcPr>
          <w:p>
            <w:pPr>
              <w:ind w:left="190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tcPr>
          <w:p>
            <w:pPr>
              <w:spacing w:after="0"/>
              <w:rPr>
                <w:sz w:val="20"/>
                <w:szCs w:val="20"/>
                <w:color w:val="auto"/>
              </w:rPr>
            </w:pPr>
          </w:p>
        </w:tc>
        <w:tc>
          <w:tcPr>
            <w:tcW w:w="2000" w:type="dxa"/>
            <w:vAlign w:val="bottom"/>
            <w:tcBorders>
              <w:top w:val="single" w:sz="8" w:color="auto"/>
            </w:tcBorders>
          </w:tcPr>
          <w:p>
            <w:pPr>
              <w:spacing w:after="0"/>
              <w:rPr>
                <w:sz w:val="20"/>
                <w:szCs w:val="20"/>
                <w:color w:val="auto"/>
              </w:rPr>
            </w:pPr>
          </w:p>
        </w:tc>
      </w:tr>
      <w:tr>
        <w:trPr>
          <w:trHeight w:val="27"/>
        </w:trPr>
        <w:tc>
          <w:tcPr>
            <w:tcW w:w="24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1"/>
        </w:trPr>
        <w:tc>
          <w:tcPr>
            <w:tcW w:w="24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left="340" w:hanging="332"/>
        <w:spacing w:after="0" w:line="286" w:lineRule="auto"/>
        <w:tabs>
          <w:tab w:leader="none" w:pos="337"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purchases in this column include 5,110 shares for the period July 1 - July 25, 1,008 shares for the period July 26 - August 22 and 3,181 shares for the period August 23 - September 30 deemed surrendered to us by participants in our equity incentive plans to satisfy the exercise price or withholding of tax obligations related to the exercise of stock options and vesting of restricted and performance shares.</w:t>
      </w:r>
    </w:p>
    <w:p>
      <w:pPr>
        <w:spacing w:after="0" w:line="111" w:lineRule="exact"/>
        <w:rPr>
          <w:rFonts w:ascii="Arial" w:cs="Arial" w:eastAsia="Arial" w:hAnsi="Arial"/>
          <w:sz w:val="17"/>
          <w:szCs w:val="17"/>
          <w:color w:val="auto"/>
        </w:rPr>
      </w:pPr>
    </w:p>
    <w:p>
      <w:pPr>
        <w:ind w:left="340" w:right="40" w:hanging="332"/>
        <w:spacing w:after="0" w:line="263" w:lineRule="auto"/>
        <w:tabs>
          <w:tab w:leader="none" w:pos="334"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average price paid in this column includes shares deemed surrendered to us by participants in our equity incentive plans to satisfy the exercise price for the exercise price of stock options and withholding tax obligations due upon stock option exercises and vesting of restricted and performance shares.</w:t>
      </w:r>
    </w:p>
    <w:p>
      <w:pPr>
        <w:spacing w:after="0" w:line="129" w:lineRule="exact"/>
        <w:rPr>
          <w:rFonts w:ascii="Arial" w:cs="Arial" w:eastAsia="Arial" w:hAnsi="Arial"/>
          <w:sz w:val="18"/>
          <w:szCs w:val="18"/>
          <w:color w:val="auto"/>
        </w:rPr>
      </w:pPr>
    </w:p>
    <w:p>
      <w:pPr>
        <w:ind w:left="340" w:right="160" w:hanging="332"/>
        <w:spacing w:after="0" w:line="277" w:lineRule="auto"/>
        <w:tabs>
          <w:tab w:leader="none" w:pos="337"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number of shares in this column represents the number of shares repurchased as part of our publicly announced plans to repurchase our ordinary shares up to the maximum dollar limit authorized by the Board of Directors, discussed below.</w:t>
      </w:r>
    </w:p>
    <w:p>
      <w:pPr>
        <w:spacing w:after="0" w:line="116" w:lineRule="exact"/>
        <w:rPr>
          <w:rFonts w:ascii="Arial" w:cs="Arial" w:eastAsia="Arial" w:hAnsi="Arial"/>
          <w:sz w:val="18"/>
          <w:szCs w:val="18"/>
          <w:color w:val="auto"/>
        </w:rPr>
      </w:pPr>
    </w:p>
    <w:p>
      <w:pPr>
        <w:ind w:left="340" w:right="320" w:hanging="332"/>
        <w:spacing w:after="0" w:line="311" w:lineRule="auto"/>
        <w:tabs>
          <w:tab w:leader="none" w:pos="334"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 May 2018, the Board of Directors authorized the repurchase of our ordinary shares up to a maximum dollar limit of $750.0 million. The 2018 authorization expires on May 31, 2021. As of September 30, 2020, we had $134.7 million available for share repurchases under this authorization. From time to time, we may enter into a Rule 10b5-1 trading plan for the purpose of repurchasing shares under this authorization.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6.</w:t>
        <w:tab/>
        <w:t>EXHIBITS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in the following Exhibit Index are filed as part of this Quarterly Report on Form 10-Q.</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Exhibit Index to Form 10-Q for the Period Ended September 30, 2020</w:t>
      </w:r>
    </w:p>
    <w:p>
      <w:pPr>
        <w:spacing w:after="0" w:line="333" w:lineRule="exact"/>
        <w:rPr>
          <w:sz w:val="20"/>
          <w:szCs w:val="20"/>
          <w:color w:val="auto"/>
        </w:rPr>
      </w:pPr>
    </w:p>
    <w:p>
      <w:pPr>
        <w:ind w:left="940" w:hanging="782"/>
        <w:spacing w:after="0" w:line="277" w:lineRule="auto"/>
        <w:tabs>
          <w:tab w:leader="none" w:pos="920" w:val="left"/>
        </w:tabs>
        <w:rPr>
          <w:rFonts w:ascii="Arial" w:cs="Arial" w:eastAsia="Arial" w:hAnsi="Arial"/>
          <w:sz w:val="18"/>
          <w:szCs w:val="18"/>
          <w:b w:val="1"/>
          <w:bCs w:val="1"/>
          <w:color w:val="0000FF"/>
        </w:rPr>
      </w:pPr>
      <w:hyperlink r:id="rId52">
        <w:r>
          <w:rPr>
            <w:rFonts w:ascii="Arial" w:cs="Arial" w:eastAsia="Arial" w:hAnsi="Arial"/>
            <w:sz w:val="18"/>
            <w:szCs w:val="18"/>
            <w:b w:val="1"/>
            <w:bCs w:val="1"/>
            <w:u w:val="single" w:color="auto"/>
            <w:color w:val="0000FF"/>
          </w:rPr>
          <w:t>10.1</w:t>
        </w:r>
      </w:hyperlink>
      <w:r>
        <w:rPr>
          <w:rFonts w:ascii="Arial" w:cs="Arial" w:eastAsia="Arial" w:hAnsi="Arial"/>
          <w:sz w:val="18"/>
          <w:szCs w:val="18"/>
          <w:b w:val="1"/>
          <w:bCs w:val="1"/>
          <w:color w:val="0000FF"/>
        </w:rPr>
        <w:tab/>
        <w:t>Form of Key Executive Employment and Severance Agreement for Stephen J. Pilla (Incorporated by reference to Exhibit 10.3 in the Quarterly Report on Form 10-Q of Pentair plc for the quarter ended June 30, 2018 (File No. 001-11625)).</w:t>
      </w:r>
    </w:p>
    <w:p>
      <w:pPr>
        <w:sectPr>
          <w:pgSz w:w="11900" w:h="16838" w:orient="portrait"/>
          <w:cols w:equalWidth="0" w:num="1">
            <w:col w:w="11220"/>
          </w:cols>
          <w:pgMar w:left="320" w:top="122" w:right="359" w:bottom="1440" w:gutter="0" w:footer="0" w:header="0"/>
        </w:sectPr>
      </w:pPr>
    </w:p>
    <w:p>
      <w:pPr>
        <w:spacing w:after="0" w:line="8" w:lineRule="exact"/>
        <w:rPr>
          <w:sz w:val="20"/>
          <w:szCs w:val="20"/>
          <w:color w:val="auto"/>
        </w:rPr>
      </w:pPr>
    </w:p>
    <w:p>
      <w:pPr>
        <w:ind w:left="140"/>
        <w:spacing w:after="0"/>
        <w:rPr>
          <w:rFonts w:ascii="Arial" w:cs="Arial" w:eastAsia="Arial" w:hAnsi="Arial"/>
          <w:sz w:val="18"/>
          <w:szCs w:val="18"/>
          <w:b w:val="1"/>
          <w:bCs w:val="1"/>
          <w:u w:val="single" w:color="auto"/>
          <w:color w:val="0000FF"/>
        </w:rPr>
      </w:pPr>
      <w:hyperlink w:anchor="page42">
        <w:r>
          <w:rPr>
            <w:rFonts w:ascii="Arial" w:cs="Arial" w:eastAsia="Arial" w:hAnsi="Arial"/>
            <w:sz w:val="18"/>
            <w:szCs w:val="18"/>
            <w:b w:val="1"/>
            <w:bCs w:val="1"/>
            <w:u w:val="single" w:color="auto"/>
            <w:color w:val="0000FF"/>
          </w:rPr>
          <w:t>22</w:t>
        </w:r>
      </w:hyperlink>
    </w:p>
    <w:p>
      <w:pPr>
        <w:spacing w:after="0" w:line="63" w:lineRule="exact"/>
        <w:rPr>
          <w:sz w:val="20"/>
          <w:szCs w:val="20"/>
          <w:color w:val="auto"/>
        </w:rPr>
      </w:pPr>
    </w:p>
    <w:p>
      <w:pPr>
        <w:ind w:left="140"/>
        <w:spacing w:after="0"/>
        <w:rPr>
          <w:rFonts w:ascii="Arial" w:cs="Arial" w:eastAsia="Arial" w:hAnsi="Arial"/>
          <w:sz w:val="16"/>
          <w:szCs w:val="16"/>
          <w:b w:val="1"/>
          <w:bCs w:val="1"/>
          <w:u w:val="single" w:color="auto"/>
          <w:color w:val="0000FF"/>
        </w:rPr>
      </w:pPr>
      <w:hyperlink w:anchor="page43">
        <w:r>
          <w:rPr>
            <w:rFonts w:ascii="Arial" w:cs="Arial" w:eastAsia="Arial" w:hAnsi="Arial"/>
            <w:sz w:val="16"/>
            <w:szCs w:val="16"/>
            <w:b w:val="1"/>
            <w:bCs w:val="1"/>
            <w:u w:val="single" w:color="auto"/>
            <w:color w:val="0000FF"/>
          </w:rPr>
          <w:t>31.1</w:t>
        </w:r>
      </w:hyperlink>
    </w:p>
    <w:p>
      <w:pPr>
        <w:spacing w:after="0" w:line="86" w:lineRule="exact"/>
        <w:rPr>
          <w:sz w:val="20"/>
          <w:szCs w:val="20"/>
          <w:color w:val="auto"/>
        </w:rPr>
      </w:pPr>
    </w:p>
    <w:p>
      <w:pPr>
        <w:ind w:left="140"/>
        <w:spacing w:after="0"/>
        <w:rPr>
          <w:rFonts w:ascii="Arial" w:cs="Arial" w:eastAsia="Arial" w:hAnsi="Arial"/>
          <w:sz w:val="16"/>
          <w:szCs w:val="16"/>
          <w:b w:val="1"/>
          <w:bCs w:val="1"/>
          <w:u w:val="single" w:color="auto"/>
          <w:color w:val="0000FF"/>
        </w:rPr>
      </w:pPr>
      <w:hyperlink w:anchor="page44">
        <w:r>
          <w:rPr>
            <w:rFonts w:ascii="Arial" w:cs="Arial" w:eastAsia="Arial" w:hAnsi="Arial"/>
            <w:sz w:val="16"/>
            <w:szCs w:val="16"/>
            <w:b w:val="1"/>
            <w:bCs w:val="1"/>
            <w:u w:val="single" w:color="auto"/>
            <w:color w:val="0000FF"/>
          </w:rPr>
          <w:t>31.2</w:t>
        </w:r>
      </w:hyperlink>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List of Guarantors and Subsidiary Issuers of Guaranteed Securities.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Certification of Chief Executive Officer.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Certification of Chief Financial Officer.</w:t>
      </w:r>
    </w:p>
    <w:p>
      <w:pPr>
        <w:spacing w:after="0" w:line="46" w:lineRule="exact"/>
        <w:rPr>
          <w:sz w:val="20"/>
          <w:szCs w:val="20"/>
          <w:color w:val="auto"/>
        </w:rPr>
      </w:pPr>
    </w:p>
    <w:p>
      <w:pPr>
        <w:sectPr>
          <w:pgSz w:w="11900" w:h="16838" w:orient="portrait"/>
          <w:cols w:equalWidth="0" w:num="2">
            <w:col w:w="460" w:space="480"/>
            <w:col w:w="10280"/>
          </w:cols>
          <w:pgMar w:left="320" w:top="122" w:right="359" w:bottom="1440" w:gutter="0" w:footer="0" w:header="0"/>
          <w:type w:val="continuous"/>
        </w:sectPr>
      </w:pPr>
    </w:p>
    <w:p>
      <w:pPr>
        <w:ind w:left="940" w:right="160" w:hanging="782"/>
        <w:spacing w:after="0" w:line="277" w:lineRule="auto"/>
        <w:tabs>
          <w:tab w:leader="none" w:pos="920" w:val="left"/>
        </w:tabs>
        <w:rPr>
          <w:rFonts w:ascii="Arial" w:cs="Arial" w:eastAsia="Arial" w:hAnsi="Arial"/>
          <w:sz w:val="18"/>
          <w:szCs w:val="18"/>
          <w:b w:val="1"/>
          <w:bCs w:val="1"/>
          <w:color w:val="0000FF"/>
        </w:rPr>
      </w:pPr>
      <w:hyperlink w:anchor="page45">
        <w:r>
          <w:rPr>
            <w:rFonts w:ascii="Arial" w:cs="Arial" w:eastAsia="Arial" w:hAnsi="Arial"/>
            <w:sz w:val="18"/>
            <w:szCs w:val="18"/>
            <w:b w:val="1"/>
            <w:bCs w:val="1"/>
            <w:u w:val="single" w:color="auto"/>
            <w:color w:val="0000FF"/>
          </w:rPr>
          <w:t>32.1</w:t>
        </w:r>
      </w:hyperlink>
      <w:r>
        <w:rPr>
          <w:rFonts w:ascii="Arial" w:cs="Arial" w:eastAsia="Arial" w:hAnsi="Arial"/>
          <w:sz w:val="18"/>
          <w:szCs w:val="18"/>
          <w:b w:val="1"/>
          <w:bCs w:val="1"/>
          <w:color w:val="0000FF"/>
        </w:rPr>
        <w:tab/>
        <w:t>Certification of Chief Executive Officer, Pursuant to 18 U.S.C. Section 1350, as Adopted Pursuant to Section 906 of the Sarbanes-Oxley Act of 2002.</w:t>
      </w:r>
    </w:p>
    <w:p>
      <w:pPr>
        <w:spacing w:after="0" w:line="8" w:lineRule="exact"/>
        <w:rPr>
          <w:sz w:val="20"/>
          <w:szCs w:val="20"/>
          <w:color w:val="auto"/>
        </w:rPr>
      </w:pPr>
    </w:p>
    <w:p>
      <w:pPr>
        <w:ind w:left="140"/>
        <w:spacing w:after="0"/>
        <w:tabs>
          <w:tab w:leader="none" w:pos="920" w:val="left"/>
        </w:tabs>
        <w:rPr>
          <w:rFonts w:ascii="Arial" w:cs="Arial" w:eastAsia="Arial" w:hAnsi="Arial"/>
          <w:sz w:val="18"/>
          <w:szCs w:val="18"/>
          <w:b w:val="1"/>
          <w:bCs w:val="1"/>
          <w:color w:val="0000FF"/>
        </w:rPr>
      </w:pPr>
      <w:hyperlink w:anchor="page46">
        <w:r>
          <w:rPr>
            <w:rFonts w:ascii="Arial" w:cs="Arial" w:eastAsia="Arial" w:hAnsi="Arial"/>
            <w:sz w:val="18"/>
            <w:szCs w:val="18"/>
            <w:b w:val="1"/>
            <w:bCs w:val="1"/>
            <w:u w:val="single" w:color="auto"/>
            <w:color w:val="0000FF"/>
          </w:rPr>
          <w:t>32.2</w:t>
        </w:r>
      </w:hyperlink>
      <w:r>
        <w:rPr>
          <w:rFonts w:ascii="Arial" w:cs="Arial" w:eastAsia="Arial" w:hAnsi="Arial"/>
          <w:sz w:val="18"/>
          <w:szCs w:val="18"/>
          <w:b w:val="1"/>
          <w:bCs w:val="1"/>
          <w:color w:val="0000FF"/>
        </w:rPr>
        <w:tab/>
      </w:r>
      <w:r>
        <w:rPr>
          <w:rFonts w:ascii="Arial" w:cs="Arial" w:eastAsia="Arial" w:hAnsi="Arial"/>
          <w:sz w:val="16"/>
          <w:szCs w:val="16"/>
          <w:b w:val="1"/>
          <w:bCs w:val="1"/>
          <w:color w:val="0000FF"/>
        </w:rPr>
        <w:t>Certification of Chief Financial Officer, Pursuant to 18 U.S.C. Section 1350, as Adopted Pursuant to Section 906 of the Sarbanes-Oxley Act of</w:t>
      </w:r>
    </w:p>
    <w:p>
      <w:pPr>
        <w:spacing w:after="0" w:line="41" w:lineRule="exact"/>
        <w:rPr>
          <w:sz w:val="20"/>
          <w:szCs w:val="20"/>
          <w:color w:val="auto"/>
        </w:rPr>
      </w:pPr>
    </w:p>
    <w:p>
      <w:pPr>
        <w:ind w:left="940"/>
        <w:spacing w:after="0"/>
        <w:rPr>
          <w:sz w:val="20"/>
          <w:szCs w:val="20"/>
          <w:color w:val="auto"/>
        </w:rPr>
      </w:pPr>
      <w:r>
        <w:rPr>
          <w:rFonts w:ascii="Arial" w:cs="Arial" w:eastAsia="Arial" w:hAnsi="Arial"/>
          <w:sz w:val="18"/>
          <w:szCs w:val="18"/>
          <w:color w:val="auto"/>
        </w:rPr>
        <w:t>2002.</w:t>
      </w:r>
    </w:p>
    <w:p>
      <w:pPr>
        <w:spacing w:after="0" w:line="49" w:lineRule="exact"/>
        <w:rPr>
          <w:sz w:val="20"/>
          <w:szCs w:val="20"/>
          <w:color w:val="auto"/>
        </w:rPr>
      </w:pPr>
    </w:p>
    <w:p>
      <w:pPr>
        <w:ind w:left="940" w:right="120" w:hanging="811"/>
        <w:spacing w:after="0" w:line="272" w:lineRule="auto"/>
        <w:tabs>
          <w:tab w:leader="none" w:pos="940" w:val="left"/>
        </w:tabs>
        <w:numPr>
          <w:ilvl w:val="0"/>
          <w:numId w:val="48"/>
        </w:numPr>
        <w:rPr>
          <w:rFonts w:ascii="Arial" w:cs="Arial" w:eastAsia="Arial" w:hAnsi="Arial"/>
          <w:sz w:val="17"/>
          <w:szCs w:val="17"/>
          <w:b w:val="1"/>
          <w:bCs w:val="1"/>
          <w:color w:val="auto"/>
        </w:rPr>
      </w:pPr>
      <w:r>
        <w:rPr>
          <w:rFonts w:ascii="Arial" w:cs="Arial" w:eastAsia="Arial" w:hAnsi="Arial"/>
          <w:sz w:val="17"/>
          <w:szCs w:val="17"/>
          <w:color w:val="auto"/>
        </w:rPr>
        <w:t>The following materials from Pentair plc’s Quarterly Report on Form 10-Q for the quarter ended September 30, 2020 are filed herewith, formatted in iXBRL (Inline Extensible Business Reporting Language): (i) the Condensed Consolidated Statements of Operations and Comprehensive Income for the three and nine months ended September 30, 2020 and 2019, (ii) the Condensed Consolidated Balance Sheets as of September 30, 2020 and December 31, 2019, (iii) the Condensed Consolidated Statements of Cash Flows for the nine months ended September 30, 2020 and 2019, (iv) the Condensed Consolidated Statements of Changes in Equity for the three and nine months ended September 30, 2020 and 2019, and (v) Notes to Condensed Consolidated Financial Statements. The instance document does not appear in the interactive data file because its XBRL tags are embedded within the Inline XBRL document.</w:t>
      </w:r>
    </w:p>
    <w:p>
      <w:pPr>
        <w:spacing w:after="0" w:line="15" w:lineRule="exact"/>
        <w:rPr>
          <w:sz w:val="20"/>
          <w:szCs w:val="20"/>
          <w:color w:val="auto"/>
        </w:rPr>
      </w:pPr>
    </w:p>
    <w:p>
      <w:pPr>
        <w:ind w:left="940" w:hanging="811"/>
        <w:spacing w:after="0"/>
        <w:tabs>
          <w:tab w:leader="none" w:pos="940" w:val="left"/>
        </w:tabs>
        <w:numPr>
          <w:ilvl w:val="0"/>
          <w:numId w:val="49"/>
        </w:numPr>
        <w:rPr>
          <w:rFonts w:ascii="Arial" w:cs="Arial" w:eastAsia="Arial" w:hAnsi="Arial"/>
          <w:sz w:val="18"/>
          <w:szCs w:val="18"/>
          <w:b w:val="1"/>
          <w:bCs w:val="1"/>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356" w:lineRule="exact"/>
        <w:rPr>
          <w:rFonts w:ascii="Arial" w:cs="Arial" w:eastAsia="Arial" w:hAnsi="Arial"/>
          <w:sz w:val="18"/>
          <w:szCs w:val="18"/>
          <w:b w:val="1"/>
          <w:bCs w:val="1"/>
          <w:color w:val="auto"/>
        </w:rPr>
      </w:pPr>
    </w:p>
    <w:p>
      <w:pPr>
        <w:ind w:left="5540"/>
        <w:spacing w:after="0"/>
        <w:rPr>
          <w:rFonts w:ascii="Arial" w:cs="Arial" w:eastAsia="Arial" w:hAnsi="Arial"/>
          <w:sz w:val="18"/>
          <w:szCs w:val="18"/>
          <w:b w:val="1"/>
          <w:bCs w:val="1"/>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40" w:name="page41"/>
    <w:bookmarkEnd w:id="4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October 20, 2020.</w:t>
      </w:r>
    </w:p>
    <w:p>
      <w:pPr>
        <w:spacing w:after="0" w:line="200" w:lineRule="exact"/>
        <w:rPr>
          <w:sz w:val="20"/>
          <w:szCs w:val="20"/>
          <w:color w:val="auto"/>
        </w:rPr>
      </w:pPr>
    </w:p>
    <w:p>
      <w:pPr>
        <w:spacing w:after="0" w:line="362"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Pentair plc</w:t>
      </w:r>
    </w:p>
    <w:p>
      <w:pPr>
        <w:spacing w:after="0" w:line="6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Registrant</w:t>
      </w:r>
    </w:p>
    <w:p>
      <w:pPr>
        <w:spacing w:after="0" w:line="333"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By /s/ Robert P.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31750</wp:posOffset>
            </wp:positionV>
            <wp:extent cx="287210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2872105" cy="8255"/>
                    </a:xfrm>
                    <a:prstGeom prst="rect">
                      <a:avLst/>
                    </a:prstGeom>
                    <a:noFill/>
                  </pic:spPr>
                </pic:pic>
              </a:graphicData>
            </a:graphic>
          </wp:anchor>
        </w:drawing>
      </w:r>
    </w:p>
    <w:p>
      <w:pPr>
        <w:spacing w:after="0" w:line="57"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Robert P. Fishman</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Executive Vice President, Chief Financial Officer and Chief</w:t>
      </w:r>
    </w:p>
    <w:p>
      <w:pPr>
        <w:spacing w:after="0" w:line="2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40"/>
          </w:cols>
          <w:pgMar w:left="320" w:top="122" w:right="5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Guarantors and Subsidiary Issuers of Guaranteed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30, 2020</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list of guarantors of the 5.000% Senior Notes due 2021, 3.150% Senior Notes due 2022, 4.650% Senior Notes due 2025, and 4.500%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Senior Notes due 2029 issued by Pentair Finance S.à r.l., which is a wholly-owned subsidiary of Pentair plc:</w:t>
      </w:r>
    </w:p>
    <w:p>
      <w:pPr>
        <w:spacing w:after="0" w:line="13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r>
              <w:rPr>
                <w:rFonts w:ascii="Arial" w:cs="Arial" w:eastAsia="Arial" w:hAnsi="Arial"/>
                <w:sz w:val="18"/>
                <w:szCs w:val="18"/>
                <w:b w:val="1"/>
                <w:bCs w:val="1"/>
                <w:color w:val="auto"/>
              </w:rPr>
              <w:t>Name of Guarantor</w:t>
            </w:r>
          </w:p>
        </w:tc>
        <w:tc>
          <w:tcPr>
            <w:tcW w:w="6260" w:type="dxa"/>
            <w:vAlign w:val="bottom"/>
          </w:tcPr>
          <w:p>
            <w:pPr>
              <w:jc w:val="center"/>
              <w:ind w:left="2690"/>
              <w:spacing w:after="0"/>
              <w:rPr>
                <w:sz w:val="20"/>
                <w:szCs w:val="20"/>
                <w:color w:val="auto"/>
              </w:rPr>
            </w:pPr>
            <w:r>
              <w:rPr>
                <w:rFonts w:ascii="Arial" w:cs="Arial" w:eastAsia="Arial" w:hAnsi="Arial"/>
                <w:sz w:val="18"/>
                <w:szCs w:val="18"/>
                <w:b w:val="1"/>
                <w:bCs w:val="1"/>
                <w:color w:val="auto"/>
                <w:w w:val="91"/>
              </w:rPr>
              <w:t>Jurisdiction of Incorporation</w:t>
            </w:r>
          </w:p>
        </w:tc>
      </w:tr>
      <w:tr>
        <w:trPr>
          <w:trHeight w:val="27"/>
        </w:trPr>
        <w:tc>
          <w:tcPr>
            <w:tcW w:w="4920" w:type="dxa"/>
            <w:vAlign w:val="bottom"/>
            <w:tcBorders>
              <w:bottom w:val="single" w:sz="8" w:color="auto"/>
            </w:tcBorders>
          </w:tcPr>
          <w:p>
            <w:pPr>
              <w:spacing w:after="0"/>
              <w:rPr>
                <w:sz w:val="2"/>
                <w:szCs w:val="2"/>
                <w:color w:val="auto"/>
              </w:rPr>
            </w:pPr>
          </w:p>
        </w:tc>
        <w:tc>
          <w:tcPr>
            <w:tcW w:w="6260" w:type="dxa"/>
            <w:vAlign w:val="bottom"/>
            <w:tcBorders>
              <w:bottom w:val="single" w:sz="8" w:color="auto"/>
            </w:tcBorders>
          </w:tcPr>
          <w:p>
            <w:pPr>
              <w:spacing w:after="0"/>
              <w:rPr>
                <w:sz w:val="2"/>
                <w:szCs w:val="2"/>
                <w:color w:val="auto"/>
              </w:rPr>
            </w:pPr>
          </w:p>
        </w:tc>
      </w:tr>
      <w:tr>
        <w:trPr>
          <w:trHeight w:val="237"/>
        </w:trPr>
        <w:tc>
          <w:tcPr>
            <w:tcW w:w="4920" w:type="dxa"/>
            <w:vAlign w:val="bottom"/>
          </w:tcPr>
          <w:p>
            <w:pPr>
              <w:spacing w:after="0"/>
              <w:rPr>
                <w:sz w:val="20"/>
                <w:szCs w:val="20"/>
                <w:color w:val="auto"/>
              </w:rPr>
            </w:pPr>
            <w:r>
              <w:rPr>
                <w:rFonts w:ascii="Arial" w:cs="Arial" w:eastAsia="Arial" w:hAnsi="Arial"/>
                <w:sz w:val="18"/>
                <w:szCs w:val="18"/>
                <w:color w:val="auto"/>
              </w:rPr>
              <w:t>Pentair plc</w:t>
            </w:r>
          </w:p>
        </w:tc>
        <w:tc>
          <w:tcPr>
            <w:tcW w:w="6260" w:type="dxa"/>
            <w:vAlign w:val="bottom"/>
          </w:tcPr>
          <w:p>
            <w:pPr>
              <w:jc w:val="center"/>
              <w:ind w:left="2670"/>
              <w:spacing w:after="0"/>
              <w:rPr>
                <w:sz w:val="20"/>
                <w:szCs w:val="20"/>
                <w:color w:val="auto"/>
              </w:rPr>
            </w:pPr>
            <w:r>
              <w:rPr>
                <w:rFonts w:ascii="Arial" w:cs="Arial" w:eastAsia="Arial" w:hAnsi="Arial"/>
                <w:sz w:val="18"/>
                <w:szCs w:val="18"/>
                <w:color w:val="auto"/>
                <w:w w:val="90"/>
              </w:rPr>
              <w:t>Ireland</w:t>
            </w:r>
          </w:p>
        </w:tc>
      </w:tr>
    </w:tbl>
    <w:p>
      <w:pPr>
        <w:sectPr>
          <w:pgSz w:w="11900" w:h="16838" w:orient="portrait"/>
          <w:cols w:equalWidth="0" w:num="1">
            <w:col w:w="11240"/>
          </w:cols>
          <w:pgMar w:left="320" w:top="891"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John L. Stauch, certify that:</w:t>
      </w:r>
    </w:p>
    <w:p>
      <w:pPr>
        <w:spacing w:after="0" w:line="252" w:lineRule="exact"/>
        <w:rPr>
          <w:sz w:val="20"/>
          <w:szCs w:val="20"/>
          <w:color w:val="auto"/>
        </w:rPr>
      </w:pPr>
    </w:p>
    <w:p>
      <w:pPr>
        <w:ind w:left="320" w:hanging="312"/>
        <w:spacing w:after="0"/>
        <w:tabs>
          <w:tab w:leader="none" w:pos="3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Pentair plc;</w:t>
      </w:r>
    </w:p>
    <w:p>
      <w:pPr>
        <w:spacing w:after="0" w:line="252" w:lineRule="exact"/>
        <w:rPr>
          <w:rFonts w:ascii="Arial" w:cs="Arial" w:eastAsia="Arial" w:hAnsi="Arial"/>
          <w:sz w:val="18"/>
          <w:szCs w:val="18"/>
          <w:color w:val="auto"/>
        </w:rPr>
      </w:pPr>
    </w:p>
    <w:p>
      <w:pPr>
        <w:jc w:val="both"/>
        <w:ind w:left="260" w:hanging="252"/>
        <w:spacing w:after="0" w:line="342" w:lineRule="auto"/>
        <w:tabs>
          <w:tab w:leader="none" w:pos="391" w:val="left"/>
        </w:tabs>
        <w:numPr>
          <w:ilvl w:val="0"/>
          <w:numId w:val="5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left="260" w:hanging="252"/>
        <w:spacing w:after="0" w:line="277" w:lineRule="auto"/>
        <w:tabs>
          <w:tab w:leader="none" w:pos="397"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260" w:hanging="252"/>
        <w:spacing w:after="0" w:line="263" w:lineRule="auto"/>
        <w:tabs>
          <w:tab w:leader="none" w:pos="444"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500" w:hanging="249"/>
        <w:spacing w:after="0" w:line="263" w:lineRule="auto"/>
        <w:tabs>
          <w:tab w:leader="none" w:pos="657"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500" w:hanging="249"/>
        <w:spacing w:after="0" w:line="263" w:lineRule="auto"/>
        <w:tabs>
          <w:tab w:leader="none" w:pos="732"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500" w:hanging="249"/>
        <w:spacing w:after="0" w:line="308" w:lineRule="auto"/>
        <w:tabs>
          <w:tab w:leader="none" w:pos="577" w:val="left"/>
        </w:tabs>
        <w:numPr>
          <w:ilvl w:val="1"/>
          <w:numId w:val="5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500" w:hanging="249"/>
        <w:spacing w:after="0" w:line="263" w:lineRule="auto"/>
        <w:tabs>
          <w:tab w:leader="none" w:pos="593"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260" w:hanging="252"/>
        <w:spacing w:after="0" w:line="308" w:lineRule="auto"/>
        <w:tabs>
          <w:tab w:leader="none" w:pos="383"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500" w:hanging="249"/>
        <w:spacing w:after="0" w:line="277" w:lineRule="auto"/>
        <w:tabs>
          <w:tab w:leader="none" w:pos="63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500" w:hanging="249"/>
        <w:spacing w:after="0" w:line="277" w:lineRule="auto"/>
        <w:tabs>
          <w:tab w:leader="none" w:pos="631"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3" w:lineRule="exact"/>
        <w:rPr>
          <w:sz w:val="20"/>
          <w:szCs w:val="20"/>
          <w:color w:val="auto"/>
        </w:rPr>
      </w:pPr>
    </w:p>
    <w:p>
      <w:pPr>
        <w:ind w:left="20"/>
        <w:spacing w:after="0"/>
        <w:tabs>
          <w:tab w:leader="none" w:pos="600" w:val="left"/>
          <w:tab w:leader="none" w:pos="5440" w:val="left"/>
        </w:tabs>
        <w:rPr>
          <w:sz w:val="20"/>
          <w:szCs w:val="20"/>
          <w:color w:val="auto"/>
        </w:rPr>
      </w:pPr>
      <w:r>
        <w:rPr>
          <w:rFonts w:ascii="Arial" w:cs="Arial" w:eastAsia="Arial" w:hAnsi="Arial"/>
          <w:sz w:val="18"/>
          <w:szCs w:val="18"/>
          <w:color w:val="auto"/>
        </w:rPr>
        <w:t>Date:</w:t>
        <w:tab/>
        <w:t>October 20, 2020</w:t>
      </w:r>
      <w:r>
        <w:rPr>
          <w:sz w:val="20"/>
          <w:szCs w:val="20"/>
          <w:color w:val="auto"/>
        </w:rPr>
        <w:tab/>
      </w:r>
      <w:r>
        <w:rPr>
          <w:rFonts w:ascii="Arial" w:cs="Arial" w:eastAsia="Arial" w:hAnsi="Arial"/>
          <w:sz w:val="16"/>
          <w:szCs w:val="16"/>
          <w:color w:val="auto"/>
        </w:rPr>
        <w:t>/s/ John L. Stauch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3459480</wp:posOffset>
            </wp:positionH>
            <wp:positionV relativeFrom="paragraph">
              <wp:posOffset>31750</wp:posOffset>
            </wp:positionV>
            <wp:extent cx="36607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3660775" cy="8890"/>
                    </a:xfrm>
                    <a:prstGeom prst="rect">
                      <a:avLst/>
                    </a:prstGeom>
                    <a:noFill/>
                  </pic:spPr>
                </pic:pic>
              </a:graphicData>
            </a:graphic>
          </wp:anchor>
        </w:drawing>
      </w:r>
    </w:p>
    <w:p>
      <w:pPr>
        <w:spacing w:after="0" w:line="5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John L. Stauch</w:t>
      </w:r>
    </w:p>
    <w:p>
      <w:pPr>
        <w:spacing w:after="0" w:line="50"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891"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Robert P. Fishman, certify that:</w:t>
      </w:r>
    </w:p>
    <w:p>
      <w:pPr>
        <w:spacing w:after="0" w:line="252" w:lineRule="exact"/>
        <w:rPr>
          <w:sz w:val="20"/>
          <w:szCs w:val="20"/>
          <w:color w:val="auto"/>
        </w:rPr>
      </w:pPr>
    </w:p>
    <w:p>
      <w:pPr>
        <w:ind w:left="320" w:hanging="312"/>
        <w:spacing w:after="0"/>
        <w:tabs>
          <w:tab w:leader="none" w:pos="3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Pentair plc;</w:t>
      </w:r>
    </w:p>
    <w:p>
      <w:pPr>
        <w:spacing w:after="0" w:line="252" w:lineRule="exact"/>
        <w:rPr>
          <w:rFonts w:ascii="Arial" w:cs="Arial" w:eastAsia="Arial" w:hAnsi="Arial"/>
          <w:sz w:val="18"/>
          <w:szCs w:val="18"/>
          <w:color w:val="auto"/>
        </w:rPr>
      </w:pPr>
    </w:p>
    <w:p>
      <w:pPr>
        <w:jc w:val="both"/>
        <w:ind w:left="260" w:hanging="252"/>
        <w:spacing w:after="0" w:line="342" w:lineRule="auto"/>
        <w:tabs>
          <w:tab w:leader="none" w:pos="391" w:val="left"/>
        </w:tabs>
        <w:numPr>
          <w:ilvl w:val="0"/>
          <w:numId w:val="5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left="260" w:hanging="252"/>
        <w:spacing w:after="0" w:line="277" w:lineRule="auto"/>
        <w:tabs>
          <w:tab w:leader="none" w:pos="397"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260" w:hanging="252"/>
        <w:spacing w:after="0" w:line="263" w:lineRule="auto"/>
        <w:tabs>
          <w:tab w:leader="none" w:pos="444"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500" w:hanging="249"/>
        <w:spacing w:after="0" w:line="263" w:lineRule="auto"/>
        <w:tabs>
          <w:tab w:leader="none" w:pos="657"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500" w:hanging="249"/>
        <w:spacing w:after="0" w:line="263" w:lineRule="auto"/>
        <w:tabs>
          <w:tab w:leader="none" w:pos="732"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500" w:hanging="249"/>
        <w:spacing w:after="0" w:line="308" w:lineRule="auto"/>
        <w:tabs>
          <w:tab w:leader="none" w:pos="577" w:val="left"/>
        </w:tabs>
        <w:numPr>
          <w:ilvl w:val="1"/>
          <w:numId w:val="5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500" w:hanging="249"/>
        <w:spacing w:after="0" w:line="263" w:lineRule="auto"/>
        <w:tabs>
          <w:tab w:leader="none" w:pos="593"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260" w:hanging="252"/>
        <w:spacing w:after="0" w:line="308" w:lineRule="auto"/>
        <w:tabs>
          <w:tab w:leader="none" w:pos="383"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500" w:hanging="249"/>
        <w:spacing w:after="0" w:line="277" w:lineRule="auto"/>
        <w:tabs>
          <w:tab w:leader="none" w:pos="63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500" w:hanging="249"/>
        <w:spacing w:after="0" w:line="277" w:lineRule="auto"/>
        <w:tabs>
          <w:tab w:leader="none" w:pos="631"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3" w:lineRule="exact"/>
        <w:rPr>
          <w:sz w:val="20"/>
          <w:szCs w:val="20"/>
          <w:color w:val="auto"/>
        </w:rPr>
      </w:pPr>
    </w:p>
    <w:p>
      <w:pPr>
        <w:ind w:left="20"/>
        <w:spacing w:after="0"/>
        <w:tabs>
          <w:tab w:leader="none" w:pos="600" w:val="left"/>
          <w:tab w:leader="none" w:pos="5440" w:val="left"/>
        </w:tabs>
        <w:rPr>
          <w:sz w:val="20"/>
          <w:szCs w:val="20"/>
          <w:color w:val="auto"/>
        </w:rPr>
      </w:pPr>
      <w:r>
        <w:rPr>
          <w:rFonts w:ascii="Arial" w:cs="Arial" w:eastAsia="Arial" w:hAnsi="Arial"/>
          <w:sz w:val="18"/>
          <w:szCs w:val="18"/>
          <w:color w:val="auto"/>
        </w:rPr>
        <w:t>Date:</w:t>
        <w:tab/>
        <w:t>October 20, 2020</w:t>
      </w:r>
      <w:r>
        <w:rPr>
          <w:sz w:val="20"/>
          <w:szCs w:val="20"/>
          <w:color w:val="auto"/>
        </w:rPr>
        <w:tab/>
      </w:r>
      <w:r>
        <w:rPr>
          <w:rFonts w:ascii="Arial" w:cs="Arial" w:eastAsia="Arial" w:hAnsi="Arial"/>
          <w:sz w:val="15"/>
          <w:szCs w:val="15"/>
          <w:color w:val="auto"/>
        </w:rPr>
        <w:t>/s/ Robert P.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3459480</wp:posOffset>
            </wp:positionH>
            <wp:positionV relativeFrom="paragraph">
              <wp:posOffset>31750</wp:posOffset>
            </wp:positionV>
            <wp:extent cx="36607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3660775" cy="8890"/>
                    </a:xfrm>
                    <a:prstGeom prst="rect">
                      <a:avLst/>
                    </a:prstGeom>
                    <a:noFill/>
                  </pic:spPr>
                </pic:pic>
              </a:graphicData>
            </a:graphic>
          </wp:anchor>
        </w:drawing>
      </w:r>
    </w:p>
    <w:p>
      <w:pPr>
        <w:spacing w:after="0" w:line="5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Robert P. Fishman</w:t>
      </w:r>
    </w:p>
    <w:p>
      <w:pPr>
        <w:spacing w:after="0" w:line="34"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Executive Vice President, Chief Financial Officer and Chief Accounting</w:t>
      </w:r>
    </w:p>
    <w:p>
      <w:pPr>
        <w:ind w:left="5700"/>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1240"/>
          </w:cols>
          <w:pgMar w:left="320" w:top="891"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Pentair plc (the “Company”) on Form 10-Q for the period ended September 30, 2020 as filed with the Securities and Exchange Commission on the date hereof (the “Report”), I, John L. Stauch, President and Chief Executive Officer of the Company, certify, pursuant to 18 U.S.C. § 1350, as adopted pursuant to Section 906 of the Sarbanes-Oxley Act of 2002, that based on my knowledge:</w:t>
      </w:r>
    </w:p>
    <w:p>
      <w:pPr>
        <w:spacing w:after="0" w:line="192" w:lineRule="exact"/>
        <w:rPr>
          <w:sz w:val="20"/>
          <w:szCs w:val="20"/>
          <w:color w:val="auto"/>
        </w:rPr>
      </w:pPr>
    </w:p>
    <w:p>
      <w:pPr>
        <w:ind w:left="720" w:hanging="388"/>
        <w:spacing w:after="0"/>
        <w:tabs>
          <w:tab w:leader="none" w:pos="7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720" w:hanging="388"/>
        <w:spacing w:after="0"/>
        <w:tabs>
          <w:tab w:leader="none" w:pos="7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181" w:lineRule="exact"/>
        <w:rPr>
          <w:sz w:val="20"/>
          <w:szCs w:val="20"/>
          <w:color w:val="auto"/>
        </w:rPr>
      </w:pPr>
    </w:p>
    <w:p>
      <w:pPr>
        <w:ind w:left="20"/>
        <w:spacing w:after="0"/>
        <w:tabs>
          <w:tab w:leader="none" w:pos="600" w:val="left"/>
          <w:tab w:leader="none" w:pos="5440" w:val="left"/>
        </w:tabs>
        <w:rPr>
          <w:sz w:val="20"/>
          <w:szCs w:val="20"/>
          <w:color w:val="auto"/>
        </w:rPr>
      </w:pPr>
      <w:r>
        <w:rPr>
          <w:rFonts w:ascii="Arial" w:cs="Arial" w:eastAsia="Arial" w:hAnsi="Arial"/>
          <w:sz w:val="18"/>
          <w:szCs w:val="18"/>
          <w:color w:val="auto"/>
        </w:rPr>
        <w:t>Date:</w:t>
        <w:tab/>
        <w:t>October 20, 2020</w:t>
      </w:r>
      <w:r>
        <w:rPr>
          <w:sz w:val="20"/>
          <w:szCs w:val="20"/>
          <w:color w:val="auto"/>
        </w:rPr>
        <w:tab/>
      </w:r>
      <w:r>
        <w:rPr>
          <w:rFonts w:ascii="Arial" w:cs="Arial" w:eastAsia="Arial" w:hAnsi="Arial"/>
          <w:sz w:val="16"/>
          <w:szCs w:val="16"/>
          <w:color w:val="auto"/>
        </w:rPr>
        <w:t>/s/ John L. Stauch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3459480</wp:posOffset>
            </wp:positionH>
            <wp:positionV relativeFrom="paragraph">
              <wp:posOffset>31750</wp:posOffset>
            </wp:positionV>
            <wp:extent cx="366077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3660775" cy="8255"/>
                    </a:xfrm>
                    <a:prstGeom prst="rect">
                      <a:avLst/>
                    </a:prstGeom>
                    <a:noFill/>
                  </pic:spPr>
                </pic:pic>
              </a:graphicData>
            </a:graphic>
          </wp:anchor>
        </w:drawing>
      </w:r>
    </w:p>
    <w:p>
      <w:pPr>
        <w:spacing w:after="0" w:line="5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John L. Stauch</w:t>
      </w:r>
    </w:p>
    <w:p>
      <w:pPr>
        <w:spacing w:after="0" w:line="6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891"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CFO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Pentair plc (the “Company”) on Form 10-Q for the period ended September 30, 2020 as filed with the Securities and Exchange Commission on the date hereof (the “Report”), I, Robert P. Fishman, Executive Vice President, Chief Financial Officer and Chief Accounting Officer of the Company, certify, pursuant to 18 U.S.C. § 1350, as adopted pursuant to Section 906 of the Sarbanes-Oxley Act of 2002, that based on my knowledge:</w:t>
      </w:r>
    </w:p>
    <w:p>
      <w:pPr>
        <w:spacing w:after="0" w:line="214" w:lineRule="exact"/>
        <w:rPr>
          <w:sz w:val="20"/>
          <w:szCs w:val="20"/>
          <w:color w:val="auto"/>
        </w:rPr>
      </w:pPr>
    </w:p>
    <w:p>
      <w:pPr>
        <w:ind w:left="720" w:hanging="388"/>
        <w:spacing w:after="0"/>
        <w:tabs>
          <w:tab w:leader="none" w:pos="7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720" w:hanging="388"/>
        <w:spacing w:after="0"/>
        <w:tabs>
          <w:tab w:leader="none" w:pos="7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181" w:lineRule="exact"/>
        <w:rPr>
          <w:sz w:val="20"/>
          <w:szCs w:val="20"/>
          <w:color w:val="auto"/>
        </w:rPr>
      </w:pPr>
    </w:p>
    <w:p>
      <w:pPr>
        <w:ind w:left="20"/>
        <w:spacing w:after="0"/>
        <w:tabs>
          <w:tab w:leader="none" w:pos="600" w:val="left"/>
          <w:tab w:leader="none" w:pos="5440" w:val="left"/>
        </w:tabs>
        <w:rPr>
          <w:sz w:val="20"/>
          <w:szCs w:val="20"/>
          <w:color w:val="auto"/>
        </w:rPr>
      </w:pPr>
      <w:r>
        <w:rPr>
          <w:rFonts w:ascii="Arial" w:cs="Arial" w:eastAsia="Arial" w:hAnsi="Arial"/>
          <w:sz w:val="18"/>
          <w:szCs w:val="18"/>
          <w:color w:val="auto"/>
        </w:rPr>
        <w:t>Date:</w:t>
        <w:tab/>
        <w:t>October 20, 2020</w:t>
      </w:r>
      <w:r>
        <w:rPr>
          <w:sz w:val="20"/>
          <w:szCs w:val="20"/>
          <w:color w:val="auto"/>
        </w:rPr>
        <w:tab/>
      </w:r>
      <w:r>
        <w:rPr>
          <w:rFonts w:ascii="Arial" w:cs="Arial" w:eastAsia="Arial" w:hAnsi="Arial"/>
          <w:sz w:val="15"/>
          <w:szCs w:val="15"/>
          <w:color w:val="auto"/>
        </w:rPr>
        <w:t>/s/ Robert P.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3459480</wp:posOffset>
            </wp:positionH>
            <wp:positionV relativeFrom="paragraph">
              <wp:posOffset>31750</wp:posOffset>
            </wp:positionV>
            <wp:extent cx="366077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3660775" cy="8255"/>
                    </a:xfrm>
                    <a:prstGeom prst="rect">
                      <a:avLst/>
                    </a:prstGeom>
                    <a:noFill/>
                  </pic:spPr>
                </pic:pic>
              </a:graphicData>
            </a:graphic>
          </wp:anchor>
        </w:drawing>
      </w:r>
    </w:p>
    <w:p>
      <w:pPr>
        <w:spacing w:after="0" w:line="5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Robert P. Fishman</w:t>
      </w:r>
    </w:p>
    <w:p>
      <w:pPr>
        <w:spacing w:after="0" w:line="34"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Executive Vice President, Chief Financial Officer and Chief Accounting</w:t>
      </w:r>
    </w:p>
    <w:p>
      <w:pPr>
        <w:ind w:left="5700"/>
        <w:spacing w:after="0"/>
        <w:rPr>
          <w:sz w:val="20"/>
          <w:szCs w:val="20"/>
          <w:color w:val="auto"/>
        </w:rPr>
      </w:pPr>
      <w:r>
        <w:rPr>
          <w:rFonts w:ascii="Arial" w:cs="Arial" w:eastAsia="Arial" w:hAnsi="Arial"/>
          <w:sz w:val="18"/>
          <w:szCs w:val="18"/>
          <w:color w:val="auto"/>
        </w:rPr>
        <w:t>Officer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1."/>
      <w:numFmt w:val="decimal"/>
      <w:start w:val="2"/>
    </w:lvl>
  </w:abstractNum>
  <w:abstractNum w:abstractNumId="3">
    <w:nsid w:val="836C40E"/>
    <w:multiLevelType w:val="hybridMultilevel"/>
    <w:lvl w:ilvl="0">
      <w:lvlJc w:val="left"/>
      <w:lvlText w:val="(%1)"/>
      <w:numFmt w:val="decimal"/>
      <w:start w:val="1"/>
    </w:lvl>
  </w:abstractNum>
  <w:abstractNum w:abstractNumId="4">
    <w:nsid w:val="2901D82"/>
    <w:multiLevelType w:val="hybridMultilevel"/>
    <w:lvl w:ilvl="0">
      <w:lvlJc w:val="left"/>
      <w:lvlText w:val="%1."/>
      <w:numFmt w:val="decimal"/>
      <w:start w:val="3"/>
    </w:lvl>
  </w:abstractNum>
  <w:abstractNum w:abstractNumId="5">
    <w:nsid w:val="3A95F874"/>
    <w:multiLevelType w:val="hybridMultilevel"/>
    <w:lvl w:ilvl="0">
      <w:lvlJc w:val="left"/>
      <w:lvlText w:val="%1."/>
      <w:numFmt w:val="decimal"/>
      <w:start w:val="4"/>
    </w:lvl>
  </w:abstractNum>
  <w:abstractNum w:abstractNumId="6">
    <w:nsid w:val="8138641"/>
    <w:multiLevelType w:val="hybridMultilevel"/>
    <w:lvl w:ilvl="0">
      <w:lvlJc w:val="left"/>
      <w:lvlText w:val="%1."/>
      <w:numFmt w:val="decimal"/>
      <w:start w:val="5"/>
    </w:lvl>
  </w:abstractNum>
  <w:abstractNum w:abstractNumId="7">
    <w:nsid w:val="1E7FF521"/>
    <w:multiLevelType w:val="hybridMultilevel"/>
    <w:lvl w:ilvl="0">
      <w:lvlJc w:val="left"/>
      <w:lvlText w:val="%1."/>
      <w:numFmt w:val="decimal"/>
      <w:start w:val="6"/>
    </w:lvl>
  </w:abstractNum>
  <w:abstractNum w:abstractNumId="8">
    <w:nsid w:val="7C3DBD3D"/>
    <w:multiLevelType w:val="hybridMultilevel"/>
    <w:lvl w:ilvl="0">
      <w:lvlJc w:val="left"/>
      <w:lvlText w:val="%1."/>
      <w:numFmt w:val="decimal"/>
      <w:start w:val="8"/>
    </w:lvl>
  </w:abstractNum>
  <w:abstractNum w:abstractNumId="9">
    <w:nsid w:val="737B8DDC"/>
    <w:multiLevelType w:val="hybridMultilevel"/>
    <w:lvl w:ilvl="0">
      <w:lvlJc w:val="left"/>
      <w:lvlText w:val="%1."/>
      <w:numFmt w:val="decimal"/>
      <w:start w:val="9"/>
    </w:lvl>
  </w:abstractNum>
  <w:abstractNum w:abstractNumId="10">
    <w:nsid w:val="6CEAF087"/>
    <w:multiLevelType w:val="hybridMultilevel"/>
    <w:lvl w:ilvl="0">
      <w:lvlJc w:val="left"/>
      <w:lvlText w:val="(%1)"/>
      <w:numFmt w:val="decimal"/>
      <w:start w:val="1"/>
    </w:lvl>
  </w:abstractNum>
  <w:abstractNum w:abstractNumId="11">
    <w:nsid w:val="22221A70"/>
    <w:multiLevelType w:val="hybridMultilevel"/>
    <w:lvl w:ilvl="0">
      <w:lvlJc w:val="left"/>
      <w:lvlText w:val="%1."/>
      <w:numFmt w:val="decimal"/>
      <w:start w:val="10"/>
    </w:lvl>
  </w:abstractNum>
  <w:abstractNum w:abstractNumId="12">
    <w:nsid w:val="4516DDE9"/>
    <w:multiLevelType w:val="hybridMultilevel"/>
    <w:lvl w:ilvl="0">
      <w:lvlJc w:val="left"/>
      <w:lvlText w:val="•"/>
      <w:numFmt w:val="bullet"/>
      <w:start w:val="1"/>
    </w:lvl>
    <w:lvl w:ilvl="1">
      <w:lvlJc w:val="left"/>
      <w:lvlText w:val="•"/>
      <w:numFmt w:val="bullet"/>
      <w:start w:val="1"/>
    </w:lvl>
  </w:abstractNum>
  <w:abstractNum w:abstractNumId="13">
    <w:nsid w:val="3006C83E"/>
    <w:multiLevelType w:val="hybridMultilevel"/>
    <w:lvl w:ilvl="0">
      <w:lvlJc w:val="left"/>
      <w:lvlText w:val="(%1)"/>
      <w:numFmt w:val="decimal"/>
      <w:start w:val="1"/>
    </w:lvl>
  </w:abstractNum>
  <w:abstractNum w:abstractNumId="14">
    <w:nsid w:val="614FD4A1"/>
    <w:multiLevelType w:val="hybridMultilevel"/>
    <w:lvl w:ilvl="0">
      <w:lvlJc w:val="left"/>
      <w:lvlText w:val="%1."/>
      <w:numFmt w:val="decimal"/>
      <w:start w:val="11"/>
    </w:lvl>
  </w:abstractNum>
  <w:abstractNum w:abstractNumId="15">
    <w:nsid w:val="419AC241"/>
    <w:multiLevelType w:val="hybridMultilevel"/>
    <w:lvl w:ilvl="0">
      <w:lvlJc w:val="left"/>
      <w:lvlText w:val="%1."/>
      <w:numFmt w:val="decimal"/>
      <w:start w:val="12"/>
    </w:lvl>
  </w:abstractNum>
  <w:abstractNum w:abstractNumId="16">
    <w:nsid w:val="5577F8E1"/>
    <w:multiLevelType w:val="hybridMultilevel"/>
    <w:lvl w:ilvl="0">
      <w:lvlJc w:val="left"/>
      <w:lvlText w:val="(%1)"/>
      <w:numFmt w:val="decimal"/>
      <w:start w:val="1"/>
    </w:lvl>
  </w:abstractNum>
  <w:abstractNum w:abstractNumId="17">
    <w:nsid w:val="440BADFC"/>
    <w:multiLevelType w:val="hybridMultilevel"/>
    <w:lvl w:ilvl="0">
      <w:lvlJc w:val="left"/>
      <w:lvlText w:val="%1."/>
      <w:numFmt w:val="decimal"/>
      <w:start w:val="13"/>
    </w:lvl>
  </w:abstractNum>
  <w:abstractNum w:abstractNumId="18">
    <w:nsid w:val="5072367"/>
    <w:multiLevelType w:val="hybridMultilevel"/>
    <w:lvl w:ilvl="0">
      <w:lvlJc w:val="left"/>
      <w:lvlText w:val="%1."/>
      <w:numFmt w:val="decimal"/>
      <w:start w:val="14"/>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1."/>
      <w:numFmt w:val="decimal"/>
      <w:start w:val="15"/>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
      <w:numFmt w:val="bullet"/>
      <w:start w:val="1"/>
    </w:lvl>
  </w:abstractNum>
  <w:abstractNum w:abstractNumId="25">
    <w:nsid w:val="51EAD36B"/>
    <w:multiLevelType w:val="hybridMultilevel"/>
    <w:lvl w:ilvl="0">
      <w:lvlJc w:val="left"/>
      <w:lvlText w:val="•"/>
      <w:numFmt w:val="bullet"/>
      <w:start w:val="1"/>
    </w:lvl>
    <w:lvl w:ilvl="1">
      <w:lvlJc w:val="left"/>
      <w:lvlText w:val="◦"/>
      <w:numFmt w:val="bullet"/>
      <w:start w:val="1"/>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
      <w:numFmt w:val="bullet"/>
      <w:start w:val="1"/>
    </w:lvl>
  </w:abstractNum>
  <w:abstractNum w:abstractNumId="28">
    <w:nsid w:val="153EA438"/>
    <w:multiLevelType w:val="hybridMultilevel"/>
    <w:lvl w:ilvl="0">
      <w:lvlJc w:val="left"/>
      <w:lvlText w:val="•"/>
      <w:numFmt w:val="bullet"/>
      <w:start w:val="1"/>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
      <w:numFmt w:val="bullet"/>
      <w:start w:val="1"/>
    </w:lvl>
  </w:abstractNum>
  <w:abstractNum w:abstractNumId="31">
    <w:nsid w:val="6A2342EC"/>
    <w:multiLevelType w:val="hybridMultilevel"/>
    <w:lvl w:ilvl="0">
      <w:lvlJc w:val="left"/>
      <w:lvlText w:val="•"/>
      <w:numFmt w:val="bullet"/>
      <w:start w:val="1"/>
    </w:lvl>
  </w:abstractNum>
  <w:abstractNum w:abstractNumId="32">
    <w:nsid w:val="2A487CB0"/>
    <w:multiLevelType w:val="hybridMultilevel"/>
    <w:lvl w:ilvl="0">
      <w:lvlJc w:val="left"/>
      <w:lvlText w:val="•"/>
      <w:numFmt w:val="bullet"/>
      <w:start w:val="1"/>
    </w:lvl>
  </w:abstractNum>
  <w:abstractNum w:abstractNumId="33">
    <w:nsid w:val="1D4ED43B"/>
    <w:multiLevelType w:val="hybridMultilevel"/>
    <w:lvl w:ilvl="0">
      <w:lvlJc w:val="left"/>
      <w:lvlText w:val="•"/>
      <w:numFmt w:val="bullet"/>
      <w:start w:val="1"/>
    </w:lvl>
  </w:abstractNum>
  <w:abstractNum w:abstractNumId="34">
    <w:nsid w:val="725A06FB"/>
    <w:multiLevelType w:val="hybridMultilevel"/>
    <w:lvl w:ilvl="0">
      <w:lvlJc w:val="left"/>
      <w:lvlText w:val="•"/>
      <w:numFmt w:val="bullet"/>
      <w:start w:val="1"/>
    </w:lvl>
  </w:abstractNum>
  <w:abstractNum w:abstractNumId="35">
    <w:nsid w:val="2CD89A32"/>
    <w:multiLevelType w:val="hybridMultilevel"/>
    <w:lvl w:ilvl="0">
      <w:lvlJc w:val="left"/>
      <w:lvlText w:val="•"/>
      <w:numFmt w:val="bullet"/>
      <w:start w:val="1"/>
    </w:lvl>
  </w:abstractNum>
  <w:abstractNum w:abstractNumId="36">
    <w:nsid w:val="57E4CCAF"/>
    <w:multiLevelType w:val="hybridMultilevel"/>
    <w:lvl w:ilvl="0">
      <w:lvlJc w:val="left"/>
      <w:lvlText w:val="•"/>
      <w:numFmt w:val="bullet"/>
      <w:start w:val="1"/>
    </w:lvl>
  </w:abstractNum>
  <w:abstractNum w:abstractNumId="37">
    <w:nsid w:val="7A6D8D3C"/>
    <w:multiLevelType w:val="hybridMultilevel"/>
    <w:lvl w:ilvl="0">
      <w:lvlJc w:val="left"/>
      <w:lvlText w:val="•"/>
      <w:numFmt w:val="bullet"/>
      <w:start w:val="1"/>
    </w:lvl>
  </w:abstractNum>
  <w:abstractNum w:abstractNumId="38">
    <w:nsid w:val="4B588F54"/>
    <w:multiLevelType w:val="hybridMultilevel"/>
    <w:lvl w:ilvl="0">
      <w:lvlJc w:val="left"/>
      <w:lvlText w:val="•"/>
      <w:numFmt w:val="bullet"/>
      <w:start w:val="1"/>
    </w:lvl>
  </w:abstractNum>
  <w:abstractNum w:abstractNumId="39">
    <w:nsid w:val="542289EC"/>
    <w:multiLevelType w:val="hybridMultilevel"/>
    <w:lvl w:ilvl="0">
      <w:lvlJc w:val="left"/>
      <w:lvlText w:val="•"/>
      <w:numFmt w:val="bullet"/>
      <w:start w:val="1"/>
    </w:lvl>
  </w:abstractNum>
  <w:abstractNum w:abstractNumId="40">
    <w:nsid w:val="6DE91B18"/>
    <w:multiLevelType w:val="hybridMultilevel"/>
    <w:lvl w:ilvl="0">
      <w:lvlJc w:val="left"/>
      <w:lvlText w:val="•"/>
      <w:numFmt w:val="bullet"/>
      <w:start w:val="1"/>
    </w:lvl>
  </w:abstractNum>
  <w:abstractNum w:abstractNumId="41">
    <w:nsid w:val="38437FDB"/>
    <w:multiLevelType w:val="hybridMultilevel"/>
    <w:lvl w:ilvl="0">
      <w:lvlJc w:val="left"/>
      <w:lvlText w:val="•"/>
      <w:numFmt w:val="bullet"/>
      <w:start w:val="1"/>
    </w:lvl>
  </w:abstractNum>
  <w:abstractNum w:abstractNumId="42">
    <w:nsid w:val="7644A45C"/>
    <w:multiLevelType w:val="hybridMultilevel"/>
    <w:lvl w:ilvl="0">
      <w:lvlJc w:val="left"/>
      <w:lvlText w:val="(%1)"/>
      <w:numFmt w:val="decimal"/>
      <w:start w:val="1"/>
    </w:lvl>
  </w:abstractNum>
  <w:abstractNum w:abstractNumId="43">
    <w:nsid w:val="32FFF902"/>
    <w:multiLevelType w:val="hybridMultilevel"/>
    <w:lvl w:ilvl="0">
      <w:lvlJc w:val="left"/>
      <w:lvlText w:val="(%1)"/>
      <w:numFmt w:val="lowerLetter"/>
      <w:start w:val="1"/>
    </w:lvl>
  </w:abstractNum>
  <w:abstractNum w:abstractNumId="44">
    <w:nsid w:val="684A481A"/>
    <w:multiLevelType w:val="hybridMultilevel"/>
    <w:lvl w:ilvl="0">
      <w:lvlJc w:val="left"/>
      <w:lvlText w:val="•"/>
      <w:numFmt w:val="bullet"/>
      <w:start w:val="1"/>
    </w:lvl>
  </w:abstractNum>
  <w:abstractNum w:abstractNumId="45">
    <w:nsid w:val="579478FE"/>
    <w:multiLevelType w:val="hybridMultilevel"/>
    <w:lvl w:ilvl="0">
      <w:lvlJc w:val="left"/>
      <w:lvlText w:val="•"/>
      <w:numFmt w:val="bullet"/>
      <w:start w:val="1"/>
    </w:lvl>
  </w:abstractNum>
  <w:abstractNum w:abstractNumId="46">
    <w:nsid w:val="749ABB43"/>
    <w:multiLevelType w:val="hybridMultilevel"/>
    <w:lvl w:ilvl="0">
      <w:lvlJc w:val="left"/>
      <w:lvlText w:val="(%1)"/>
      <w:numFmt w:val="lowerLetter"/>
      <w:start w:val="1"/>
    </w:lvl>
  </w:abstractNum>
  <w:abstractNum w:abstractNumId="47">
    <w:nsid w:val="3DC240FB"/>
    <w:multiLevelType w:val="hybridMultilevel"/>
    <w:lvl w:ilvl="0">
      <w:lvlJc w:val="left"/>
      <w:lvlText w:val="%1"/>
      <w:numFmt w:val="decimal"/>
      <w:start w:val="101"/>
    </w:lvl>
  </w:abstractNum>
  <w:abstractNum w:abstractNumId="48">
    <w:nsid w:val="1BA026FA"/>
    <w:multiLevelType w:val="hybridMultilevel"/>
    <w:lvl w:ilvl="0">
      <w:lvlJc w:val="left"/>
      <w:lvlText w:val="%1"/>
      <w:numFmt w:val="decimal"/>
      <w:start w:val="104"/>
    </w:lvl>
  </w:abstractNum>
  <w:abstractNum w:abstractNumId="49">
    <w:nsid w:val="79A1DEAA"/>
    <w:multiLevelType w:val="hybridMultilevel"/>
    <w:lvl w:ilvl="0">
      <w:lvlJc w:val="left"/>
      <w:lvlText w:val="%1."/>
      <w:numFmt w:val="decimal"/>
      <w:start w:val="1"/>
    </w:lvl>
    <w:lvl w:ilvl="1">
      <w:lvlJc w:val="left"/>
      <w:lvlText w:val="%2)"/>
      <w:numFmt w:val="lowerLetter"/>
      <w:start w:val="1"/>
    </w:lvl>
  </w:abstractNum>
  <w:abstractNum w:abstractNumId="50">
    <w:nsid w:val="75C6C33A"/>
    <w:multiLevelType w:val="hybridMultilevel"/>
    <w:lvl w:ilvl="0">
      <w:lvlJc w:val="left"/>
      <w:lvlText w:val="%1."/>
      <w:numFmt w:val="decimal"/>
      <w:start w:val="1"/>
    </w:lvl>
    <w:lvl w:ilvl="1">
      <w:lvlJc w:val="left"/>
      <w:lvlText w:val="%2)"/>
      <w:numFmt w:val="lowerLetter"/>
      <w:start w:val="1"/>
    </w:lvl>
  </w:abstractNum>
  <w:abstractNum w:abstractNumId="51">
    <w:nsid w:val="12E685FB"/>
    <w:multiLevelType w:val="hybridMultilevel"/>
    <w:lvl w:ilvl="0">
      <w:lvlJc w:val="left"/>
      <w:lvlText w:val="(%1)"/>
      <w:numFmt w:val="decimal"/>
      <w:start w:val="1"/>
    </w:lvl>
  </w:abstractNum>
  <w:abstractNum w:abstractNumId="52">
    <w:nsid w:val="70C6A5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2" Type="http://schemas.openxmlformats.org/officeDocument/2006/relationships/hyperlink" Target="http://www.sec.gov/Archives/edgar/data/77360/000007736018000027/exhibit1032018063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2020-10-20T16:03:03Z</dcterms:created>
  <dcterms:modified xsi:type="dcterms:W3CDTF">2020-10-20T16:03:03Z</dcterms:modified>
</cp:coreProperties>
</file>