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July 28, 2026</w:t>
      </w:r>
    </w:p>
    <w:p>
      <w:pPr>
        <w:pStyle w:val="TextBody"/>
        <w:bidi w:val="0"/>
        <w:spacing w:before="100" w:after="283"/>
        <w:jc w:val="center"/>
        <w:rPr/>
      </w:pPr>
      <w:r>
        <w:rPr/>
        <w:drawing>
          <wp:inline distT="0" distB="0" distL="0" distR="0">
            <wp:extent cx="21812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552450"/>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0"/>
        </w:rPr>
        <w:t>Pentair plc</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left"/>
        <w:rPr>
          <w:color w:val="000000"/>
        </w:rPr>
      </w:pPr>
      <w:r>
        <w:rPr>
          <w:color w:val="000000"/>
        </w:rPr>
        <w:t> </w:t>
      </w:r>
    </w:p>
    <w:tbl>
      <w:tblPr>
        <w:tblW w:w="4738" w:type="dxa"/>
        <w:jc w:val="left"/>
        <w:tblInd w:w="0" w:type="dxa"/>
        <w:tblLayout w:type="fixed"/>
        <w:tblCellMar>
          <w:top w:w="28" w:type="dxa"/>
          <w:left w:w="28" w:type="dxa"/>
          <w:bottom w:w="28" w:type="dxa"/>
          <w:right w:w="28" w:type="dxa"/>
        </w:tblCellMar>
      </w:tblPr>
      <w:tblGrid>
        <w:gridCol w:w="809"/>
        <w:gridCol w:w="711"/>
        <w:gridCol w:w="715"/>
        <w:gridCol w:w="353"/>
        <w:gridCol w:w="353"/>
        <w:gridCol w:w="358"/>
        <w:gridCol w:w="420"/>
        <w:gridCol w:w="420"/>
        <w:gridCol w:w="59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001-11625</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br/>
              <w:t>File No.)</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Regal House, 70 London Road, Twickenham, London, TW13QS United Kingdom </w:t>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color w:val="000000"/>
          <w:sz w:val="16"/>
        </w:rPr>
        <w:t>(Address of principal executive offices)        (Zip Code)</w:t>
      </w:r>
    </w:p>
    <w:p>
      <w:pPr>
        <w:pStyle w:val="TextBody"/>
        <w:bidi w:val="0"/>
        <w:spacing w:lineRule="auto" w:line="288"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44-74-9421-6154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is an emerging growth company as defined in Rule 405 of the Securities Act (17 CFR 230.405) or Rule 12b-2 of the Exchange Act (17 CFR 240.12b-2).</w:t>
      </w:r>
      <w:r>
        <w:rPr>
          <w:color w:val="000000"/>
        </w:rPr>
        <w:t xml:space="preserve"> ☐ </w:t>
      </w:r>
      <w:r>
        <w:rPr>
          <w:rFonts w:ascii="Times New Roman;serif" w:hAnsi="Times New Roman;serif"/>
          <w:b w:val="false"/>
          <w:color w:val="000000"/>
          <w:sz w:val="20"/>
        </w:rPr>
        <w:t>Emerging growth company</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28, 2026, Pentair plc (the “Company”) issued a press release announcing its earnings for the second quarter of 2026 and a conference call in connection therewith. A copy of the release is attached hereto as Exhibit 99.1 and incorporated herein by 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refers to certain non-generally accepted accounting principles (“GAAP”) financial measures (core sales, adjusted operating income, adjusted return on sales, adjusted net income from continuing operations, adjusted diluted earnings per share from continuing operations and free cash flow) and a reconciliation of those non-GAAP financial measures to the corresponding financial measures contained in the Company’s financial statements prepared in accordance with GAAP.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2026 adjusted operating income, adjusted return on sales, adjusted net income from continuing operations and adjusted diluted earnings per share from continuing operations (“EPS”) include equity income of unconsolidated subsidiaries and eliminate intangible amortization, costs of certain restructuring, transformation and other activities and certain tax items. The 2025 adjusted operating income, adjusted return on sales, adjusted net income from continuing operations and adjusted diluted EPS include equity income of unconsolidated subsidiaries and eliminate intangible amortization, costs of certain restructuring, transformation and other activities, certain legal accrual adjustments and settlements, asset impairment and write-offs, loss on sale of business, deal-related costs and expenses, pension and other post-retirement mark-to-market loss and certain tax items.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the term “core sales” to refer to GAAP net sales from continuing operations excluding (1) the impact of currency translation and (2) the impact of net sales from acquired businesses recorded prior to the first anniversary of the acquisition, excluding the excess over prior year net sales of the acquired business less the net sales attributable to discontinued or divested businesses/product lines not considered discontinued operations (“acquisition sales”). The portion of GAAP net sales attributable to currency translation is calculated as the difference between (a) the period-to-period change in net sales (excluding acquisition sales) and (b) the period-to-period change in net sales (excluding acquisition sales) after applying current period foreign exchange rates to the prior year period. We use the term “core sales growth” to refer to the measure of comparing current period core net sales with the corresponding period of the prior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utilizes these adjusted financial measures to assess the run-rate of its continuing operations against those of prior periods without the distortion of these factors. The Company believes that these non-GAAP financial measures will be useful to investors as well to assess the continuing strength of the Company’s underlying operations. In addition, adjusted EPS is used as a criterion to measure and pay long-term incentive compensation and adjusted operating income is used as a criterion to measure and pay annual incentive compensation. These non-GAAP measures may not be comparable to similarly titled measures reported by other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uses free cash flow to assess its cash flow performance. The Company believes free cash flow is an important measure of liquidity because it provides the Company and its investors a measurement of cash generated from operations that is available to pay dividends, repurchase shares and repay debt. In addition, free cash flow is used as a criterion to measure and pay annual incentive compensation. The Company’s measure of free cash flow may not be comparable to similarly titled measures reported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(a)Financial Statements of Businesses Acquired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(b)Pro Forma Financial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(c)Shell Company Transactions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9013"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323"/>
        <w:gridCol w:w="2323"/>
        <w:gridCol w:w="330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330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Pentair plc press release dated July 28, 2026 announcing earnings for the second quarter of 2026</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July 28, 2026.</w:t>
      </w:r>
    </w:p>
    <w:tbl>
      <w:tblPr>
        <w:tblW w:w="6239" w:type="dxa"/>
        <w:jc w:val="left"/>
        <w:tblInd w:w="0" w:type="dxa"/>
        <w:tblLayout w:type="fixed"/>
        <w:tblCellMar>
          <w:top w:w="28" w:type="dxa"/>
          <w:left w:w="28" w:type="dxa"/>
          <w:bottom w:w="28" w:type="dxa"/>
          <w:right w:w="28" w:type="dxa"/>
        </w:tblCellMar>
      </w:tblPr>
      <w:tblGrid>
        <w:gridCol w:w="124"/>
        <w:gridCol w:w="109"/>
        <w:gridCol w:w="109"/>
        <w:gridCol w:w="211"/>
        <w:gridCol w:w="211"/>
        <w:gridCol w:w="211"/>
        <w:gridCol w:w="1521"/>
        <w:gridCol w:w="1521"/>
        <w:gridCol w:w="22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120"/>
        <w:jc w:val="left"/>
        <w:rPr/>
      </w:pPr>
      <w:r>
        <w:rPr/>
        <w:drawing>
          <wp:inline distT="0" distB="0" distL="0" distR="0">
            <wp:extent cx="2181225" cy="552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81225" cy="552450"/>
                    </a:xfrm>
                    <a:prstGeom prst="rect">
                      <a:avLst/>
                    </a:prstGeom>
                  </pic:spPr>
                </pic:pic>
              </a:graphicData>
            </a:graphic>
          </wp:inline>
        </w:drawing>
      </w:r>
      <w:r>
        <w:rPr>
          <w:color w:val="000000"/>
        </w:rPr>
        <w: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News Release</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Pentair Reports Second Quarter 2026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$933 million, down 17 percent compared to sales for the same period last year driven by Pool channel inventory destock of approximately $170 million as communicated on July 14</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Operating income was $167 million with ROS of 17.9 percent; 25.4 percent on an adjusted basis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GAAP EPS was $0.80, the same as communicated on July 14, and adjusted EPS was $1.14, slightly higher than communicated on July 14</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Company’s results include approximately $35 million of International Emergency Economic Powers Act (“IEEPA”) refunds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Repurchased $150 million of ordinary shares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Company updates its full year 2026 GAAP EPS guidance to approximately $3.86 to $4.06, and reaffirms guidance provided on July 14 of EPS on an adjusted basis of approximately $4.60 to $4.80</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Reconciliations of GAAP to Non-GAAP measures are in the attached financial tables.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LONDON, United Kingdom — July 28, 2026 — Pentair plc (NYSE: PNR), a leader in helping the world sustainably move, improve and enjoy water, life’s most essential resource, today announced second quarter 2026 sales of $933 million. Sales were down 17 percent compared to sales for the same period last year. Excluding currency translation, acquisitions and divestitures, core sales declined 17 percent in the second quarter. Second quarter 2026 earnings per diluted share from continuing operations (“EPS”) were $0.80 compared to $0.90 in the second quarter of 2025, an 11 percent decrease. On an adjusted basis, the Company reported second quarter 2026 EPS of $1.14 compared to $1.39 in the second quarter of 2025, reflecting an 18 percent decrease. Adjusted operating income, reportable segment income, adjusted net income, free cash flow and adjusted EPS are described in the attached schedules.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John L. Stauch, Pentair’s President and Chief Executive Officer commented, “As shared in the July 14th preannouncement, our results were below expectations due primarily to a larger-than-anticipated inventory correction in the Pool channel. We are confident this is a temporary channel reset rather than a change in the underlying long-term opportunity for the business and are taking swift actions to improve execution, enhance inventory visibility and support healthier order patterns, positioning our Pool business to deliver robust growth in 2027. Importantly, Flow and Water Solutions continued to deliver solid performance and are progressing against their respective growth priorities. We remain focused on executing our clear plan to expand in key growth markets, advance innovation and deliver exceptional customer service to drive long-term profitable growth and shareholder value.”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Second quarter 2026 operating income was $167 million, down 24 percent compared to operating income for the second quarter of 2025, and return on sales (“ROS”) was 17.9 percent, a decrease of 150 basis points when compared to the second quarter of 2025. On an adjusted basis, the Company had adjusted operating income of $237 million for the second quarter of 2026, down 20 percent compared to adjusted operating income for the second quarter of 2025, and ROS was 25.4 percent, a decrease of 100 basis points when compared to the second quarter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Flow sales were up 5 percent compared to sales for the same period last year. Excluding currency translation, acquisitions and divestitures, core sales declined 1 percent in the second quarter. Reportable segment income of $70 million was up 27 percent compared to the second quarter of 2025, and ROS was 26.5 percent, an increase of 470 basis points when compared to the second quarter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Water Solutions sales were down 5 percent compared to sales for the same period last year. Excluding currency translation, acquisitions and divestitures, core sales declined 3 percent in the second quarter. Reportable segment income of $126 million was up 17 percent compared to the second quarter of 2025, and ROS was 30.0 percent, an increase of 560 basis points when compared to the second quarter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Pool sales were down 42 percent compared to sales for the same period last year. Excluding currency translation, acquisitions and divestitures, core sales declined 42 percent in the second quarter. Reportable segment income of $58 million was down 62 percent compared to the second quarter of 2025, and ROS was 23.4 percent, a decrease of 1,230 basis points when compared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second quarter of 2025. Second quarter Pool performance was impacted by a decline in Pool sales largely attributed to a more pronounced inventory realignment with major channel partners than previously estimated and worsening business conditions, including higher interest rates and inflation.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$572 million for the quarter compared to $607 million in the second quarter of 2025. Free cash flow for the quarter was $553 million compared to $596 million in the second quarter of 2025.</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SHAREHOLDER RETURNS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Pentair paid a regular cash dividend of $0.27 per share in the second quarter of 2026. In addition, Pentair previously announced on May 4, 2026 that it will pay a regular quarterly cash dividend of $0.27 per share on August 7, 2026 to shareholders of record at the close of business on July 24, 2026. This year marks the 50th consecutive year that Pentair has increased its dividend.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second quarter, the Company repurchased 2.0 million shares for $150 million. As of June 30, 2026, we had $650.0 million available for share repurchases under our share repurchase authorization.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Mr. Stauch concluded, “Our full year outlook includes the previously communicated channel inventory reset within the Pool segment, while Flow and Water Solutions remain in line with expectations. We are confident we are taking the right steps to position the business to deliver significant sales and EPS growth in 2027.”</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updates its estimated 2026 GAAP EPS from continuing operations to approximately $3.86 to $4.06, and reaffirms guidance provided on July 14 of estimated EPS on an adjusted basis of approximately $4.60 to $4.80. The Company also reaffirms guidance provided on July 14 of its estimated full year 2026 sales to be down approximately 4 percent to 7 percent on a reported basis. The Company’s full year 2026 guidance includes the right-sizing of channel inventory in preparation for the 2027 pool season. The Company’s full year guidance for 2026 does not include the anticipated acquisition of Taco Group Holdings.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the Company introduces estimated third quarter 2026 GAAP EPS from continuing operations guidance of approximately $0.97 to $1.00, down approximately 11 percent to 13 percent compared to the prior year period, and adjusted EPS of approximately $1.05 to $1.08, down approximately 13 percent to 15 percent compared to the prior year period. The Company expects third quarter sales to be down approximately 4 percent to 6 percent on a reported basis compared to the third quarter of 2025 as we right-size channel inventory in preparation of the 2027 pool season.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EARNINGS AND TACO GROUP HOLDINGS ACQUISITION CONFERENCE CALL</w:t>
      </w:r>
    </w:p>
    <w:p>
      <w:pPr>
        <w:pStyle w:val="TextBody"/>
        <w:bidi w:val="0"/>
        <w:spacing w:lineRule="auto" w:line="288" w:before="0" w:after="120"/>
        <w:jc w:val="both"/>
        <w:rPr/>
      </w:pPr>
      <w:r>
        <w:rPr>
          <w:rFonts w:ascii="Times New Roman;serif" w:hAnsi="Times New Roman;serif"/>
          <w:b w:val="false"/>
          <w:color w:val="000000"/>
          <w:sz w:val="20"/>
        </w:rPr>
        <w:t xml:space="preserve">In a separate press release issued today, Pentair reported it has entered into a definitive agreement to acquire Taco Group Holdings. Pentair President and Chief Executive Officer John L. Stauch and Interim Executive Vice President and Chief Financial Officer Robert P. Fishman will discuss the Company’s second quarter 2026 results and the acquisition of Taco Group Holdings on a conference call with investors at 9:00 a.m. Eastern today. A live audio webcast of the call, along with the related presentation, can be accessed in the Investor Relations section of the Company’s website, </w:t>
      </w:r>
      <w:r>
        <w:rPr>
          <w:rFonts w:ascii="Times New Roman;serif" w:hAnsi="Times New Roman;serif"/>
          <w:b w:val="false"/>
          <w:color w:val="000000"/>
          <w:sz w:val="20"/>
          <w:u w:val="single"/>
        </w:rPr>
        <w:t>www.pentair.com</w:t>
      </w:r>
      <w:r>
        <w:rPr>
          <w:rFonts w:ascii="Times New Roman;serif" w:hAnsi="Times New Roman;serif"/>
          <w:b w:val="false"/>
          <w:color w:val="000000"/>
          <w:sz w:val="20"/>
        </w:rPr>
        <w:t xml:space="preserve">, shortly before the call begins.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Reconciliations of non-GAAP financial measures are set forth in the attachments to this release and in the presentations, each of which can be found on Pentair’s website. The webcast and presentations will be archived at the Company’s website following the conclusion of the event.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SEGMENT REORGANIZATION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The applicable prior period amounts related to this change have been retrospectively reclassified to conform to the new composition. These changes have no impact on the Company’s historical consolidated financial performance or results of operations.</w:t>
      </w:r>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CAUTION CONCERNING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release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All statements made about the anticipated acquisition of Taco Group Holdings (the “Acquisition”)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our ability to close and fund the Acquisition on the expected terms and time schedule, including obtaining regulatory approvals and satisfying other closing conditions; our ability to integrate the Acquisition successfully; our ability to retain customers and employees of the acquired business;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our Annual Report on Form 10-K for the year ended December 31, 2025. All forward-looking statements, including all financial forecasts, speak only as of the date of this release. Pentair assumes no obligation, and disclaims any obligation, to update the information contained in this release.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ABOUT PENTAIR PLC</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At Pentair, we help the world sustainably move, improve and enjoy water, life’s most essential resource. From our residential and commercial water solutions, to industrial water management and everything in between, Pentair is </w:t>
      </w:r>
      <w:r>
        <w:rPr>
          <w:rFonts w:ascii="Times New Roman;serif" w:hAnsi="Times New Roman;serif"/>
          <w:b w:val="false"/>
          <w:color w:val="000000"/>
          <w:sz w:val="20"/>
        </w:rPr>
        <w:t>a core large cap value S&amp;P 500 equity stock fo</w:t>
      </w:r>
      <w:r>
        <w:rPr>
          <w:rFonts w:ascii="Times New Roman;serif" w:hAnsi="Times New Roman;serif"/>
          <w:b w:val="false"/>
          <w:color w:val="000000"/>
          <w:sz w:val="20"/>
          <w:shd w:fill="FFFFFF" w:val="clear"/>
        </w:rPr>
        <w:t>cused on smart, sustainable water solutions that help our planet and people thrive.</w:t>
      </w:r>
    </w:p>
    <w:p>
      <w:pPr>
        <w:pStyle w:val="TextBody"/>
        <w:bidi w:val="0"/>
        <w:spacing w:lineRule="auto" w:line="288" w:before="0" w:after="200"/>
        <w:jc w:val="both"/>
        <w:rPr/>
      </w:pPr>
      <w:r>
        <w:rPr>
          <w:rFonts w:ascii="Times New Roman;serif" w:hAnsi="Times New Roman;serif"/>
          <w:b w:val="false"/>
          <w:color w:val="000000"/>
          <w:sz w:val="20"/>
        </w:rPr>
        <w:t xml:space="preserve">Pentair had revenue in 2025 of approximately $4.2 billion, and trades under the ticker symbol PNR. With approximately 9,000 global employees serving customers in more than 150 countries, we work to help improve lives and the environment around the world. To learn more, visit </w:t>
      </w:r>
      <w:r>
        <w:rPr>
          <w:rFonts w:ascii="Times New Roman;serif" w:hAnsi="Times New Roman;serif"/>
          <w:b w:val="false"/>
          <w:color w:val="000000"/>
          <w:sz w:val="20"/>
          <w:u w:val="single"/>
        </w:rPr>
        <w:t>www.pentair.com</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PENTAIR CONTACTS                            </w:t>
      </w:r>
    </w:p>
    <w:tbl>
      <w:tblPr>
        <w:tblW w:w="6058" w:type="dxa"/>
        <w:jc w:val="center"/>
        <w:tblInd w:w="0" w:type="dxa"/>
        <w:tblLayout w:type="fixed"/>
        <w:tblCellMar>
          <w:top w:w="28" w:type="dxa"/>
          <w:left w:w="28" w:type="dxa"/>
          <w:bottom w:w="28" w:type="dxa"/>
          <w:right w:w="28" w:type="dxa"/>
        </w:tblCellMar>
      </w:tblPr>
      <w:tblGrid>
        <w:gridCol w:w="1076"/>
        <w:gridCol w:w="943"/>
        <w:gridCol w:w="950"/>
        <w:gridCol w:w="903"/>
        <w:gridCol w:w="903"/>
        <w:gridCol w:w="1283"/>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Thompson</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Osborn</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Communications</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763-656-5575</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763-656-5589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jeff.thompson@pentair.com</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rebecca.osborn@pentair.com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70" w:type="dxa"/>
        <w:jc w:val="left"/>
        <w:tblInd w:w="0" w:type="dxa"/>
        <w:tblLayout w:type="fixed"/>
        <w:tblCellMar>
          <w:top w:w="28" w:type="dxa"/>
          <w:left w:w="28" w:type="dxa"/>
          <w:bottom w:w="28" w:type="dxa"/>
          <w:right w:w="28" w:type="dxa"/>
        </w:tblCellMar>
      </w:tblPr>
      <w:tblGrid>
        <w:gridCol w:w="1488"/>
        <w:gridCol w:w="1309"/>
        <w:gridCol w:w="1313"/>
        <w:gridCol w:w="206"/>
        <w:gridCol w:w="586"/>
        <w:gridCol w:w="269"/>
        <w:gridCol w:w="206"/>
        <w:gridCol w:w="728"/>
        <w:gridCol w:w="269"/>
        <w:gridCol w:w="114"/>
        <w:gridCol w:w="114"/>
        <w:gridCol w:w="114"/>
        <w:gridCol w:w="206"/>
        <w:gridCol w:w="728"/>
        <w:gridCol w:w="269"/>
        <w:gridCol w:w="206"/>
        <w:gridCol w:w="728"/>
        <w:gridCol w:w="317"/>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917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r>
      <w:tr>
        <w:trPr/>
        <w:tc>
          <w:tcPr>
            <w:tcW w:w="917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per-share data</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net sales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42.4 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40.7 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42.1 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40.3 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net sales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22.0 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19.0 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20.5 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net sales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net sales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17.9 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19.4 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19.1 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w:t>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expense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net sales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from continuing operations before income taxes </w:t>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Effective tax rate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12.5 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13.9 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13.9 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from continuing operations</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per ordinary share</w:t>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Basic</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ordinary share</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Diluted</w:t>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Continuing operations </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ordinary share</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ordinary shares outstanding</w:t>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dividends paid per ordinary share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9135" w:type="dxa"/>
        <w:jc w:val="left"/>
        <w:tblInd w:w="0" w:type="dxa"/>
        <w:tblLayout w:type="fixed"/>
        <w:tblCellMar>
          <w:top w:w="28" w:type="dxa"/>
          <w:left w:w="28" w:type="dxa"/>
          <w:bottom w:w="28" w:type="dxa"/>
          <w:right w:w="28" w:type="dxa"/>
        </w:tblCellMar>
      </w:tblPr>
      <w:tblGrid>
        <w:gridCol w:w="1839"/>
        <w:gridCol w:w="1609"/>
        <w:gridCol w:w="1621"/>
        <w:gridCol w:w="380"/>
        <w:gridCol w:w="1380"/>
        <w:gridCol w:w="196"/>
        <w:gridCol w:w="380"/>
        <w:gridCol w:w="1380"/>
        <w:gridCol w:w="19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9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9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9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8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compensation and benefits</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639"/>
        <w:gridCol w:w="2251"/>
        <w:gridCol w:w="1801"/>
        <w:gridCol w:w="389"/>
        <w:gridCol w:w="1105"/>
        <w:gridCol w:w="216"/>
        <w:gridCol w:w="389"/>
        <w:gridCol w:w="1105"/>
        <w:gridCol w:w="310"/>
      </w:tblGrid>
      <w:tr>
        <w:trPr/>
        <w:tc>
          <w:tcPr>
            <w:tcW w:w="263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Pentair plc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6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income from continuing operations to net cash provided by (used for) operating activities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income of unconsolidated subsidiaries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and write-offs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assets and liabilities, net of effects of business acquisitions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repayments of short-term borrowings</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borrowings of revolving long-term debt</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employees, net of shares withheld</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ordinary shares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 and cash equivalents</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cash and cash equivalents</w:t>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3514" w:type="dxa"/>
            <w:gridSpan w:val="6"/>
            <w:tcBorders/>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3514" w:type="dxa"/>
            <w:gridSpan w:val="6"/>
            <w:tcBorders/>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6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58"/>
        <w:gridCol w:w="977"/>
        <w:gridCol w:w="905"/>
        <w:gridCol w:w="604"/>
        <w:gridCol w:w="1657"/>
        <w:gridCol w:w="311"/>
        <w:gridCol w:w="311"/>
        <w:gridCol w:w="604"/>
        <w:gridCol w:w="1766"/>
        <w:gridCol w:w="311"/>
        <w:gridCol w:w="302"/>
        <w:gridCol w:w="883"/>
        <w:gridCol w:w="155"/>
        <w:gridCol w:w="161"/>
      </w:tblGrid>
      <w:tr>
        <w:trPr/>
        <w:tc>
          <w:tcPr>
            <w:tcW w:w="125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704"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c>
          <w:tcPr>
            <w:tcW w:w="1501" w:type="dxa"/>
            <w:gridSpan w:val="4"/>
            <w:tcBorders/>
          </w:tcPr>
          <w:p>
            <w:pPr>
              <w:pStyle w:val="TableContents"/>
              <w:bidi w:val="0"/>
              <w:spacing w:before="0" w:after="283"/>
              <w:jc w:val="left"/>
              <w:rPr>
                <w:sz w:val="4"/>
                <w:szCs w:val="4"/>
              </w:rPr>
            </w:pPr>
            <w:r>
              <w:rPr>
                <w:sz w:val="4"/>
                <w:szCs w:val="4"/>
              </w:rPr>
            </w:r>
          </w:p>
        </w:tc>
      </w:tr>
      <w:tr>
        <w:trPr/>
        <w:tc>
          <w:tcPr>
            <w:tcW w:w="8704" w:type="dxa"/>
            <w:gridSpan w:val="10"/>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Reconciliation of the GAAP Operating Activities Cash Flow to the Non-GAAP Free Cash Flow (Unaudited)</w:t>
            </w:r>
          </w:p>
        </w:tc>
        <w:tc>
          <w:tcPr>
            <w:tcW w:w="1501" w:type="dxa"/>
            <w:gridSpan w:val="4"/>
            <w:tcBorders/>
          </w:tcPr>
          <w:p>
            <w:pPr>
              <w:pStyle w:val="TableContents"/>
              <w:bidi w:val="0"/>
              <w:spacing w:before="0" w:after="283"/>
              <w:jc w:val="left"/>
              <w:rPr>
                <w:sz w:val="4"/>
                <w:szCs w:val="4"/>
              </w:rPr>
            </w:pPr>
            <w:r>
              <w:rPr>
                <w:sz w:val="4"/>
                <w:szCs w:val="4"/>
              </w:rPr>
            </w:r>
          </w:p>
        </w:tc>
      </w:tr>
      <w:tr>
        <w:trPr/>
        <w:tc>
          <w:tcPr>
            <w:tcW w:w="8704" w:type="dxa"/>
            <w:gridSpan w:val="1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4"/>
            <w:tcBorders/>
          </w:tcPr>
          <w:p>
            <w:pPr>
              <w:pStyle w:val="TableContents"/>
              <w:bidi w:val="0"/>
              <w:spacing w:before="0" w:after="283"/>
              <w:jc w:val="left"/>
              <w:rPr>
                <w:sz w:val="4"/>
                <w:szCs w:val="4"/>
              </w:rPr>
            </w:pPr>
            <w:r>
              <w:rPr>
                <w:sz w:val="4"/>
                <w:szCs w:val="4"/>
              </w:rPr>
            </w:r>
          </w:p>
        </w:tc>
      </w:tr>
      <w:tr>
        <w:trPr/>
        <w:tc>
          <w:tcPr>
            <w:tcW w:w="3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provided by operating activities</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2572"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2572"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2572"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2572"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9742" w:type="dxa"/>
        <w:jc w:val="center"/>
        <w:tblInd w:w="0" w:type="dxa"/>
        <w:tblLayout w:type="fixed"/>
        <w:tblCellMar>
          <w:top w:w="28" w:type="dxa"/>
          <w:left w:w="28" w:type="dxa"/>
          <w:bottom w:w="28" w:type="dxa"/>
          <w:right w:w="28" w:type="dxa"/>
        </w:tblCellMar>
      </w:tblPr>
      <w:tblGrid>
        <w:gridCol w:w="1550"/>
        <w:gridCol w:w="1356"/>
        <w:gridCol w:w="1369"/>
        <w:gridCol w:w="422"/>
        <w:gridCol w:w="1174"/>
        <w:gridCol w:w="218"/>
        <w:gridCol w:w="109"/>
        <w:gridCol w:w="409"/>
        <w:gridCol w:w="1195"/>
        <w:gridCol w:w="211"/>
        <w:gridCol w:w="355"/>
        <w:gridCol w:w="1037"/>
        <w:gridCol w:w="183"/>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13" w:type="dxa"/>
            <w:gridSpan w:val="1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provided by operating activities</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45"/>
        <w:gridCol w:w="670"/>
        <w:gridCol w:w="658"/>
        <w:gridCol w:w="353"/>
        <w:gridCol w:w="229"/>
        <w:gridCol w:w="492"/>
        <w:gridCol w:w="353"/>
        <w:gridCol w:w="182"/>
        <w:gridCol w:w="427"/>
        <w:gridCol w:w="152"/>
        <w:gridCol w:w="353"/>
        <w:gridCol w:w="229"/>
        <w:gridCol w:w="492"/>
        <w:gridCol w:w="152"/>
        <w:gridCol w:w="152"/>
        <w:gridCol w:w="152"/>
        <w:gridCol w:w="353"/>
        <w:gridCol w:w="229"/>
        <w:gridCol w:w="492"/>
        <w:gridCol w:w="353"/>
        <w:gridCol w:w="229"/>
        <w:gridCol w:w="492"/>
        <w:gridCol w:w="109"/>
        <w:gridCol w:w="287"/>
        <w:gridCol w:w="224"/>
        <w:gridCol w:w="517"/>
        <w:gridCol w:w="109"/>
        <w:gridCol w:w="109"/>
        <w:gridCol w:w="109"/>
        <w:gridCol w:w="109"/>
        <w:gridCol w:w="109"/>
        <w:gridCol w:w="109"/>
        <w:gridCol w:w="109"/>
        <w:gridCol w:w="109"/>
        <w:gridCol w:w="157"/>
      </w:tblGrid>
      <w:tr>
        <w:trPr/>
        <w:tc>
          <w:tcPr>
            <w:tcW w:w="84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39"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c>
          <w:tcPr>
            <w:tcW w:w="2166" w:type="dxa"/>
            <w:gridSpan w:val="13"/>
            <w:tcBorders/>
          </w:tcPr>
          <w:p>
            <w:pPr>
              <w:pStyle w:val="TableContents"/>
              <w:bidi w:val="0"/>
              <w:spacing w:before="0" w:after="283"/>
              <w:jc w:val="left"/>
              <w:rPr>
                <w:sz w:val="4"/>
                <w:szCs w:val="4"/>
              </w:rPr>
            </w:pPr>
            <w:r>
              <w:rPr>
                <w:sz w:val="4"/>
                <w:szCs w:val="4"/>
              </w:rPr>
            </w:r>
          </w:p>
        </w:tc>
      </w:tr>
      <w:tr>
        <w:trPr/>
        <w:tc>
          <w:tcPr>
            <w:tcW w:w="8039"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Supplemental Financial Information by Reportable Segment (Unaudited)</w:t>
            </w:r>
          </w:p>
        </w:tc>
        <w:tc>
          <w:tcPr>
            <w:tcW w:w="2166" w:type="dxa"/>
            <w:gridSpan w:val="13"/>
            <w:tcBorders/>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29" w:type="dxa"/>
            <w:gridSpan w:val="9"/>
            <w:tcBorders/>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w:t>
              <w:br/>
              <w:t>Months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w:t>
              <w:br/>
              <w:t>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w:t>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w:t>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net sales</w:t>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1,036.2</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w:t>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w:t>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w:t>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w:t>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Reportable segment income (loss)</w:t>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w:t>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w:t>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w:t>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sales</w:t>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return on sales</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2"/>
        <w:gridCol w:w="672"/>
        <w:gridCol w:w="645"/>
        <w:gridCol w:w="335"/>
        <w:gridCol w:w="1218"/>
        <w:gridCol w:w="383"/>
        <w:gridCol w:w="335"/>
        <w:gridCol w:w="980"/>
        <w:gridCol w:w="383"/>
        <w:gridCol w:w="173"/>
        <w:gridCol w:w="297"/>
        <w:gridCol w:w="173"/>
        <w:gridCol w:w="233"/>
        <w:gridCol w:w="225"/>
        <w:gridCol w:w="225"/>
        <w:gridCol w:w="226"/>
        <w:gridCol w:w="289"/>
        <w:gridCol w:w="557"/>
        <w:gridCol w:w="149"/>
        <w:gridCol w:w="225"/>
        <w:gridCol w:w="225"/>
        <w:gridCol w:w="226"/>
        <w:gridCol w:w="273"/>
        <w:gridCol w:w="468"/>
        <w:gridCol w:w="208"/>
      </w:tblGrid>
      <w:tr>
        <w:trPr/>
        <w:tc>
          <w:tcPr>
            <w:tcW w:w="108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90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c>
          <w:tcPr>
            <w:tcW w:w="3296" w:type="dxa"/>
            <w:gridSpan w:val="12"/>
            <w:tcBorders/>
          </w:tcPr>
          <w:p>
            <w:pPr>
              <w:pStyle w:val="TableContents"/>
              <w:bidi w:val="0"/>
              <w:spacing w:before="0" w:after="283"/>
              <w:jc w:val="left"/>
              <w:rPr>
                <w:sz w:val="4"/>
                <w:szCs w:val="4"/>
              </w:rPr>
            </w:pPr>
            <w:r>
              <w:rPr>
                <w:sz w:val="4"/>
                <w:szCs w:val="4"/>
              </w:rPr>
            </w:r>
          </w:p>
        </w:tc>
      </w:tr>
      <w:tr>
        <w:trPr/>
        <w:tc>
          <w:tcPr>
            <w:tcW w:w="6909"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for the Year Ending December 31, 2026</w:t>
            </w:r>
          </w:p>
        </w:tc>
        <w:tc>
          <w:tcPr>
            <w:tcW w:w="3296" w:type="dxa"/>
            <w:gridSpan w:val="12"/>
            <w:tcBorders/>
          </w:tcPr>
          <w:p>
            <w:pPr>
              <w:pStyle w:val="TableContents"/>
              <w:bidi w:val="0"/>
              <w:spacing w:before="0" w:after="283"/>
              <w:jc w:val="left"/>
              <w:rPr>
                <w:sz w:val="4"/>
                <w:szCs w:val="4"/>
              </w:rPr>
            </w:pPr>
            <w:r>
              <w:rPr>
                <w:sz w:val="4"/>
                <w:szCs w:val="4"/>
              </w:rPr>
            </w:r>
          </w:p>
        </w:tc>
      </w:tr>
      <w:tr>
        <w:trPr/>
        <w:tc>
          <w:tcPr>
            <w:tcW w:w="690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Excluding the Effect of Adjustments (Unaudited)</w:t>
            </w:r>
          </w:p>
        </w:tc>
        <w:tc>
          <w:tcPr>
            <w:tcW w:w="3296" w:type="dxa"/>
            <w:gridSpan w:val="1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173" w:type="dxa"/>
            <w:tcBorders/>
            <w:vAlign w:val="center"/>
          </w:tcPr>
          <w:p>
            <w:pPr>
              <w:pStyle w:val="TableContents"/>
              <w:bidi w:val="0"/>
              <w:spacing w:before="0" w:after="283"/>
              <w:jc w:val="left"/>
              <w:rPr>
                <w:sz w:val="4"/>
                <w:szCs w:val="4"/>
              </w:rPr>
            </w:pPr>
            <w:r>
              <w:rPr>
                <w:sz w:val="4"/>
                <w:szCs w:val="4"/>
              </w:rPr>
            </w:r>
          </w:p>
        </w:tc>
        <w:tc>
          <w:tcPr>
            <w:tcW w:w="13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Forecast</w:t>
            </w:r>
          </w:p>
        </w:tc>
        <w:tc>
          <w:tcPr>
            <w:tcW w:w="2620" w:type="dxa"/>
            <w:gridSpan w:val="9"/>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Second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w:t>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09"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w:t>
              <w:br/>
              <w:t>Quarter</w:t>
            </w:r>
          </w:p>
        </w:tc>
        <w:tc>
          <w:tcPr>
            <w:tcW w:w="16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w:t>
              <w:br/>
              <w:t>Year</w:t>
            </w:r>
          </w:p>
        </w:tc>
        <w:tc>
          <w:tcPr>
            <w:tcW w:w="949" w:type="dxa"/>
            <w:gridSpan w:val="3"/>
            <w:tcBorders/>
          </w:tcPr>
          <w:p>
            <w:pPr>
              <w:pStyle w:val="TableContents"/>
              <w:bidi w:val="0"/>
              <w:spacing w:before="0" w:after="283"/>
              <w:jc w:val="left"/>
              <w:rPr>
                <w:sz w:val="4"/>
                <w:szCs w:val="4"/>
              </w:rPr>
            </w:pPr>
            <w:r>
              <w:rPr>
                <w:sz w:val="4"/>
                <w:szCs w:val="4"/>
              </w:rPr>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4% - 6%</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4% - 7%</w:t>
            </w:r>
          </w:p>
        </w:tc>
      </w:tr>
      <w:tr>
        <w:trPr/>
        <w:tc>
          <w:tcPr>
            <w:tcW w:w="2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9% - 12%</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1% - 6%</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Return on sales</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20.3 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17.9 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of unconsolidated subsidiaries</w:t>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14% - 16%</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5% - 9%</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return on sales</w:t>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reported</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 $162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 $658</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operating income</w:t>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adjusted</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 $175</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 $778</w:t>
            </w:r>
          </w:p>
        </w:tc>
      </w:tr>
      <w:tr>
        <w:trPr/>
        <w:tc>
          <w:tcPr>
            <w:tcW w:w="239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earnings per ordinary share—diluted</w:t>
            </w:r>
          </w:p>
        </w:tc>
        <w:tc>
          <w:tcPr>
            <w:tcW w:w="1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reported</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 $1.00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 $4.06</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adjusted</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 $1.08</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 $4.80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1.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4"/>
        <w:gridCol w:w="901"/>
        <w:gridCol w:w="903"/>
        <w:gridCol w:w="245"/>
        <w:gridCol w:w="893"/>
        <w:gridCol w:w="280"/>
        <w:gridCol w:w="245"/>
        <w:gridCol w:w="893"/>
        <w:gridCol w:w="280"/>
        <w:gridCol w:w="245"/>
        <w:gridCol w:w="893"/>
        <w:gridCol w:w="280"/>
        <w:gridCol w:w="245"/>
        <w:gridCol w:w="893"/>
        <w:gridCol w:w="280"/>
        <w:gridCol w:w="245"/>
        <w:gridCol w:w="893"/>
        <w:gridCol w:w="347"/>
      </w:tblGrid>
      <w:tr>
        <w:trPr/>
        <w:tc>
          <w:tcPr>
            <w:tcW w:w="124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for the Year Ending December 31, 2025</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Excluding the Effect of Adjustments (Unaudited)</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Second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w:t>
              <w:br/>
              <w:t>Quarter</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Fourth</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Full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w:t>
            </w:r>
          </w:p>
        </w:tc>
      </w:tr>
      <w:tr>
        <w:trPr/>
        <w:tc>
          <w:tcPr>
            <w:tcW w:w="3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Return on sales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20.1 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19.4 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22.7 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20.1 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20.5 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accrual adjustments and settlements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Deal-related costs and expenses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of unconsolidated subsidiaries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return on sales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24.0 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26.4 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25.7 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24.7 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25.2 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reported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 retirement mark-to-market loss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operating income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adjusted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earnings per ordinary share—diluted</w:t>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reported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adjusted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1.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8234" w:type="dxa"/>
        <w:jc w:val="left"/>
        <w:tblInd w:w="0" w:type="dxa"/>
        <w:tblLayout w:type="fixed"/>
        <w:tblCellMar>
          <w:top w:w="28" w:type="dxa"/>
          <w:left w:w="28" w:type="dxa"/>
          <w:bottom w:w="28" w:type="dxa"/>
          <w:right w:w="28" w:type="dxa"/>
        </w:tblCellMar>
      </w:tblPr>
      <w:tblGrid>
        <w:gridCol w:w="516"/>
        <w:gridCol w:w="454"/>
        <w:gridCol w:w="454"/>
        <w:gridCol w:w="326"/>
        <w:gridCol w:w="326"/>
        <w:gridCol w:w="903"/>
        <w:gridCol w:w="326"/>
        <w:gridCol w:w="326"/>
        <w:gridCol w:w="903"/>
        <w:gridCol w:w="326"/>
        <w:gridCol w:w="326"/>
        <w:gridCol w:w="903"/>
        <w:gridCol w:w="326"/>
        <w:gridCol w:w="326"/>
        <w:gridCol w:w="903"/>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Net Sales Growth to Core Net Sales Growth by Reportable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Net Sales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Core</w:t>
            </w:r>
          </w:p>
        </w:tc>
        <w:tc>
          <w:tcPr>
            <w:tcW w:w="1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 / Div.</w:t>
            </w:r>
          </w:p>
        </w:tc>
        <w:tc>
          <w:tcPr>
            <w:tcW w:w="1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Pentair</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4538</Words>
  <Characters>24681</Characters>
  <CharactersWithSpaces>28602</CharactersWithSpaces>
  <Paragraphs>1144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