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518160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337"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2022</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left="4300" w:right="1400" w:hanging="4274"/>
        <w:spacing w:after="0" w:line="387" w:lineRule="auto"/>
        <w:tabs>
          <w:tab w:leader="none" w:pos="112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-28575</wp:posOffset>
            </wp:positionV>
            <wp:extent cx="196278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jc w:val="center"/>
              <w:ind w:left="1410"/>
              <w:spacing w:after="0"/>
              <w:rPr>
                <w:sz w:val="20"/>
                <w:szCs w:val="20"/>
                <w:color w:val="auto"/>
              </w:rPr>
            </w:pPr>
            <w:r>
              <w:rPr>
                <w:rFonts w:ascii="Arial" w:cs="Arial" w:eastAsia="Arial" w:hAnsi="Arial"/>
                <w:sz w:val="18"/>
                <w:szCs w:val="18"/>
                <w:b w:val="1"/>
                <w:bCs w:val="1"/>
                <w:color w:val="auto"/>
                <w:w w:val="94"/>
              </w:rPr>
              <w:t>Ireland</w:t>
            </w:r>
          </w:p>
        </w:tc>
        <w:tc>
          <w:tcPr>
            <w:tcW w:w="1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090"/>
              <w:spacing w:after="0"/>
              <w:rPr>
                <w:sz w:val="20"/>
                <w:szCs w:val="20"/>
                <w:color w:val="auto"/>
              </w:rPr>
            </w:pPr>
            <w:r>
              <w:rPr>
                <w:rFonts w:ascii="Arial" w:cs="Arial" w:eastAsia="Arial" w:hAnsi="Arial"/>
                <w:sz w:val="18"/>
                <w:szCs w:val="18"/>
                <w:b w:val="1"/>
                <w:bCs w:val="1"/>
                <w:color w:val="auto"/>
              </w:rPr>
              <w:t>98-1141328</w:t>
            </w:r>
          </w:p>
        </w:tc>
      </w:tr>
      <w:tr>
        <w:trPr>
          <w:trHeight w:val="224"/>
        </w:trPr>
        <w:tc>
          <w:tcPr>
            <w:tcW w:w="582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20" w:type="dxa"/>
            <w:vAlign w:val="bottom"/>
            <w:gridSpan w:val="2"/>
          </w:tcPr>
          <w:p>
            <w:pPr>
              <w:jc w:val="right"/>
              <w:ind w:right="1350"/>
              <w:spacing w:after="0"/>
              <w:rPr>
                <w:sz w:val="20"/>
                <w:szCs w:val="20"/>
                <w:color w:val="auto"/>
              </w:rPr>
            </w:pPr>
            <w:r>
              <w:rPr>
                <w:rFonts w:ascii="Arial" w:cs="Arial" w:eastAsia="Arial" w:hAnsi="Arial"/>
                <w:sz w:val="18"/>
                <w:szCs w:val="18"/>
                <w:color w:val="auto"/>
              </w:rPr>
              <w:t>(I.R.S. Employer Identification No.)</w:t>
            </w:r>
          </w:p>
        </w:tc>
      </w:tr>
      <w:tr>
        <w:trPr>
          <w:trHeight w:val="283"/>
        </w:trPr>
        <w:tc>
          <w:tcPr>
            <w:tcW w:w="434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w w:val="99"/>
              </w:rPr>
              <w:t>Regal House, 70 London Road,</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Twickenham,</w:t>
            </w:r>
          </w:p>
        </w:tc>
        <w:tc>
          <w:tcPr>
            <w:tcW w:w="1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London,  TW13QS</w:t>
            </w:r>
          </w:p>
        </w:tc>
        <w:tc>
          <w:tcPr>
            <w:tcW w:w="336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b w:val="1"/>
                <w:bCs w:val="1"/>
                <w:color w:val="auto"/>
              </w:rPr>
              <w:t>United Kingdom</w:t>
            </w:r>
          </w:p>
        </w:tc>
      </w:tr>
      <w:tr>
        <w:trPr>
          <w:trHeight w:val="224"/>
        </w:trPr>
        <w:tc>
          <w:tcPr>
            <w:tcW w:w="7680" w:type="dxa"/>
            <w:vAlign w:val="bottom"/>
            <w:gridSpan w:val="3"/>
          </w:tcPr>
          <w:p>
            <w:pPr>
              <w:ind w:left="3960"/>
              <w:spacing w:after="0"/>
              <w:rPr>
                <w:sz w:val="20"/>
                <w:szCs w:val="20"/>
                <w:color w:val="auto"/>
              </w:rPr>
            </w:pPr>
            <w:r>
              <w:rPr>
                <w:rFonts w:ascii="Arial" w:cs="Arial" w:eastAsia="Arial" w:hAnsi="Arial"/>
                <w:sz w:val="18"/>
                <w:szCs w:val="18"/>
                <w:color w:val="auto"/>
              </w:rPr>
              <w:t>(Address of principal executive offices)</w:t>
            </w:r>
          </w:p>
        </w:tc>
        <w:tc>
          <w:tcPr>
            <w:tcW w:w="3360" w:type="dxa"/>
            <w:vAlign w:val="bottom"/>
          </w:tcPr>
          <w:p>
            <w:pPr>
              <w:spacing w:after="0"/>
              <w:rPr>
                <w:sz w:val="19"/>
                <w:szCs w:val="19"/>
                <w:color w:val="auto"/>
              </w:rPr>
            </w:pPr>
          </w:p>
        </w:tc>
      </w:tr>
    </w:tbl>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Trading Symbol(s)</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Arial" w:cs="Arial" w:eastAsia="Arial" w:hAnsi="Arial"/>
                <w:sz w:val="18"/>
                <w:szCs w:val="18"/>
                <w:color w:val="auto"/>
                <w:w w:val="89"/>
              </w:rPr>
              <w:t>Ordinary Shares, nominal value $0.01 per share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4"/>
              </w:rPr>
              <w:t>PNR</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20" w:type="dxa"/>
            <w:vAlign w:val="bottom"/>
            <w:vMerge w:val="restart"/>
          </w:tcPr>
          <w:p>
            <w:pPr>
              <w:ind w:left="140"/>
              <w:spacing w:after="0"/>
              <w:rPr>
                <w:sz w:val="20"/>
                <w:szCs w:val="20"/>
                <w:color w:val="auto"/>
              </w:rPr>
            </w:pPr>
            <w:r>
              <w:rPr>
                <w:rFonts w:ascii="Arial" w:cs="Arial" w:eastAsia="Arial" w:hAnsi="Arial"/>
                <w:sz w:val="18"/>
                <w:szCs w:val="18"/>
                <w:color w:val="auto"/>
                <w:w w:val="99"/>
              </w:rPr>
              <w:t>Non-accelerated filer</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0"/>
        </w:trPr>
        <w:tc>
          <w:tcPr>
            <w:tcW w:w="182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On March 31, 2022, 165,399,674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Pentair plc and Subsidiaries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17145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38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7340" w:type="dxa"/>
            <w:vAlign w:val="bottom"/>
            <w:gridSpan w:val="1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 (unaudited)</w:t>
              </w:r>
            </w:hyperlink>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 and Comprehensive Income</w:t>
              </w:r>
            </w:hyperlink>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2"/>
                <w:szCs w:val="22"/>
                <w:color w:val="auto"/>
              </w:rPr>
            </w:pPr>
          </w:p>
        </w:tc>
        <w:tc>
          <w:tcPr>
            <w:tcW w:w="572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Cash Flows</w:t>
              </w:r>
            </w:hyperlink>
          </w:p>
        </w:tc>
        <w:tc>
          <w:tcPr>
            <w:tcW w:w="1060" w:type="dxa"/>
            <w:vAlign w:val="bottom"/>
            <w:gridSpan w:val="3"/>
          </w:tcPr>
          <w:p>
            <w:pPr>
              <w:ind w:left="88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Changes in Equity</w:t>
              </w:r>
            </w:hyperlink>
          </w:p>
        </w:tc>
        <w:tc>
          <w:tcPr>
            <w:tcW w:w="1060" w:type="dxa"/>
            <w:vAlign w:val="bottom"/>
            <w:gridSpan w:val="3"/>
          </w:tcPr>
          <w:p>
            <w:pPr>
              <w:ind w:left="88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4180" w:type="dxa"/>
            <w:vAlign w:val="bottom"/>
            <w:gridSpan w:val="12"/>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Notes to Condensed Consolidated Financial Statements</w:t>
              </w:r>
            </w:hyperlink>
          </w:p>
        </w:tc>
        <w:tc>
          <w:tcPr>
            <w:tcW w:w="3160" w:type="dxa"/>
            <w:vAlign w:val="bottom"/>
            <w:gridSpan w:val="4"/>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7340" w:type="dxa"/>
            <w:vAlign w:val="bottom"/>
            <w:gridSpan w:val="16"/>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060" w:type="dxa"/>
            <w:vAlign w:val="bottom"/>
            <w:gridSpan w:val="3"/>
          </w:tcPr>
          <w:p>
            <w:pPr>
              <w:ind w:left="88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3.</w:t>
            </w:r>
          </w:p>
        </w:tc>
        <w:tc>
          <w:tcPr>
            <w:tcW w:w="4300" w:type="dxa"/>
            <w:vAlign w:val="bottom"/>
            <w:gridSpan w:val="13"/>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Quantitative and Qualitative Disclosures about Market Risk</w:t>
              </w:r>
            </w:hyperlink>
          </w:p>
        </w:tc>
        <w:tc>
          <w:tcPr>
            <w:tcW w:w="214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gridSpan w:val="7"/>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Controls and Procedures</w:t>
              </w:r>
            </w:hyperlink>
          </w:p>
        </w:tc>
        <w:tc>
          <w:tcPr>
            <w:tcW w:w="2540" w:type="dxa"/>
            <w:vAlign w:val="bottom"/>
            <w:gridSpan w:val="6"/>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938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734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1060" w:type="dxa"/>
            <w:vAlign w:val="bottom"/>
            <w:gridSpan w:val="3"/>
          </w:tcPr>
          <w:p>
            <w:pPr>
              <w:ind w:left="88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Risk Factors</w:t>
              </w:r>
            </w:hyperlink>
          </w:p>
        </w:tc>
        <w:tc>
          <w:tcPr>
            <w:tcW w:w="420" w:type="dxa"/>
            <w:vAlign w:val="bottom"/>
            <w:gridSpan w:val="2"/>
          </w:tcPr>
          <w:p>
            <w:pPr>
              <w:spacing w:after="0"/>
              <w:rPr>
                <w:sz w:val="22"/>
                <w:szCs w:val="22"/>
                <w:color w:val="auto"/>
              </w:rPr>
            </w:pPr>
          </w:p>
        </w:tc>
        <w:tc>
          <w:tcPr>
            <w:tcW w:w="6020" w:type="dxa"/>
            <w:vAlign w:val="bottom"/>
            <w:gridSpan w:val="10"/>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0" w:type="dxa"/>
            <w:vAlign w:val="bottom"/>
            <w:gridSpan w:val="9"/>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gridSpan w:val="13"/>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Unregistered Sales of Equity Securities and Use of Proceeds</w:t>
              </w:r>
            </w:hyperlink>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Exhibits</w:t>
              </w:r>
            </w:hyperlink>
          </w:p>
        </w:tc>
        <w:tc>
          <w:tcPr>
            <w:tcW w:w="3700" w:type="dxa"/>
            <w:vAlign w:val="bottom"/>
            <w:gridSpan w:val="12"/>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Signatures</w:t>
              </w:r>
            </w:hyperlink>
          </w:p>
        </w:tc>
        <w:tc>
          <w:tcPr>
            <w:tcW w:w="6580" w:type="dxa"/>
            <w:vAlign w:val="bottom"/>
            <w:gridSpan w:val="1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jc w:val="center"/>
              <w:ind w:left="293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240" w:type="dxa"/>
            <w:vAlign w:val="bottom"/>
          </w:tcPr>
          <w:p>
            <w:pPr>
              <w:jc w:val="center"/>
              <w:ind w:left="2910"/>
              <w:spacing w:after="0"/>
              <w:rPr>
                <w:sz w:val="20"/>
                <w:szCs w:val="20"/>
                <w:color w:val="auto"/>
              </w:rPr>
            </w:pPr>
            <w:r>
              <w:rPr>
                <w:rFonts w:ascii="Arial" w:cs="Arial" w:eastAsia="Arial" w:hAnsi="Arial"/>
                <w:sz w:val="18"/>
                <w:szCs w:val="18"/>
                <w:b w:val="1"/>
                <w:bCs w:val="1"/>
                <w:color w:val="auto"/>
                <w:w w:val="89"/>
              </w:rPr>
              <w:t>Pentair plc and Subsidiaries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740" w:type="dxa"/>
            <w:vAlign w:val="bottom"/>
            <w:gridSpan w:val="3"/>
          </w:tcPr>
          <w:p>
            <w:pPr>
              <w:jc w:val="center"/>
              <w:ind w:left="1430"/>
              <w:spacing w:after="0"/>
              <w:rPr>
                <w:sz w:val="20"/>
                <w:szCs w:val="20"/>
                <w:color w:val="auto"/>
              </w:rPr>
            </w:pPr>
            <w:r>
              <w:rPr>
                <w:rFonts w:ascii="Arial" w:cs="Arial" w:eastAsia="Arial" w:hAnsi="Arial"/>
                <w:sz w:val="18"/>
                <w:szCs w:val="18"/>
                <w:b w:val="1"/>
                <w:bCs w:val="1"/>
                <w:color w:val="auto"/>
                <w:w w:val="89"/>
              </w:rPr>
              <w:t>Condensed Consolidated Statements of Operations and Comprehensive Income (Unaudited)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117.6</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cumulative translation adjustment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Changes in market value of derivative financial instruments, net of tax</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Earnings (loss) per ordinary share</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earnings per ordinary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Diluted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ordinary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165.3</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52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per-share data</w:t>
            </w:r>
          </w:p>
        </w:tc>
        <w:tc>
          <w:tcPr>
            <w:tcW w:w="72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5340"/>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Accounts receivable, net of allowances of $12.0 and $9.1, respectively</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2,493.4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2,504.5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3,139.6</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4,753.6</w:t>
            </w:r>
          </w:p>
        </w:tc>
        <w:tc>
          <w:tcPr>
            <w:tcW w:w="0" w:type="dxa"/>
            <w:vAlign w:val="bottom"/>
          </w:tcPr>
          <w:p>
            <w:pPr>
              <w:spacing w:after="0"/>
              <w:rPr>
                <w:sz w:val="1"/>
                <w:szCs w:val="1"/>
                <w:color w:val="auto"/>
              </w:rPr>
            </w:pP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Liabilities and Equity</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1,014.4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1,051.7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Long-term debt</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1,091.1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compensation and benefits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Total liabilities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2,472.0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2,331.7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Ordinary shares $0.01 par value, 426.0 authorized, 165.4 and 165.1 issued at March 31, 2022 and</w:t>
            </w:r>
          </w:p>
        </w:tc>
        <w:tc>
          <w:tcPr>
            <w:tcW w:w="7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2021, respectively</w:t>
            </w:r>
          </w:p>
        </w:tc>
        <w:tc>
          <w:tcPr>
            <w:tcW w:w="7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1,584.3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1,582.7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loss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2,503.9</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2,421.9</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4,753.6</w:t>
            </w:r>
          </w:p>
        </w:tc>
        <w:tc>
          <w:tcPr>
            <w:tcW w:w="0" w:type="dxa"/>
            <w:vAlign w:val="bottom"/>
          </w:tcPr>
          <w:p>
            <w:pPr>
              <w:spacing w:after="0"/>
              <w:rPr>
                <w:sz w:val="1"/>
                <w:szCs w:val="1"/>
                <w:color w:val="auto"/>
              </w:rPr>
            </w:pP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00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6"/>
        </w:trPr>
        <w:tc>
          <w:tcPr>
            <w:tcW w:w="8000" w:type="dxa"/>
            <w:vAlign w:val="bottom"/>
          </w:tcPr>
          <w:p>
            <w:pPr>
              <w:spacing w:after="0" w:line="176" w:lineRule="exact"/>
              <w:rPr>
                <w:sz w:val="20"/>
                <w:szCs w:val="20"/>
                <w:color w:val="auto"/>
              </w:rPr>
            </w:pPr>
            <w:r>
              <w:rPr>
                <w:rFonts w:ascii="Arial" w:cs="Arial" w:eastAsia="Arial" w:hAnsi="Arial"/>
                <w:sz w:val="18"/>
                <w:szCs w:val="18"/>
                <w:b w:val="1"/>
                <w:bCs w:val="1"/>
                <w:color w:val="auto"/>
                <w:w w:val="93"/>
              </w:rPr>
              <w:t>Adjustments to reconcile net income from continuing operations to net cash provided by (used for)</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operating activities of continuing operations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of unconsolidated subsidiaries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Amortization of bridge financing fees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 of effects of business acquisitions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non-current assets and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operating activities of continuing operations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operating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borrowings of revolving long-term debt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Shares issued to employees, net of shares withheld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ordinary shares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upon the maturity of cross currency swaps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000" w:type="dxa"/>
            <w:vAlign w:val="bottom"/>
          </w:tcPr>
          <w:p>
            <w:pPr>
              <w:spacing w:after="0"/>
              <w:rPr>
                <w:sz w:val="11"/>
                <w:szCs w:val="11"/>
                <w:color w:val="auto"/>
              </w:rPr>
            </w:pPr>
          </w:p>
        </w:tc>
        <w:tc>
          <w:tcPr>
            <w:tcW w:w="1820" w:type="dxa"/>
            <w:vAlign w:val="bottom"/>
            <w:tcBorders>
              <w:bottom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center"/>
              <w:ind w:right="50"/>
              <w:spacing w:after="0" w:line="176"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1"/>
                <w:szCs w:val="11"/>
                <w:color w:val="auto"/>
              </w:rPr>
            </w:pPr>
          </w:p>
        </w:tc>
        <w:tc>
          <w:tcPr>
            <w:tcW w:w="1040" w:type="dxa"/>
            <w:vAlign w:val="bottom"/>
            <w:vMerge w:val="restart"/>
          </w:tcPr>
          <w:p>
            <w:pPr>
              <w:ind w:left="80"/>
              <w:spacing w:after="0" w:line="176" w:lineRule="exact"/>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1"/>
                <w:szCs w:val="11"/>
                <w:color w:val="auto"/>
              </w:rPr>
            </w:pPr>
          </w:p>
        </w:tc>
        <w:tc>
          <w:tcPr>
            <w:tcW w:w="1400" w:type="dxa"/>
            <w:vAlign w:val="bottom"/>
            <w:vMerge w:val="restart"/>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line="20" w:lineRule="exact"/>
              <w:rPr>
                <w:sz w:val="1"/>
                <w:szCs w:val="1"/>
                <w:color w:val="auto"/>
              </w:rPr>
            </w:pPr>
          </w:p>
        </w:tc>
      </w:tr>
      <w:tr>
        <w:trPr>
          <w:trHeight w:val="230"/>
        </w:trPr>
        <w:tc>
          <w:tcPr>
            <w:tcW w:w="40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2"/>
              </w:rPr>
              <w:t>paid-in capital</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$0.21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March 31,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4000" w:type="dxa"/>
            <w:vAlign w:val="bottom"/>
          </w:tcPr>
          <w:p>
            <w:pPr>
              <w:spacing w:after="0"/>
              <w:rPr>
                <w:sz w:val="24"/>
                <w:szCs w:val="24"/>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50"/>
              <w:spacing w:after="0" w:line="149" w:lineRule="exact"/>
              <w:rPr>
                <w:sz w:val="20"/>
                <w:szCs w:val="20"/>
                <w:color w:val="auto"/>
              </w:rPr>
            </w:pPr>
            <w:r>
              <w:rPr>
                <w:rFonts w:ascii="Arial" w:cs="Arial" w:eastAsia="Arial" w:hAnsi="Arial"/>
                <w:sz w:val="17"/>
                <w:szCs w:val="17"/>
                <w:b w:val="1"/>
                <w:bCs w:val="1"/>
                <w:color w:val="auto"/>
                <w:w w:val="98"/>
              </w:rPr>
              <w:t>Additional</w:t>
            </w:r>
          </w:p>
        </w:tc>
        <w:tc>
          <w:tcPr>
            <w:tcW w:w="200" w:type="dxa"/>
            <w:vAlign w:val="bottom"/>
          </w:tcPr>
          <w:p>
            <w:pPr>
              <w:spacing w:after="0"/>
              <w:rPr>
                <w:sz w:val="12"/>
                <w:szCs w:val="12"/>
                <w:color w:val="auto"/>
              </w:rPr>
            </w:pPr>
          </w:p>
        </w:tc>
        <w:tc>
          <w:tcPr>
            <w:tcW w:w="1040" w:type="dxa"/>
            <w:vAlign w:val="bottom"/>
          </w:tcPr>
          <w:p>
            <w:pPr>
              <w:ind w:left="80"/>
              <w:spacing w:after="0" w:line="149" w:lineRule="exact"/>
              <w:rPr>
                <w:sz w:val="20"/>
                <w:szCs w:val="20"/>
                <w:color w:val="auto"/>
              </w:rPr>
            </w:pPr>
            <w:r>
              <w:rPr>
                <w:rFonts w:ascii="Arial" w:cs="Arial" w:eastAsia="Arial" w:hAnsi="Arial"/>
                <w:sz w:val="17"/>
                <w:szCs w:val="17"/>
                <w:b w:val="1"/>
                <w:bCs w:val="1"/>
                <w:color w:val="auto"/>
              </w:rPr>
              <w:t>Retained</w:t>
            </w:r>
          </w:p>
        </w:tc>
        <w:tc>
          <w:tcPr>
            <w:tcW w:w="200" w:type="dxa"/>
            <w:vAlign w:val="bottom"/>
          </w:tcPr>
          <w:p>
            <w:pPr>
              <w:spacing w:after="0"/>
              <w:rPr>
                <w:sz w:val="12"/>
                <w:szCs w:val="12"/>
                <w:color w:val="auto"/>
              </w:rPr>
            </w:pPr>
          </w:p>
        </w:tc>
        <w:tc>
          <w:tcPr>
            <w:tcW w:w="1400" w:type="dxa"/>
            <w:vAlign w:val="bottom"/>
          </w:tcPr>
          <w:p>
            <w:pPr>
              <w:jc w:val="center"/>
              <w:ind w:right="110"/>
              <w:spacing w:after="0" w:line="149" w:lineRule="exact"/>
              <w:rPr>
                <w:sz w:val="20"/>
                <w:szCs w:val="20"/>
                <w:color w:val="auto"/>
              </w:rPr>
            </w:pPr>
            <w:r>
              <w:rPr>
                <w:rFonts w:ascii="Arial" w:cs="Arial" w:eastAsia="Arial" w:hAnsi="Arial"/>
                <w:sz w:val="17"/>
                <w:szCs w:val="17"/>
                <w:b w:val="1"/>
                <w:bCs w:val="1"/>
                <w:color w:val="auto"/>
                <w:w w:val="94"/>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3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2"/>
              </w:rPr>
              <w:t>paid-in capital</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$0.20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March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2,193.8</w:t>
            </w:r>
          </w:p>
        </w:tc>
        <w:tc>
          <w:tcPr>
            <w:tcW w:w="0" w:type="dxa"/>
            <w:vAlign w:val="bottom"/>
          </w:tcPr>
          <w:p>
            <w:pPr>
              <w:spacing w:after="0"/>
              <w:rPr>
                <w:sz w:val="1"/>
                <w:szCs w:val="1"/>
                <w:color w:val="auto"/>
              </w:rPr>
            </w:pP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Responsibility for Interim Financial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2021.</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the impact of virus variants, the effectiveness of vaccinations, the COVID-19 pandemic’s impact on our customers and suppliers and the range of governmental and community reactions to the pandemic. We may continue to experience reduced customer demand in certain parts of our business, impacts to our operations, or constrained labor and/or supply that could materially and adversely impact our business, financial condition, results of operations, liquidity and cash flows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15 for revenue disaggregated by segment.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117.9</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sales</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999.6</w:t>
            </w:r>
          </w:p>
        </w:tc>
        <w:tc>
          <w:tcPr>
            <w:tcW w:w="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tcPr>
          <w:p>
            <w:pPr>
              <w:ind w:left="20"/>
              <w:spacing w:after="0" w:line="171" w:lineRule="exact"/>
              <w:rPr>
                <w:sz w:val="20"/>
                <w:szCs w:val="20"/>
                <w:color w:val="auto"/>
              </w:rPr>
            </w:pPr>
            <w:r>
              <w:rPr>
                <w:rFonts w:ascii="Arial" w:cs="Arial" w:eastAsia="Arial" w:hAnsi="Arial"/>
                <w:sz w:val="19"/>
                <w:szCs w:val="19"/>
                <w:color w:val="auto"/>
                <w:vertAlign w:val="superscript"/>
              </w:rPr>
              <w:t>(1)</w:t>
            </w:r>
            <w:r>
              <w:rPr>
                <w:rFonts w:ascii="Arial" w:cs="Arial" w:eastAsia="Arial" w:hAnsi="Arial"/>
                <w:sz w:val="14"/>
                <w:szCs w:val="14"/>
                <w:color w:val="auto"/>
              </w:rPr>
              <w:t xml:space="preserve"> Developing includes China, Eastern Europe, Latin America, the Middle East and Southeast Asia.</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180" w:type="dxa"/>
            <w:vAlign w:val="bottom"/>
          </w:tcPr>
          <w:p>
            <w:pPr>
              <w:ind w:left="20"/>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Other Developed includes Australia, Canada and Japan.</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818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149.7</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 net sales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8180" w:type="dxa"/>
            <w:vAlign w:val="bottom"/>
          </w:tcPr>
          <w:p>
            <w:pPr>
              <w:ind w:left="55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On March 31, 2022, we had $73.9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6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320" w:type="dxa"/>
            <w:vAlign w:val="bottom"/>
          </w:tcPr>
          <w:p>
            <w:pPr>
              <w:spacing w:after="0"/>
              <w:rPr>
                <w:sz w:val="17"/>
                <w:szCs w:val="17"/>
                <w:color w:val="auto"/>
              </w:rPr>
            </w:pPr>
          </w:p>
        </w:tc>
        <w:tc>
          <w:tcPr>
            <w:tcW w:w="14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1"/>
              </w:rPr>
              <w:t>(0.2)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2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1"/>
              </w:rPr>
              <w:t>(0.9)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5"/>
              </w:rPr>
              <w:t>0.7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$0.7 million increase in net contract assets from December 31, 2021 to March 31, 2022 was primarily the result of timing of milestone payments and the recognition of $1.1 million of impairment losses on our contract assets in the first quarter of 2022 related to our exit of business activity in Russia. Approximately 50% of our contract liabilities at December 31, 2021 were recognized in revenue in the first quarter of 2022.</w:t>
      </w:r>
    </w:p>
    <w:p>
      <w:pPr>
        <w:spacing w:after="0" w:line="18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4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March 2, 2022, as part of our Consumer Solutions reporting segment, we entered into a definitive agreement with Welbilt, Inc. (“Welbilt”) to acquire the issued and outstanding equity securities of certain subsidiaries of Welbilt and certain other assets, rights, and properties, and assume certain liabilities, comprising Welbilt’s Manitowoc Ice business (“Manitowoc Ice”), for an aggregate purchase price of $1.6 billion, subject to customary adjustments contemplated by the definitive agreement. We expect to fund the purchase price for the acquisition with new debt that we anticipate to be investment grade, including the Term Loan Facility (as defined below). We expect to close our Manitowoc Ice acquisition in the second or third quarter of 2022, subject to customary closing conditions and necessary regulatory approvals.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as part of both of our Consumer Solutions and Industrial &amp; Flow Technologies reporting segments, we completed the acquisition of Pleatco Holdings, LLC and related entities for $256.9 million in cash, net of cash acquired and working capital true-ups. The excess of purchase price over tangible net assets acquired has been preliminarily allocated to goodwill in the amount of $139.5 million, $137.5 million of which is expected to be deductible for income tax purposes. Identifiable intangible assets acquired consisted of $97.9 million of definite-lived customer relationships with an estimated useful life of 17 years.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2021, as part of our Consumer Solutions reporting segment, we completed the acquisition of Ken’s Beverage, Inc. for $82.2 million in cash, net of cash acquired and working capital true-ups. The excess of purchase price over tangible net assets acquired has been preliminarily allocated to goodwill in the amount of $28.3 million, all of which is expected to be deductible for income tax purposes. Identifiable intangible assets acquired consisted of $38.0 million of definite-lived customer relationships with an estimated useful life of 22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these acquisitions is not material.</w:t>
      </w:r>
    </w:p>
    <w:p>
      <w:pPr>
        <w:spacing w:after="0" w:line="24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months ended March 31, 2022 and 2021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w:t>
            </w:r>
          </w:p>
        </w:tc>
        <w:tc>
          <w:tcPr>
            <w:tcW w:w="12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1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w:t>
            </w:r>
          </w:p>
        </w:tc>
        <w:tc>
          <w:tcPr>
            <w:tcW w:w="1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share-based compensation expense</w:t>
            </w: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6.9</w:t>
            </w:r>
          </w:p>
        </w:tc>
        <w:tc>
          <w:tcPr>
            <w:tcW w:w="12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5.6</w:t>
            </w:r>
          </w:p>
        </w:tc>
        <w:tc>
          <w:tcPr>
            <w:tcW w:w="0" w:type="dxa"/>
            <w:vAlign w:val="bottom"/>
          </w:tcPr>
          <w:p>
            <w:pPr>
              <w:spacing w:after="0"/>
              <w:rPr>
                <w:sz w:val="1"/>
                <w:szCs w:val="1"/>
                <w:color w:val="auto"/>
              </w:rPr>
            </w:pP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2022, we issued our annual share-based compensation grants under the Pentair plc 2020 Share and Incentive Plan to eligible employees. The total number of awards issued was approximately 0.6 million, of which 0.3 million were restricted stock units (“RSUs”), 0.2 million were stock options and 0.1 million were performance share units (“PSUs”). The weighted-average grant date fair value of the RSUs, stock options and PSUs issued was $60.78, $17.92, and $68.28, respectively.</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1"/>
        </w:trPr>
        <w:tc>
          <w:tcPr>
            <w:tcW w:w="6020" w:type="dxa"/>
            <w:vAlign w:val="bottom"/>
          </w:tcPr>
          <w:p>
            <w:pPr>
              <w:spacing w:after="0"/>
              <w:rPr>
                <w:sz w:val="15"/>
                <w:szCs w:val="15"/>
                <w:color w:val="auto"/>
              </w:rPr>
            </w:pPr>
          </w:p>
        </w:tc>
        <w:tc>
          <w:tcPr>
            <w:tcW w:w="5220" w:type="dxa"/>
            <w:vAlign w:val="bottom"/>
          </w:tcPr>
          <w:p>
            <w:pPr>
              <w:jc w:val="right"/>
              <w:ind w:right="590"/>
              <w:spacing w:after="0" w:line="182" w:lineRule="exact"/>
              <w:rPr>
                <w:sz w:val="20"/>
                <w:szCs w:val="20"/>
                <w:color w:val="auto"/>
              </w:rPr>
            </w:pPr>
            <w:r>
              <w:rPr>
                <w:rFonts w:ascii="Arial" w:cs="Arial" w:eastAsia="Arial" w:hAnsi="Arial"/>
                <w:sz w:val="18"/>
                <w:szCs w:val="18"/>
                <w:b w:val="1"/>
                <w:bCs w:val="1"/>
                <w:color w:val="auto"/>
              </w:rPr>
              <w:t>2022</w:t>
            </w:r>
          </w:p>
        </w:tc>
      </w:tr>
      <w:tr>
        <w:trPr>
          <w:trHeight w:val="230"/>
        </w:trPr>
        <w:tc>
          <w:tcPr>
            <w:tcW w:w="60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Annual Grant</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22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52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United States (“U.S.”) Treasury Department yield curve in effect at the time of grant.</w:t>
      </w:r>
    </w:p>
    <w:p>
      <w:pPr>
        <w:spacing w:after="0" w:line="20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Transformation Program</w:t>
      </w:r>
    </w:p>
    <w:p>
      <w:pPr>
        <w:spacing w:after="0" w:line="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months ended March 31, 2022, we initiated and continued execution of actions aimed at reducing our fixed cost structure and realigning our business associated with restructuring and the Transformation Program.</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 and transformation-related costs within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Income included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Initiatives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Severance and related costs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1.9</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restructuring costs </w:t>
            </w:r>
            <w:r>
              <w:rPr>
                <w:rFonts w:ascii="Arial" w:cs="Arial" w:eastAsia="Arial" w:hAnsi="Arial"/>
                <w:sz w:val="23"/>
                <w:szCs w:val="23"/>
                <w:color w:val="auto"/>
                <w:vertAlign w:val="superscript"/>
              </w:rPr>
              <w:t>(1)</w:t>
            </w:r>
          </w:p>
        </w:tc>
        <w:tc>
          <w:tcPr>
            <w:tcW w:w="1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restructuring costs</w:t>
            </w:r>
          </w:p>
        </w:tc>
        <w:tc>
          <w:tcPr>
            <w:tcW w:w="1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1.9</w:t>
            </w: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Transformation Program</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Transformation costs </w:t>
            </w:r>
            <w:r>
              <w:rPr>
                <w:rFonts w:ascii="Arial" w:cs="Arial" w:eastAsia="Arial" w:hAnsi="Arial"/>
                <w:sz w:val="23"/>
                <w:szCs w:val="23"/>
                <w:color w:val="auto"/>
                <w:vertAlign w:val="superscript"/>
              </w:rPr>
              <w:t>(2)</w:t>
            </w: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5.5</w:t>
            </w:r>
          </w:p>
        </w:tc>
        <w:tc>
          <w:tcPr>
            <w:tcW w:w="1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transformation costs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7.4</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hanging="174"/>
        <w:spacing w:after="0" w:line="222" w:lineRule="auto"/>
        <w:tabs>
          <w:tab w:leader="none" w:pos="20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Other restructuring costs primarily consist of asset impairment and various contract termination costs.</w:t>
      </w:r>
    </w:p>
    <w:p>
      <w:pPr>
        <w:spacing w:after="0" w:line="50" w:lineRule="exact"/>
        <w:rPr>
          <w:rFonts w:ascii="Arial" w:cs="Arial" w:eastAsia="Arial" w:hAnsi="Arial"/>
          <w:sz w:val="21"/>
          <w:szCs w:val="21"/>
          <w:color w:val="auto"/>
          <w:vertAlign w:val="superscript"/>
        </w:rPr>
      </w:pPr>
    </w:p>
    <w:p>
      <w:pPr>
        <w:ind w:left="200" w:hanging="174"/>
        <w:spacing w:after="0" w:line="191" w:lineRule="auto"/>
        <w:tabs>
          <w:tab w:leader="none" w:pos="20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Transformation costs primarily consist of professional services and project management and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Restructuring and transformation costs by reportable segment were as follows: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spacing w:after="0"/>
              <w:rPr>
                <w:sz w:val="21"/>
                <w:szCs w:val="21"/>
                <w:color w:val="auto"/>
              </w:rPr>
            </w:pPr>
          </w:p>
        </w:tc>
        <w:tc>
          <w:tcPr>
            <w:tcW w:w="26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1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0.6</w:t>
            </w: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w:t>
            </w:r>
          </w:p>
        </w:tc>
        <w:tc>
          <w:tcPr>
            <w:tcW w:w="1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7.4</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1"/>
        </w:trPr>
        <w:tc>
          <w:tcPr>
            <w:tcW w:w="8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three months ended March 31, 2022:</w:t>
      </w:r>
    </w:p>
    <w:tbl>
      <w:tblPr>
        <w:tblLayout w:type="fixed"/>
        <w:tblInd w:w="0" w:type="dxa"/>
        <w:tblCellMar>
          <w:top w:w="0" w:type="dxa"/>
          <w:left w:w="0" w:type="dxa"/>
          <w:bottom w:w="0" w:type="dxa"/>
          <w:right w:w="0" w:type="dxa"/>
        </w:tblCellMar>
      </w:tblPr>
      <w:tr>
        <w:trPr>
          <w:trHeight w:val="181"/>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Costs incurred</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620" w:type="dxa"/>
            <w:vAlign w:val="bottom"/>
          </w:tcPr>
          <w:p>
            <w:pPr>
              <w:spacing w:after="0"/>
              <w:rPr>
                <w:sz w:val="20"/>
                <w:szCs w:val="20"/>
                <w:color w:val="auto"/>
              </w:rPr>
            </w:pPr>
            <w:r>
              <w:rPr>
                <w:rFonts w:ascii="Arial" w:cs="Arial" w:eastAsia="Arial" w:hAnsi="Arial"/>
                <w:sz w:val="18"/>
                <w:szCs w:val="18"/>
                <w:b w:val="1"/>
                <w:bCs w:val="1"/>
                <w:color w:val="auto"/>
              </w:rPr>
              <w:t>6.</w:t>
            </w:r>
          </w:p>
        </w:tc>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240" w:type="dxa"/>
            <w:vAlign w:val="bottom"/>
          </w:tcPr>
          <w:p>
            <w:pPr>
              <w:spacing w:after="0"/>
              <w:rPr>
                <w:sz w:val="14"/>
                <w:szCs w:val="14"/>
                <w:color w:val="auto"/>
              </w:rPr>
            </w:pPr>
          </w:p>
        </w:tc>
        <w:tc>
          <w:tcPr>
            <w:tcW w:w="128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4"/>
                <w:szCs w:val="14"/>
                <w:color w:val="auto"/>
              </w:rPr>
            </w:pPr>
          </w:p>
        </w:tc>
        <w:tc>
          <w:tcPr>
            <w:tcW w:w="13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Borders>
              <w:bottom w:val="single" w:sz="8" w:color="auto"/>
            </w:tcBorders>
            <w:gridSpan w:val="2"/>
          </w:tcPr>
          <w:p>
            <w:pPr>
              <w:ind w:left="20"/>
              <w:spacing w:after="0" w:line="203" w:lineRule="exact"/>
              <w:rPr>
                <w:sz w:val="20"/>
                <w:szCs w:val="20"/>
                <w:color w:val="auto"/>
              </w:rPr>
            </w:pPr>
            <w:r>
              <w:rPr>
                <w:rFonts w:ascii="Arial" w:cs="Arial" w:eastAsia="Arial" w:hAnsi="Arial"/>
                <w:sz w:val="18"/>
                <w:szCs w:val="18"/>
                <w:b w:val="1"/>
                <w:bCs w:val="1"/>
                <w:color w:val="auto"/>
              </w:rPr>
              <w:t>Net income from continuing operations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118.5</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Basic</w:t>
            </w:r>
          </w:p>
        </w:tc>
        <w:tc>
          <w:tcPr>
            <w:tcW w:w="7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165.3</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Dilutive impact of stock options, restricted stock units and performance share units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7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166.5</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7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7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w w:val="94"/>
              </w:rPr>
              <w:t>Diluted</w:t>
            </w:r>
          </w:p>
        </w:tc>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tcBorders>
              <w:bottom w:val="single" w:sz="8" w:color="auto"/>
            </w:tcBorders>
            <w:gridSpan w:val="2"/>
          </w:tcPr>
          <w:p>
            <w:pPr>
              <w:ind w:left="20"/>
              <w:spacing w:after="0" w:line="203" w:lineRule="exact"/>
              <w:rPr>
                <w:sz w:val="20"/>
                <w:szCs w:val="20"/>
                <w:color w:val="auto"/>
              </w:rPr>
            </w:pPr>
            <w:r>
              <w:rPr>
                <w:rFonts w:ascii="Arial" w:cs="Arial" w:eastAsia="Arial" w:hAnsi="Arial"/>
                <w:sz w:val="18"/>
                <w:szCs w:val="18"/>
                <w:b w:val="1"/>
                <w:bCs w:val="1"/>
                <w:color w:val="auto"/>
              </w:rPr>
              <w:t>Anti-dilutive stock options excluded from the calculation of diluted earnings per share</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0.5</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w w:val="96"/>
              </w:rPr>
              <w:t>Activity related to our allowance for credit losses is summarized as follows for the three months ended March 31, 2022:</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78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918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91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37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vMerge w:val="continue"/>
          </w:tcPr>
          <w:p>
            <w:pPr>
              <w:spacing w:after="0"/>
              <w:rPr>
                <w:sz w:val="18"/>
                <w:szCs w:val="18"/>
                <w:color w:val="auto"/>
              </w:rPr>
            </w:pPr>
          </w:p>
        </w:tc>
        <w:tc>
          <w:tcPr>
            <w:tcW w:w="3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3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Raw materials and supplies</w:t>
            </w:r>
          </w:p>
        </w:tc>
        <w:tc>
          <w:tcPr>
            <w:tcW w:w="370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4"/>
              </w:rPr>
              <w:t>357.3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Work-in-process</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w:t>
            </w:r>
          </w:p>
        </w:tc>
        <w:tc>
          <w:tcPr>
            <w:tcW w:w="3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206.5</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370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656.2</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current assets</w:t>
            </w:r>
          </w:p>
        </w:tc>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in excess of billings</w:t>
            </w:r>
          </w:p>
        </w:tc>
        <w:tc>
          <w:tcPr>
            <w:tcW w:w="370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79.7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current assets</w:t>
            </w:r>
          </w:p>
        </w:tc>
        <w:tc>
          <w:tcPr>
            <w:tcW w:w="37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134.6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3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Land and land improvements</w:t>
            </w:r>
          </w:p>
        </w:tc>
        <w:tc>
          <w:tcPr>
            <w:tcW w:w="370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34.6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leasehold improvements</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194.1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4"/>
              </w:rPr>
              <w:t>613.7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progress</w:t>
            </w:r>
          </w:p>
        </w:tc>
        <w:tc>
          <w:tcPr>
            <w:tcW w:w="3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w:t>
            </w:r>
          </w:p>
        </w:tc>
        <w:tc>
          <w:tcPr>
            <w:tcW w:w="3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977.5</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965.9</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3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662.5</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655.9</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 net</w:t>
            </w:r>
          </w:p>
        </w:tc>
        <w:tc>
          <w:tcPr>
            <w:tcW w:w="370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315.0</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lease assets</w:t>
            </w:r>
          </w:p>
        </w:tc>
        <w:tc>
          <w:tcPr>
            <w:tcW w:w="370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23.1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assets</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Foreign currency contract assets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non-current assets</w:t>
            </w:r>
          </w:p>
        </w:tc>
        <w:tc>
          <w:tcPr>
            <w:tcW w:w="37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205.8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current liabilities</w:t>
            </w:r>
          </w:p>
        </w:tc>
        <w:tc>
          <w:tcPr>
            <w:tcW w:w="3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Dividends payable</w:t>
            </w:r>
          </w:p>
        </w:tc>
        <w:tc>
          <w:tcPr>
            <w:tcW w:w="370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34.7</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warranty</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rebates and incentives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4"/>
              </w:rPr>
              <w:t>169.7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198.7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freight</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Billings in excess of cost</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30.0</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liability</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31.1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restructuring</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liabilities</w:t>
            </w:r>
          </w:p>
        </w:tc>
        <w:tc>
          <w:tcPr>
            <w:tcW w:w="3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126.6</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370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515.6</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non-current liabilities</w:t>
            </w:r>
          </w:p>
        </w:tc>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370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34.0</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Self-insurance liabilities</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Deferred compensation plan liabilities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23.7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 liabilities</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non-current liabilities</w:t>
            </w:r>
          </w:p>
        </w:tc>
        <w:tc>
          <w:tcPr>
            <w:tcW w:w="370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189.6</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c>
          <w:tcPr>
            <w:tcW w:w="17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7"/>
              </w:rPr>
              <w:t>Purchase Accounting</w:t>
            </w:r>
          </w:p>
        </w:tc>
        <w:tc>
          <w:tcPr>
            <w:tcW w:w="144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Foreign</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75"/>
        </w:trPr>
        <w:tc>
          <w:tcPr>
            <w:tcW w:w="2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440" w:type="dxa"/>
            <w:vAlign w:val="bottom"/>
          </w:tcPr>
          <w:p>
            <w:pPr>
              <w:jc w:val="center"/>
              <w:ind w:left="390"/>
              <w:spacing w:after="0" w:line="176" w:lineRule="exact"/>
              <w:rPr>
                <w:sz w:val="20"/>
                <w:szCs w:val="20"/>
                <w:color w:val="auto"/>
              </w:rPr>
            </w:pPr>
            <w:r>
              <w:rPr>
                <w:rFonts w:ascii="Arial" w:cs="Arial" w:eastAsia="Arial" w:hAnsi="Arial"/>
                <w:sz w:val="18"/>
                <w:szCs w:val="18"/>
                <w:b w:val="1"/>
                <w:bCs w:val="1"/>
                <w:color w:val="auto"/>
                <w:w w:val="89"/>
              </w:rPr>
              <w:t>currency</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Adjustments</w:t>
            </w:r>
          </w:p>
        </w:tc>
        <w:tc>
          <w:tcPr>
            <w:tcW w:w="14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translation</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4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1,720.1</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w:t>
            </w: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4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March 31,</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Net</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(323.7)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(320.1)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 and patents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Total definite-life intangibles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602.9</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605.1</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Identifiable intangible asset amortization expense was $6.6 million and $7.1 million for the three months ended March 31, 2022 and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2022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Q2-Q4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4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2027</w:t>
            </w: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472"/>
        </w:trPr>
        <w:tc>
          <w:tcPr>
            <w:tcW w:w="4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860" w:type="dxa"/>
            <w:vAlign w:val="bottom"/>
          </w:tcPr>
          <w:p>
            <w:pPr>
              <w:ind w:left="2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w w:val="91"/>
              </w:rPr>
              <w:t>Debt and the average interest rates on debt outstanding were as follows: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72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Average interest rate as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44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vMerge w:val="continue"/>
          </w:tcPr>
          <w:p>
            <w:pPr>
              <w:spacing w:after="0"/>
              <w:rPr>
                <w:sz w:val="19"/>
                <w:szCs w:val="19"/>
                <w:color w:val="auto"/>
              </w:rPr>
            </w:pPr>
          </w:p>
        </w:tc>
        <w:tc>
          <w:tcPr>
            <w:tcW w:w="27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1"/>
              </w:rPr>
              <w:t>of March 31, 2022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facilities</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1.455%</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1.948%</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3.150%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4.650%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4.500%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Unamortized debt issuance costs and discounts</w:t>
            </w:r>
          </w:p>
        </w:tc>
        <w:tc>
          <w:tcPr>
            <w:tcW w:w="27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debt</w:t>
            </w:r>
          </w:p>
        </w:tc>
        <w:tc>
          <w:tcPr>
            <w:tcW w:w="27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1,091.1</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bl>
    <w:p>
      <w:pPr>
        <w:ind w:left="200" w:hanging="174"/>
        <w:spacing w:after="0" w:line="235" w:lineRule="auto"/>
        <w:tabs>
          <w:tab w:leader="none" w:pos="20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Pentair, Pentair Finance S.à r.l (“PFSA“) and Pentair, Inc. are parties to a credit agreement (the “Senior Credit Facility”), with Pentair as guarantor and PFSA and Pentair, Inc. as borrowers, which was amended and restated in December 2021,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adjusted base rate, the London interbank offered rate, the euro interbank offered rate or the central bank rate, plus, in each case, an applicable margin. The applicable margin is based on, at PFSA’s election, Pentair’s leverage level or PFSA’s public credit rating.</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total availability under the Senior Credit Facility was $505.0 million. In addition, PFSA has the option to request to increase the revolving credit facility and/or enter into one or more additional tranches of term loans in an aggregate amount of up to $300.0 million, subject to customary conditions, including the commitment of the participating lenders.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entering into the definitive agreement to acquire Manitowoc Ice, Pentair and PFSA entered into a commitment letter, dated March 2, 2022 (the “Commitment Letter”), pursuant to which, among other things, the lenders have committed to provide debt financing for the acquisition of Manitowoc Ice, consisting of a senior unsecured bridge facility of $1.6 billion (the “Bridge Facility”), on the terms and subject to the conditions set forth in the Commitment Letter. The Bridge Facility will be subject to mandatory reduction and prepayment for 100% of the net cash proceeds from the issuance of any debt and other of our securities, other specified events and the Term Loan Facility (as defined below), subject to certain exceptions.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24, 2022, in contemplation of the acquisition of Manitowoc Ice, Pentair and PFSA entered into a Loan Agreement among PFSA, as borrower, Pentair, as guarantor, and the lenders and agents party thereto, providing for a five-year $600.0 million senior unsecured term loan facility (the “Term Loan Facility”). PFSA and Pentair intend to borrow the full $600.0 million aggregate principal amount available under the Term Loan Facility to finance a portion of the purchase price in the Manitowoc Ice acquisition and to pay related fees and expenses.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aggregate principal amount of the commitments under the Term Loan Facility have replaced a corresponding amount of the commitments in respect of the Bridge Facility in accordance with the terms of the Commitment Letter. As a result, the remaining commitment under the Bridge Facility was $1.0 billion as of March 31, 2022. No borrowings or loans were outstanding under the Bridge Facility or the Term Loan Facility as of March 31, 2022.</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Senior Credit Facility and the Term Loan Facility, we have various other credit facilities with an aggregate availability of $21.5 million, of which there were no outstanding borrowings at March 31, 2022. Borrowings under these credit facilities bear interest at variable rates.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$88.3 million of fixed rate senior notes maturing in the next twelve months. We classified this debt as long-term as of March 31, 2022 as we have the intent and ability to refinance such obligation on a long-term basis under the Senior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March 31, 2022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Q2-Q4</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2027</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Thereafter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debt obligation maturities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r>
      <w:tr>
        <w:trPr>
          <w:trHeight w:val="904"/>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jc w:val="right"/>
              <w:ind w:right="450"/>
              <w:spacing w:after="0"/>
              <w:rPr>
                <w:sz w:val="20"/>
                <w:szCs w:val="20"/>
                <w:color w:val="auto"/>
              </w:rPr>
            </w:pPr>
            <w:r>
              <w:rPr>
                <w:rFonts w:ascii="Arial" w:cs="Arial" w:eastAsia="Arial" w:hAnsi="Arial"/>
                <w:sz w:val="18"/>
                <w:szCs w:val="18"/>
                <w:color w:val="auto"/>
                <w:w w:val="99"/>
              </w:rPr>
              <w:t>14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7640" w:firstLine="8"/>
        <w:spacing w:after="0" w:line="276" w:lineRule="auto"/>
        <w:tabs>
          <w:tab w:leader="none" w:pos="633"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jc w:val="both"/>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2022 and December 31, 2021, we had outstanding foreign currency derivative contracts with gross notional U.S. dollar equivalent amounts of $10.3 million and $14.7 million, respectively. The impact of these contracts on the Condensed Consolidated Statements of Operations and Comprehensive Income was not material for any period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At March 31, 2022 and December 31, 2021, we had outstanding cross currency swap agreements with a combined notional amount of $776.0 million and $794.4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gains of $13.9 million and $7.3 million at March 31, 2022 and December 31, 2021, respectively,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January 2021, one of our cross currency swap agreements which was accounted for as a cash flow hedge matured, resulting in a net cash payment of $14.7 million. The net cash payment is included within financing activities on the Condensed Consolidated Statements of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580" w:hanging="741"/>
        <w:spacing w:after="0" w:line="289"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16"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hanging="331"/>
        <w:spacing w:after="0" w:line="277" w:lineRule="auto"/>
        <w:tabs>
          <w:tab w:leader="none" w:pos="4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hanging="330"/>
        <w:spacing w:after="0" w:line="277" w:lineRule="auto"/>
        <w:tabs>
          <w:tab w:leader="none" w:pos="49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jc w:val="both"/>
        <w:ind w:left="500" w:right="20" w:hanging="330"/>
        <w:spacing w:after="0" w:line="263" w:lineRule="auto"/>
        <w:tabs>
          <w:tab w:leader="none" w:pos="49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9" w:lineRule="exact"/>
        <w:rPr>
          <w:rFonts w:ascii="Arial" w:cs="Arial" w:eastAsia="Arial" w:hAnsi="Arial"/>
          <w:sz w:val="18"/>
          <w:szCs w:val="18"/>
          <w:color w:val="auto"/>
        </w:rPr>
      </w:pPr>
    </w:p>
    <w:p>
      <w:pPr>
        <w:jc w:val="both"/>
        <w:ind w:left="460" w:hanging="331"/>
        <w:spacing w:after="0" w:line="301" w:lineRule="auto"/>
        <w:tabs>
          <w:tab w:leader="none" w:pos="45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gridSpan w:val="12"/>
          </w:tcPr>
          <w:p>
            <w:pPr>
              <w:spacing w:after="0"/>
              <w:rPr>
                <w:sz w:val="20"/>
                <w:szCs w:val="20"/>
                <w:color w:val="auto"/>
              </w:rPr>
            </w:pPr>
            <w:r>
              <w:rPr>
                <w:rFonts w:ascii="Arial" w:cs="Arial" w:eastAsia="Arial" w:hAnsi="Arial"/>
                <w:sz w:val="18"/>
                <w:szCs w:val="18"/>
                <w:color w:val="auto"/>
                <w:w w:val="94"/>
              </w:rPr>
              <w:t>The recorded amounts and estimated fair values of total debt, excluding unamortized issuance costs and discounts, were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3"/>
          </w:tcPr>
          <w:p>
            <w:pPr>
              <w:jc w:val="right"/>
              <w:ind w:right="65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ind w:left="260"/>
              <w:spacing w:after="0" w:line="169" w:lineRule="exact"/>
              <w:rPr>
                <w:sz w:val="20"/>
                <w:szCs w:val="20"/>
                <w:color w:val="auto"/>
              </w:rPr>
            </w:pPr>
            <w:r>
              <w:rPr>
                <w:rFonts w:ascii="Arial" w:cs="Arial" w:eastAsia="Arial" w:hAnsi="Arial"/>
                <w:sz w:val="18"/>
                <w:szCs w:val="18"/>
                <w:b w:val="1"/>
                <w:bCs w:val="1"/>
                <w:color w:val="auto"/>
              </w:rPr>
              <w:t>Recorded</w:t>
            </w:r>
          </w:p>
        </w:tc>
        <w:tc>
          <w:tcPr>
            <w:tcW w:w="420" w:type="dxa"/>
            <w:vAlign w:val="bottom"/>
          </w:tcPr>
          <w:p>
            <w:pPr>
              <w:spacing w:after="0"/>
              <w:rPr>
                <w:sz w:val="14"/>
                <w:szCs w:val="14"/>
                <w:color w:val="auto"/>
              </w:rPr>
            </w:pPr>
          </w:p>
        </w:tc>
        <w:tc>
          <w:tcPr>
            <w:tcW w:w="860" w:type="dxa"/>
            <w:vAlign w:val="bottom"/>
          </w:tcPr>
          <w:p>
            <w:pPr>
              <w:ind w:left="60"/>
              <w:spacing w:after="0" w:line="169" w:lineRule="exact"/>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90"/>
              <w:spacing w:after="0" w:line="169" w:lineRule="exact"/>
              <w:rPr>
                <w:sz w:val="20"/>
                <w:szCs w:val="20"/>
                <w:color w:val="auto"/>
              </w:rPr>
            </w:pPr>
            <w:r>
              <w:rPr>
                <w:rFonts w:ascii="Arial" w:cs="Arial" w:eastAsia="Arial" w:hAnsi="Arial"/>
                <w:sz w:val="18"/>
                <w:szCs w:val="18"/>
                <w:b w:val="1"/>
                <w:bCs w:val="1"/>
                <w:color w:val="auto"/>
                <w:w w:val="96"/>
              </w:rPr>
              <w:t>Recorded</w:t>
            </w:r>
          </w:p>
        </w:tc>
        <w:tc>
          <w:tcPr>
            <w:tcW w:w="280" w:type="dxa"/>
            <w:vAlign w:val="bottom"/>
          </w:tcPr>
          <w:p>
            <w:pPr>
              <w:spacing w:after="0"/>
              <w:rPr>
                <w:sz w:val="14"/>
                <w:szCs w:val="14"/>
                <w:color w:val="auto"/>
              </w:rPr>
            </w:pPr>
          </w:p>
        </w:tc>
        <w:tc>
          <w:tcPr>
            <w:tcW w:w="9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Value</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Amount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1,102.6</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1,117.2</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gridSpan w:val="3"/>
          </w:tcPr>
          <w:p>
            <w:pPr>
              <w:spacing w:after="0" w:line="20" w:lineRule="exact"/>
              <w:rPr>
                <w:sz w:val="1"/>
                <w:szCs w:val="1"/>
                <w:color w:val="auto"/>
              </w:rPr>
            </w:pPr>
          </w:p>
        </w:tc>
        <w:tc>
          <w:tcPr>
            <w:tcW w:w="1660" w:type="dxa"/>
            <w:vAlign w:val="bottom"/>
            <w:tcBorders>
              <w:top w:val="single" w:sz="8" w:color="CCEEFF"/>
              <w:bottom w:val="single" w:sz="8" w:color="auto"/>
            </w:tcBorders>
            <w:gridSpan w:val="3"/>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760" w:type="dxa"/>
            <w:vAlign w:val="bottom"/>
            <w:gridSpan w:val="6"/>
          </w:tcPr>
          <w:p>
            <w:pPr>
              <w:spacing w:after="0"/>
              <w:rPr>
                <w:sz w:val="20"/>
                <w:szCs w:val="20"/>
                <w:color w:val="auto"/>
              </w:rPr>
            </w:pPr>
            <w:r>
              <w:rPr>
                <w:rFonts w:ascii="Arial" w:cs="Arial" w:eastAsia="Arial" w:hAnsi="Arial"/>
                <w:sz w:val="18"/>
                <w:szCs w:val="18"/>
                <w:color w:val="auto"/>
                <w:w w:val="90"/>
              </w:rPr>
              <w:t>Financial assets and liabilities measured at fair value on a recurring and nonrecurring basis were as follows: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8"/>
              </w:rPr>
              <w:t>March 31, 2022</w:t>
            </w:r>
          </w:p>
        </w:tc>
        <w:tc>
          <w:tcPr>
            <w:tcW w:w="9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91"/>
              </w:rPr>
              <w:t>Level 3</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 $</w:t>
            </w:r>
          </w:p>
        </w:tc>
        <w:tc>
          <w:tcPr>
            <w:tcW w:w="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860" w:type="dxa"/>
            <w:vAlign w:val="bottom"/>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11.2</w:t>
            </w: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95"/>
              </w:rPr>
              <w:t>11.2 $</w:t>
            </w:r>
          </w:p>
        </w:tc>
        <w:tc>
          <w:tcPr>
            <w:tcW w:w="6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gridSpan w:val="7"/>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right="510"/>
              <w:spacing w:after="0"/>
              <w:rPr>
                <w:sz w:val="20"/>
                <w:szCs w:val="20"/>
                <w:color w:val="auto"/>
              </w:rPr>
            </w:pPr>
            <w:r>
              <w:rPr>
                <w:rFonts w:ascii="Arial" w:cs="Arial" w:eastAsia="Arial" w:hAnsi="Arial"/>
                <w:sz w:val="18"/>
                <w:szCs w:val="18"/>
                <w:b w:val="1"/>
                <w:bCs w:val="1"/>
                <w:color w:val="auto"/>
                <w:w w:val="90"/>
              </w:rPr>
              <w:t>December 31, 2021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b w:val="1"/>
                <w:bCs w:val="1"/>
                <w:color w:val="auto"/>
                <w:w w:val="91"/>
              </w:rPr>
              <w:t>Level 3</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 $</w:t>
            </w:r>
          </w:p>
        </w:tc>
        <w:tc>
          <w:tcPr>
            <w:tcW w:w="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13.6</w:t>
            </w: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95"/>
              </w:rPr>
              <w:t>13.6 $</w:t>
            </w:r>
          </w:p>
        </w:tc>
        <w:tc>
          <w:tcPr>
            <w:tcW w:w="6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income tax rate for the three months ended March 31, 2022 was 15.4%, compared to 13.5% for the three months ended March 31, 2021.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total gross liability for uncertain tax positions was $36.7 million and $37.3 million at March 31, 2022 and December 31, 2021, respectively. We record penalties and interest related to unrecognized tax benefits in </w:t>
      </w:r>
      <w:r>
        <w:rPr>
          <w:rFonts w:ascii="Arial" w:cs="Arial" w:eastAsia="Arial" w:hAnsi="Arial"/>
          <w:sz w:val="17"/>
          <w:szCs w:val="17"/>
          <w:i w:val="1"/>
          <w:iCs w:val="1"/>
          <w:color w:val="auto"/>
        </w:rPr>
        <w:t>Provision for income taxes</w:t>
      </w:r>
      <w:r>
        <w:rPr>
          <w:rFonts w:ascii="Arial" w:cs="Arial" w:eastAsia="Arial" w:hAnsi="Arial"/>
          <w:sz w:val="17"/>
          <w:szCs w:val="17"/>
          <w:color w:val="auto"/>
        </w:rPr>
        <w:t xml:space="preserve"> and </w:t>
      </w:r>
      <w:r>
        <w:rPr>
          <w:rFonts w:ascii="Arial" w:cs="Arial" w:eastAsia="Arial" w:hAnsi="Arial"/>
          <w:sz w:val="17"/>
          <w:szCs w:val="17"/>
          <w:i w:val="1"/>
          <w:iCs w:val="1"/>
          <w:color w:val="auto"/>
        </w:rPr>
        <w:t>Net interest expense</w:t>
      </w:r>
      <w:r>
        <w:rPr>
          <w:rFonts w:ascii="Arial" w:cs="Arial" w:eastAsia="Arial" w:hAnsi="Arial"/>
          <w:sz w:val="17"/>
          <w:szCs w:val="17"/>
          <w:color w:val="auto"/>
        </w:rPr>
        <w:t>, respectively, on the Condensed Consolidated Statements of Operations and Comprehensive Income, which is consistent with our past practices.</w:t>
      </w:r>
    </w:p>
    <w:p>
      <w:pPr>
        <w:spacing w:after="0" w:line="12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expense for our pension plans for the three months ended March 31, 2022 and 2021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14"/>
                <w:szCs w:val="14"/>
                <w:color w:val="auto"/>
              </w:rPr>
            </w:pPr>
          </w:p>
        </w:tc>
        <w:tc>
          <w:tcPr>
            <w:tcW w:w="126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7"/>
              </w:rPr>
              <w:t>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Arial" w:cs="Arial" w:eastAsia="Arial" w:hAnsi="Arial"/>
                <w:sz w:val="18"/>
                <w:szCs w:val="18"/>
                <w:color w:val="auto"/>
                <w:w w:val="87"/>
              </w:rPr>
              <w:t>0.6</w:t>
            </w:r>
          </w:p>
        </w:tc>
        <w:tc>
          <w:tcPr>
            <w:tcW w:w="24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7"/>
              </w:rPr>
              <w:t>(0.1)</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7"/>
              </w:rPr>
              <w:t>1.1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periodic benefit expense for our other post-retirement plans for the three months ended March 31, 2022 and 2021 were not material.</w:t>
      </w:r>
    </w:p>
    <w:p>
      <w:pPr>
        <w:spacing w:after="0" w:line="271" w:lineRule="exact"/>
        <w:rPr>
          <w:sz w:val="20"/>
          <w:szCs w:val="20"/>
          <w:color w:val="auto"/>
        </w:rPr>
      </w:pPr>
    </w:p>
    <w:p>
      <w:pPr>
        <w:ind w:right="8960" w:firstLine="8"/>
        <w:spacing w:after="0" w:line="261" w:lineRule="auto"/>
        <w:tabs>
          <w:tab w:leader="none" w:pos="643"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jc w:val="both"/>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December 2020, the Board of Directors authorized the repurchase of our ordinary shares up to a maximum dollar limit of $750.0 million. The authorization expires on December 31, 2025. During the three months ended March 31, 2022, no ordinary shares were repurchased. As of March 31, 2022, we had $650.0 million available for share repurchases under this authorization.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February 21, 2022, the Board of Directors declared a quarterly cash dividend of $0.21, payable on May 6, 2022 to shareholders of record at the close of business on April 22, 2022.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$34.7 million at March 31, 2022, compared to $33.0 million at December 31, 2021.</w:t>
      </w:r>
    </w:p>
    <w:p>
      <w:pPr>
        <w:spacing w:after="0" w:line="14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Consumer Solutions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Segment income (loss)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Deal-related costs and expenses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Transformation costs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Russia business exit costs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accrual adjustments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8040" w:firstLine="8"/>
        <w:spacing w:after="0" w:line="261" w:lineRule="auto"/>
        <w:tabs>
          <w:tab w:leader="none" w:pos="64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proceedings</w:t>
      </w:r>
    </w:p>
    <w:p>
      <w:pPr>
        <w:jc w:val="both"/>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matters, including those relating to the use or installation of our products; consumer matters’ and employment and labor matters.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March 31, 2022 and December 31, 2021, our recorded reserves for environmental matters were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our disposition of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the maximum obligations under such indemnifications are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service and product warranties of continuing operations for the three months ended March 31, 2022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640" w:type="dxa"/>
            <w:vAlign w:val="bottom"/>
          </w:tcPr>
          <w:p>
            <w:pPr>
              <w:spacing w:after="0"/>
              <w:rPr>
                <w:sz w:val="17"/>
                <w:szCs w:val="17"/>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vMerge w:val="continue"/>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5"/>
              </w:rPr>
              <w:t>40.5</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Service and product warranty provision</w:t>
            </w:r>
          </w:p>
        </w:tc>
        <w:tc>
          <w:tcPr>
            <w:tcW w:w="3640" w:type="dxa"/>
            <w:vAlign w:val="bottom"/>
          </w:tcPr>
          <w:p>
            <w:pPr>
              <w:spacing w:after="0"/>
              <w:rPr>
                <w:sz w:val="19"/>
                <w:szCs w:val="19"/>
                <w:color w:val="auto"/>
              </w:rPr>
            </w:pPr>
          </w:p>
        </w:tc>
        <w:tc>
          <w:tcPr>
            <w:tcW w:w="1340" w:type="dxa"/>
            <w:vAlign w:val="bottom"/>
          </w:tcPr>
          <w:p>
            <w:pPr>
              <w:jc w:val="center"/>
              <w:ind w:left="790"/>
              <w:spacing w:after="0"/>
              <w:rPr>
                <w:sz w:val="20"/>
                <w:szCs w:val="20"/>
                <w:color w:val="auto"/>
              </w:rPr>
            </w:pPr>
            <w:r>
              <w:rPr>
                <w:rFonts w:ascii="Arial" w:cs="Arial" w:eastAsia="Arial" w:hAnsi="Arial"/>
                <w:sz w:val="18"/>
                <w:szCs w:val="18"/>
                <w:color w:val="auto"/>
                <w:w w:val="85"/>
              </w:rPr>
              <w:t>13.3</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3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5"/>
              </w:rPr>
              <w:t>41.3</w:t>
            </w:r>
          </w:p>
        </w:tc>
        <w:tc>
          <w:tcPr>
            <w:tcW w:w="0" w:type="dxa"/>
            <w:vAlign w:val="bottom"/>
          </w:tcPr>
          <w:p>
            <w:pPr>
              <w:spacing w:after="0"/>
              <w:rPr>
                <w:sz w:val="1"/>
                <w:szCs w:val="1"/>
                <w:color w:val="auto"/>
              </w:rPr>
            </w:pPr>
          </w:p>
        </w:tc>
      </w:tr>
      <w:tr>
        <w:trPr>
          <w:trHeight w:val="21"/>
        </w:trPr>
        <w:tc>
          <w:tcPr>
            <w:tcW w:w="626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and December 31, 2021, the outstanding value of bonds, letters of credit and bank guarantees totaled $101.7 million and $104.5 million,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4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spacing w:after="0" w:line="248"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All statements made about the Manitowoc Ice acquisition, including the anticipated time for completing the acquisition, and the anticipated benefits of the acquisition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our ability to close and fund the Manitowoc Ice acquisition on the expected terms and time schedule, including obtaining regulatory approvals and satisfying other closing conditions; our ability to integrate the Manitowoc Ice acquisition successfully; our ability to retain customers and employees of Manitowoc Ice; the overall impact of the COVID-19 pandemic on our and the Manitowoc Ice business; the duration and severity of the COVID-19 pandemic, the impact of virus variants and the effectiveness of vaccinations; actions that may be taken by us, other businesses and governments to address or otherwise mitigate the impact of the COVID-19 pandemic, including those that may impact our ability to operate our facilities, meet production demands, and deliver products to our customers; the impacts of the COVID-19 pandemic on the global economy, our workforce, customers and suppliers, and customer demand; overall global economic and business conditions impacting our business, including the strength of housing and related markets and conditions relating to the conflict between Russia and Ukraine and related sanctions; supply, demand, logistics, competition and pricing pressures related to and in the markets we serve; volatility in currency exchange rates; failure of markets to accept new product introductions and enhancements; the ability to successfully identify, finance, complete and integrate acquisitions; the ability to achieve the benefits of our restructuring plans, cost reduction initiatives and transformation program; risks associated with operating foreign businesses and foreign supply chains; the impact of raw material costs, labor costs and other inflation; the impact of seasonality of sales and weather conditions; our ability to comply with laws and regulations; the impact of changes in laws, regulations and administrative policy, including those that limit U.S. tax benefits or impact ability to trade, trade agreements and tariffs; the outcome of litigation and governmental proceedings; and the ability to achieve our long-term strategic operating and ESG goals. Additional information concerning these and other factors is contained in our filings with the U.S. Securities and Exchange Commission (the “SEC”), including this Form 10-Q and our Annual Report on Form 10-K for the year ended December 31, 2021. All forward-looking statements speak only as of the date of this report. Pentair assumes no obligation, and disclaims any obligation, to update the information contained in this report.</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improving, moving or helping people enjoy water, we help manage the world’s most precious resource. We are comprised of two reporting segments: Consumer Solutions and Industrial &amp; Flow Technologies. For the first three months of 2022, the Consumer Solutions and Industrial &amp; Flow Technologies segments represented approximately 64% and 36% of total revenues, respectively. We classify our operations into business segments based primarily on types of products offered and markets served:</w:t>
      </w:r>
    </w:p>
    <w:p>
      <w:pPr>
        <w:spacing w:after="0" w:line="126" w:lineRule="exact"/>
        <w:rPr>
          <w:sz w:val="20"/>
          <w:szCs w:val="20"/>
          <w:color w:val="auto"/>
        </w:rPr>
      </w:pPr>
    </w:p>
    <w:p>
      <w:pPr>
        <w:jc w:val="both"/>
        <w:ind w:left="660" w:hanging="328"/>
        <w:spacing w:after="0" w:line="271"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124" w:lineRule="exact"/>
        <w:rPr>
          <w:rFonts w:ascii="Arial" w:cs="Arial" w:eastAsia="Arial" w:hAnsi="Arial"/>
          <w:sz w:val="17"/>
          <w:szCs w:val="17"/>
          <w:color w:val="auto"/>
        </w:rPr>
      </w:pPr>
    </w:p>
    <w:p>
      <w:pPr>
        <w:ind w:left="660" w:right="10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Industrial &amp; Flow Technologies </w:t>
      </w:r>
      <w:r>
        <w:rPr>
          <w:rFonts w:ascii="Arial" w:cs="Arial" w:eastAsia="Arial" w:hAnsi="Arial"/>
          <w:sz w:val="18"/>
          <w:szCs w:val="18"/>
          <w:color w:val="auto"/>
        </w:rPr>
        <w:t>— This segment manufactures and sells a variety of fluid treatment and pump products and systems,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7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March 2, 2022, as part of our Consumer Solutions reporting segment, we entered into a definitive agreement with Welbilt, Inc. (“Welbilt”), to acquire the issued and outstanding equity securities of certain subsidiaries of Welbilt and certain other assets, rights, and properties, and assume certain liabilities, comprising Welbilt’s Manitowoc Ice business (“Manitowoc Ice”), for an aggregate purchase price of $1.6 billion, subject to customary adjustments contemplated by the definitive agreement. We expect to fund the purchase price for the acquisition with new debt that we anticipate to be investment grade, including the Term Loan Facility (as defined below). We expect to close our Manitowoc Ice acquisition in the second or third quarter of 2022, subject to customary closing conditions and necessary regulatory approvals.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2020, the World Health Organization declared the COVID-19 outbreak a pandemic. The ongoing effects of the COVID-19 pandemic continue to impact global economic conditions. In the first quarter of 2022, we have continued to experience various degrees of supply chain challenges, including increased lead times for raw materials due to availability constraints and high demand. While we have elevated our engagement with our suppliers and used secondary suppliers and new methods of procurement where available to mitigate the supply chain pressures, we expect supply chain challenges to continue throughout 2022.</w:t>
      </w: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supply chain disruptions described above, we have experienced inflationary increases of certain raw materials, such as metals, resins and electronics (including drives and motors), as well as logistics, transportation and labor costs. While we have taken pricing actions and we strive for productivity improvements that could help offset these inflationary cost increases, we expect inflationary cost increases to continue throughout 2022.</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extent of the COVID-19 pandemic’s effect on our operational and financial performance in the future will depend on future developments, including the duration, geographic location and intensity of the pandemic, the impact of virus variants, the effectiveness of vaccinations, our continued ability to manufacture and distribute our products, as well as any future actions that may be taken by governmental authorities or by us relating to the pandemic. For more information regarding factors and events that may impact our business, results of operations and financial condition as a result of the COVID-19 pandemic, see “Risk Factors - Risks Relating to our Business: The COVID-19 pandemic may have a material negative impact on our business, financial condition, results of operations and cash flows” included in Item 1A. “Risk Factors” in our Annual Report on Form 10-K for the year ended December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three months of 2022 and/or may impact our results in the future:</w:t>
      </w:r>
    </w:p>
    <w:p>
      <w:pPr>
        <w:spacing w:after="0" w:line="167" w:lineRule="exact"/>
        <w:rPr>
          <w:sz w:val="20"/>
          <w:szCs w:val="20"/>
          <w:color w:val="auto"/>
        </w:rPr>
      </w:pPr>
    </w:p>
    <w:p>
      <w:pPr>
        <w:jc w:val="both"/>
        <w:ind w:left="660" w:hanging="328"/>
        <w:spacing w:after="0" w:line="290"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are many uncertainties regarding the COVID-19 pandemic, including the anticipated duration and severity of the pandemic, the spread of an increasing number of virus variants, the extent of worldwide social, political and economic disruption it may continue to cause and the distribution and effectiveness of vaccines to address the COVID-19 virus. The broader implications of the COVID-19 pandemic that are reasonably likely to impact our business, financial condition, results of operations and cash flows cannot be determined at this time, and ultimately will be affected by a number of evolving factors including the length of time that the pandemic continues and the impact of vaccines on it, the impact of virus variants, the effectiveness of vaccinations, the pandemic’s effect on the demand for our products and services, our supply chain, and our manufacturing capacity, as well as the impact of governmental regulations imposed in response to the pandemic. See further discussion above under “</w:t>
      </w:r>
      <w:r>
        <w:rPr>
          <w:rFonts w:ascii="Arial" w:cs="Arial" w:eastAsia="Arial" w:hAnsi="Arial"/>
          <w:sz w:val="16"/>
          <w:szCs w:val="16"/>
          <w:i w:val="1"/>
          <w:iCs w:val="1"/>
          <w:color w:val="auto"/>
        </w:rPr>
        <w:t>COVID-19 Pandemic Update”</w:t>
      </w:r>
      <w:r>
        <w:rPr>
          <w:rFonts w:ascii="Arial" w:cs="Arial" w:eastAsia="Arial" w:hAnsi="Arial"/>
          <w:sz w:val="16"/>
          <w:szCs w:val="16"/>
          <w:color w:val="auto"/>
        </w:rPr>
        <w:t xml:space="preserve"> for key trends and uncertainties with regard to the COVID-19 pandemic.</w:t>
      </w:r>
    </w:p>
    <w:p>
      <w:pPr>
        <w:spacing w:after="0" w:line="111" w:lineRule="exact"/>
        <w:rPr>
          <w:rFonts w:ascii="Arial" w:cs="Arial" w:eastAsia="Arial" w:hAnsi="Arial"/>
          <w:sz w:val="16"/>
          <w:szCs w:val="16"/>
          <w:color w:val="auto"/>
        </w:rPr>
      </w:pPr>
    </w:p>
    <w:p>
      <w:pPr>
        <w:ind w:left="660" w:right="2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2021 and the first three months of 2022, we executed certain business restructuring initiatives aimed at reducing our fixed cost structure and realigning our business. We expect these actions to continue throughout the remainder of 2022 and to drive margin growth.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60" w:hanging="328"/>
        <w:spacing w:after="0" w:line="28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2021, we created a transformation office and launched and committed resources to the Transformation Program designed to accelerate growth and drive margin expansion by driving operational excellence, reducing complexity and streamlining our processes. We expect to implement Transformation Program initiatives and incur transformation costs throughout the remainder of 2022 and beyond.</w:t>
      </w:r>
    </w:p>
    <w:p>
      <w:pPr>
        <w:spacing w:after="0" w:line="111"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the first three months of 2022, we continued to experience supply chain challenges, including increased lead times for raw materials due to availability constraints and high demand. While we have elevated our engagement with our suppliers and used secondary suppliers and new methods of procurement where available to mitigate the supply chain pressures, we expect supply chain challenges to continue throughout the remainder of 2022, which may continue thereafter and could negatively impact our results of operations.</w:t>
      </w:r>
    </w:p>
    <w:p>
      <w:pPr>
        <w:spacing w:after="0" w:line="117" w:lineRule="exact"/>
        <w:rPr>
          <w:rFonts w:ascii="Arial" w:cs="Arial" w:eastAsia="Arial" w:hAnsi="Arial"/>
          <w:sz w:val="17"/>
          <w:szCs w:val="17"/>
          <w:color w:val="auto"/>
        </w:rPr>
      </w:pPr>
    </w:p>
    <w:p>
      <w:pPr>
        <w:jc w:val="both"/>
        <w:ind w:left="660" w:hanging="328"/>
        <w:spacing w:after="0" w:line="30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first three months of 2022, we continued to experience inflationary increases in costs of raw materials such as metals, resins and electronics (including drives and motors), as well as increases in logistics, transportation and labor costs. While we have taken pricing actions and we strive for productivity improvements that could help offset these inflationary cost increases, we expect inflationary cost increases to continue throughout the remainder of 2022, which may continue thereafter and could negatively impact our results of operations.</w:t>
      </w:r>
    </w:p>
    <w:p>
      <w:pPr>
        <w:spacing w:after="0" w:line="103"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the end of the first quarter of 2022, our backlog, including in our pool business, remained materially consistent with the backlog at the end of 2021. While we are continuing to work through our backlog, customer orders in our pool business may be cancelled to better reflect mix of products, meet anticipated demand and allow us to better utilize plant capacity.</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 2022, our operating objectives remain to focus on delivering our core while continuing to build out our future. We expect to execute these objectives by:</w:t>
      </w:r>
    </w:p>
    <w:p>
      <w:pPr>
        <w:spacing w:after="0" w:line="19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Delivering revenue growth in our core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Delivering income and cash by managing price/cost inflation, prioritizing growth investments and addressing the cost structures as necessary;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focus on capital allocation through: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Commitment to maintain our investment grade rating;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Return of cash to shareholders through dividends and share repurchases;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Supplement our business with strategically-aligned mergers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Focused growth initiatives that accelerate our investments in digital, technology and services expansion;</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Implementation of Transformation Program initiatives that will drive operational excellence, reduce complexity and improve our organizational structure; and</w:t>
      </w:r>
    </w:p>
    <w:p>
      <w:pPr>
        <w:spacing w:after="0" w:line="116"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three months ended March 31, 2022 and March 31, 2021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3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30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865.9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667.4</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550.7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116.7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332.2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315.2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33.2 %</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36.4 %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(3.2) pts</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164.1</w:t>
            </w:r>
          </w:p>
        </w:tc>
        <w:tc>
          <w:tcPr>
            <w:tcW w:w="2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136.6</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27.5</w:t>
            </w: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16.4 %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15.8 %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 pts</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14.6 %</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18.1 %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(3.5) pts</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15.4 %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13.5 %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459"/>
        </w:trPr>
        <w:tc>
          <w:tcPr>
            <w:tcW w:w="5300" w:type="dxa"/>
            <w:vAlign w:val="bottom"/>
          </w:tcPr>
          <w:p>
            <w:pPr>
              <w:spacing w:after="0"/>
              <w:rPr>
                <w:sz w:val="20"/>
                <w:szCs w:val="20"/>
                <w:color w:val="auto"/>
              </w:rPr>
            </w:pPr>
            <w:r>
              <w:rPr>
                <w:rFonts w:ascii="Arial" w:cs="Arial" w:eastAsia="Arial" w:hAnsi="Arial"/>
                <w:sz w:val="18"/>
                <w:szCs w:val="18"/>
                <w:color w:val="auto"/>
              </w:rPr>
              <w:t>N.M. Not Meaningful</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30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w w:val="93"/>
              </w:rPr>
              <w:t>The components of the consolidated net sales change from the prior period were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6800" w:type="dxa"/>
            <w:vAlign w:val="bottom"/>
          </w:tcPr>
          <w:p>
            <w:pPr>
              <w:jc w:val="right"/>
              <w:ind w:right="530"/>
              <w:spacing w:after="0"/>
              <w:rPr>
                <w:sz w:val="20"/>
                <w:szCs w:val="20"/>
                <w:color w:val="auto"/>
              </w:rPr>
            </w:pPr>
            <w:r>
              <w:rPr>
                <w:rFonts w:ascii="Arial" w:cs="Arial" w:eastAsia="Arial" w:hAnsi="Arial"/>
                <w:sz w:val="18"/>
                <w:szCs w:val="18"/>
                <w:b w:val="1"/>
                <w:bCs w:val="1"/>
                <w:color w:val="auto"/>
              </w:rPr>
              <w:t>Three months ended March 31, 2022</w:t>
            </w:r>
          </w:p>
        </w:tc>
      </w:tr>
      <w:tr>
        <w:trPr>
          <w:trHeight w:val="234"/>
        </w:trPr>
        <w:tc>
          <w:tcPr>
            <w:tcW w:w="444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6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6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6800" w:type="dxa"/>
            <w:vAlign w:val="bottom"/>
          </w:tcPr>
          <w:p>
            <w:pPr>
              <w:jc w:val="right"/>
              <w:ind w:right="130"/>
              <w:spacing w:after="0"/>
              <w:rPr>
                <w:sz w:val="20"/>
                <w:szCs w:val="20"/>
                <w:color w:val="auto"/>
              </w:rPr>
            </w:pPr>
            <w:r>
              <w:rPr>
                <w:rFonts w:ascii="Arial" w:cs="Arial" w:eastAsia="Arial" w:hAnsi="Arial"/>
                <w:sz w:val="18"/>
                <w:szCs w:val="18"/>
                <w:color w:val="auto"/>
              </w:rPr>
              <w:t>4.3</w:t>
            </w: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6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6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15.4 percent increase in net sales in the first quarter of 2022 from 2021 was primarily driven by:</w:t>
      </w:r>
    </w:p>
    <w:p>
      <w:pPr>
        <w:spacing w:after="0" w:line="171" w:lineRule="exact"/>
        <w:rPr>
          <w:sz w:val="20"/>
          <w:szCs w:val="20"/>
          <w:color w:val="auto"/>
        </w:rPr>
      </w:pPr>
    </w:p>
    <w:p>
      <w:pPr>
        <w:ind w:left="480" w:hanging="31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selling prices to mitigate a rise in inflationary cost;</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volume increase in our Consumer Solutions segment mainly driven by our pool business;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sales in the first quarter of 2022 from the acquisitions of Pleatco Holdings, LLC (“Pleatco”) and Ken’s Beverage, Inc (“KBI”) in 2021.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71"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volume decrease in our Industrial &amp; Flow Technologies segment primarily driven by our residential and irrigation flow businesses; and</w:t>
      </w:r>
    </w:p>
    <w:p>
      <w:pPr>
        <w:spacing w:after="0" w:line="171" w:lineRule="exact"/>
        <w:rPr>
          <w:rFonts w:ascii="Arial" w:cs="Arial" w:eastAsia="Arial" w:hAnsi="Arial"/>
          <w:sz w:val="18"/>
          <w:szCs w:val="18"/>
          <w:i w:val="1"/>
          <w:iCs w:val="1"/>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first quarter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3.2 percentage point decrease in gross profit as a percentage of net sales in the first three months of 2022 from 2021 was primarily driven by:</w:t>
      </w:r>
    </w:p>
    <w:p>
      <w:pPr>
        <w:spacing w:after="0" w:line="168" w:lineRule="exact"/>
        <w:rPr>
          <w:sz w:val="20"/>
          <w:szCs w:val="20"/>
          <w:color w:val="auto"/>
        </w:rPr>
      </w:pPr>
    </w:p>
    <w:p>
      <w:pPr>
        <w:ind w:left="480" w:hanging="310"/>
        <w:spacing w:after="0"/>
        <w:tabs>
          <w:tab w:leader="none" w:pos="4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inflationary cost increases due to tight supply of raw materials such as metals, resins, and electronics;</w:t>
      </w:r>
    </w:p>
    <w:p>
      <w:pPr>
        <w:spacing w:after="0" w:line="171" w:lineRule="exact"/>
        <w:rPr>
          <w:rFonts w:ascii="Arial" w:cs="Arial" w:eastAsia="Arial" w:hAnsi="Arial"/>
          <w:sz w:val="18"/>
          <w:szCs w:val="18"/>
          <w:b w:val="1"/>
          <w:bCs w:val="1"/>
          <w:i w:val="1"/>
          <w:iCs w:val="1"/>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logistics and labor costs due to increased demand, additional headcount and factory labor wage increases; and</w:t>
      </w:r>
    </w:p>
    <w:p>
      <w:pPr>
        <w:spacing w:after="0" w:line="171"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charge of $1.7 million recorded in the first quarter of 2022 for the write-off of inventory and costs related to contracts and orders that we will no longer fulfill in light of our exiting of business activity and sales in Russia.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decrease was partially offset by:</w:t>
      </w:r>
    </w:p>
    <w:p>
      <w:pPr>
        <w:spacing w:after="0" w:line="171"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selective increases in selling prices to mitigate impacts of inflation.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0.6 percentage point increase in SG&amp;A as a percentage of net sales in the first quarter of 2022 from 2021 was primarily driven by:</w:t>
      </w:r>
    </w:p>
    <w:p>
      <w:pPr>
        <w:spacing w:after="0" w:line="157" w:lineRule="exact"/>
        <w:rPr>
          <w:sz w:val="20"/>
          <w:szCs w:val="20"/>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transformation costs of $5.5 million in the first quarter of 2022, compared to none in the first quarter of 2021;</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7"/>
          <w:szCs w:val="17"/>
          <w:i w:val="1"/>
          <w:iCs w:val="1"/>
          <w:color w:val="auto"/>
        </w:rPr>
      </w:pPr>
      <w:r>
        <w:rPr>
          <w:rFonts w:ascii="Arial" w:cs="Arial" w:eastAsia="Arial" w:hAnsi="Arial"/>
          <w:sz w:val="17"/>
          <w:szCs w:val="17"/>
          <w:color w:val="auto"/>
        </w:rPr>
        <w:t>deal-related costs and expenses of $6.4 million in the first quarter of 2022, compared to $0.7 million in the same period of the prior year;</w:t>
      </w:r>
    </w:p>
    <w:p>
      <w:pPr>
        <w:spacing w:after="0" w:line="182" w:lineRule="exact"/>
        <w:rPr>
          <w:rFonts w:ascii="Arial" w:cs="Arial" w:eastAsia="Arial" w:hAnsi="Arial"/>
          <w:sz w:val="17"/>
          <w:szCs w:val="17"/>
          <w:i w:val="1"/>
          <w:iCs w:val="1"/>
          <w:color w:val="auto"/>
        </w:rPr>
      </w:pPr>
    </w:p>
    <w:p>
      <w:pPr>
        <w:ind w:left="500" w:right="20" w:hanging="330"/>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charge of $4.2 million recorded in the first quarter of 2022 for the write-off of uncollectible accounts receivable and other costs incurred in light of our exiting of business activity and sales in Russia;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labor costs due to additional headcount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11.8 percent increase in net interest expense in the first quarter of 2022 from 2021 was primarily driven by:</w:t>
      </w:r>
    </w:p>
    <w:p>
      <w:pPr>
        <w:spacing w:after="0" w:line="157" w:lineRule="exact"/>
        <w:rPr>
          <w:sz w:val="20"/>
          <w:szCs w:val="20"/>
          <w:color w:val="auto"/>
        </w:rPr>
      </w:pPr>
    </w:p>
    <w:p>
      <w:pPr>
        <w:ind w:left="50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issuance costs of $2.6 million incurred during the first quarter of 2022 related to financing commitments for a bridge loan facility established in connection with the definitive agreement to purchase Manitowoc 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71" w:lineRule="exact"/>
        <w:rPr>
          <w:sz w:val="20"/>
          <w:szCs w:val="20"/>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€100.0 million cross-currency swap executed in February 2021; and</w:t>
      </w:r>
    </w:p>
    <w:p>
      <w:pPr>
        <w:spacing w:after="0" w:line="171"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weakening of the Euro compared to the same period of the prior year resulting in less interest expense on the outstanding cross currency swaps in the first quarter of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1.9 percentage point increase in the effective tax rate in the first quarter of 2022 from 2021 was primarily driven b</w:t>
      </w:r>
      <w:r>
        <w:rPr>
          <w:rFonts w:ascii="Arial" w:cs="Arial" w:eastAsia="Arial" w:hAnsi="Arial"/>
          <w:sz w:val="18"/>
          <w:szCs w:val="18"/>
          <w:color w:val="auto"/>
        </w:rPr>
        <w:t>y:</w:t>
      </w:r>
    </w:p>
    <w:p>
      <w:pPr>
        <w:spacing w:after="0" w:line="15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unfavorable mix of global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acquisition-related expenses, costs of restructuring and transformation activities, impairments and other unusual non-operating items.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Consumer Solutions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620" w:type="dxa"/>
            <w:vAlign w:val="bottom"/>
          </w:tcPr>
          <w:p>
            <w:pPr>
              <w:spacing w:after="0"/>
              <w:rPr>
                <w:sz w:val="20"/>
                <w:szCs w:val="20"/>
                <w:color w:val="auto"/>
              </w:rPr>
            </w:pPr>
            <w:r>
              <w:rPr>
                <w:rFonts w:ascii="Arial" w:cs="Arial" w:eastAsia="Arial" w:hAnsi="Arial"/>
                <w:sz w:val="18"/>
                <w:szCs w:val="18"/>
                <w:color w:val="auto"/>
              </w:rPr>
              <w:t>The net sales and segment income for Consumer Solutions were as follows: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4"/>
                <w:szCs w:val="14"/>
                <w:color w:val="auto"/>
              </w:rPr>
            </w:pPr>
          </w:p>
        </w:tc>
        <w:tc>
          <w:tcPr>
            <w:tcW w:w="13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4"/>
                <w:szCs w:val="14"/>
                <w:color w:val="auto"/>
              </w:rPr>
            </w:pPr>
          </w:p>
        </w:tc>
        <w:tc>
          <w:tcPr>
            <w:tcW w:w="13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31,</w:t>
            </w:r>
          </w:p>
        </w:tc>
        <w:tc>
          <w:tcPr>
            <w:tcW w:w="11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641.2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521.4</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138.5</w:t>
            </w: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131.0</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21.6 %</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25.1 %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(3.5) pts</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net sales from the prior period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6800" w:type="dxa"/>
            <w:vAlign w:val="bottom"/>
          </w:tcPr>
          <w:p>
            <w:pPr>
              <w:jc w:val="right"/>
              <w:ind w:right="530"/>
              <w:spacing w:after="0"/>
              <w:rPr>
                <w:sz w:val="20"/>
                <w:szCs w:val="20"/>
                <w:color w:val="auto"/>
              </w:rPr>
            </w:pPr>
            <w:r>
              <w:rPr>
                <w:rFonts w:ascii="Arial" w:cs="Arial" w:eastAsia="Arial" w:hAnsi="Arial"/>
                <w:sz w:val="18"/>
                <w:szCs w:val="18"/>
                <w:b w:val="1"/>
                <w:bCs w:val="1"/>
                <w:color w:val="auto"/>
              </w:rPr>
              <w:t>Three months ended March 31, 2022</w:t>
            </w:r>
          </w:p>
        </w:tc>
      </w:tr>
      <w:tr>
        <w:trPr>
          <w:trHeight w:val="234"/>
        </w:trPr>
        <w:tc>
          <w:tcPr>
            <w:tcW w:w="444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6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6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6800" w:type="dxa"/>
            <w:vAlign w:val="bottom"/>
          </w:tcPr>
          <w:p>
            <w:pPr>
              <w:jc w:val="right"/>
              <w:ind w:right="130"/>
              <w:spacing w:after="0"/>
              <w:rPr>
                <w:sz w:val="20"/>
                <w:szCs w:val="20"/>
                <w:color w:val="auto"/>
              </w:rPr>
            </w:pPr>
            <w:r>
              <w:rPr>
                <w:rFonts w:ascii="Arial" w:cs="Arial" w:eastAsia="Arial" w:hAnsi="Arial"/>
                <w:sz w:val="18"/>
                <w:szCs w:val="18"/>
                <w:color w:val="auto"/>
              </w:rPr>
              <w:t>6.9</w:t>
            </w: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6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6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23.0 %</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23.0 percent increase in net sales for Consumer Solutions in the first quarter of 2022 from 2021 was primarily driven by:</w:t>
      </w:r>
    </w:p>
    <w:p>
      <w:pPr>
        <w:spacing w:after="0" w:line="171" w:lineRule="exact"/>
        <w:rPr>
          <w:sz w:val="20"/>
          <w:szCs w:val="20"/>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selling prices to mitigate impacts of inflation;</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sales due to the Pleatco and KBI acquisitions that occurred in 2021;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sales volume mainly in our pool business as a result of an increase in available capacity.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480" w:hanging="31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first quarter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segment income as a percentage of net sales from the prior period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6140" w:type="dxa"/>
            <w:vAlign w:val="bottom"/>
          </w:tcPr>
          <w:p>
            <w:pPr>
              <w:jc w:val="right"/>
              <w:ind w:right="290"/>
              <w:spacing w:after="0"/>
              <w:rPr>
                <w:sz w:val="20"/>
                <w:szCs w:val="20"/>
                <w:color w:val="auto"/>
              </w:rPr>
            </w:pPr>
            <w:r>
              <w:rPr>
                <w:rFonts w:ascii="Arial" w:cs="Arial" w:eastAsia="Arial" w:hAnsi="Arial"/>
                <w:sz w:val="18"/>
                <w:szCs w:val="18"/>
                <w:b w:val="1"/>
                <w:bCs w:val="1"/>
                <w:color w:val="auto"/>
              </w:rPr>
              <w:t>Three months ended March 31, 2022</w:t>
            </w:r>
          </w:p>
        </w:tc>
        <w:tc>
          <w:tcPr>
            <w:tcW w:w="280" w:type="dxa"/>
            <w:vAlign w:val="bottom"/>
          </w:tcPr>
          <w:p>
            <w:pPr>
              <w:spacing w:after="0"/>
              <w:rPr>
                <w:sz w:val="19"/>
                <w:szCs w:val="19"/>
                <w:color w:val="auto"/>
              </w:rPr>
            </w:pPr>
          </w:p>
        </w:tc>
      </w:tr>
      <w:tr>
        <w:trPr>
          <w:trHeight w:val="234"/>
        </w:trPr>
        <w:tc>
          <w:tcPr>
            <w:tcW w:w="482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6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Inflation</w:t>
            </w:r>
          </w:p>
        </w:tc>
        <w:tc>
          <w:tcPr>
            <w:tcW w:w="614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r>
      <w:tr>
        <w:trPr>
          <w:trHeight w:val="23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Productivity</w:t>
            </w:r>
          </w:p>
        </w:tc>
        <w:tc>
          <w:tcPr>
            <w:tcW w:w="6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auto"/>
            </w:tcBorders>
            <w:shd w:val="clear" w:color="auto" w:fill="CCEEFF"/>
          </w:tcPr>
          <w:p>
            <w:pPr>
              <w:spacing w:after="0"/>
              <w:rPr>
                <w:sz w:val="19"/>
                <w:szCs w:val="19"/>
                <w:color w:val="auto"/>
              </w:rPr>
            </w:pP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6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pts</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3.5 percentage point decrease in segment income for Consumer Solutions as a percentage of net sales in the first quarter of 2022 from 2021 was primarily driven by:</w:t>
      </w:r>
    </w:p>
    <w:p>
      <w:pPr>
        <w:spacing w:after="0" w:line="116" w:lineRule="exact"/>
        <w:rPr>
          <w:sz w:val="20"/>
          <w:szCs w:val="20"/>
          <w:color w:val="auto"/>
        </w:rPr>
      </w:pPr>
    </w:p>
    <w:p>
      <w:pPr>
        <w:ind w:left="500" w:hanging="330"/>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inflationary cost increases due to high demand and limited supply of raw materials such as metals, resins, and electronics along with increased logistics and labor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decrease was partially offset by:</w:t>
      </w:r>
    </w:p>
    <w:p>
      <w:pPr>
        <w:spacing w:after="0" w:line="171" w:lineRule="exact"/>
        <w:rPr>
          <w:sz w:val="20"/>
          <w:szCs w:val="20"/>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selling prices to mitigate the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volume and productivity primarily in our pool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31,</w:t>
            </w: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358.1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344.1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14.5 %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Industrial &amp; Flow Technologies net sales from the prior period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6800" w:type="dxa"/>
            <w:vAlign w:val="bottom"/>
          </w:tcPr>
          <w:p>
            <w:pPr>
              <w:ind w:left="3360"/>
              <w:spacing w:after="0"/>
              <w:rPr>
                <w:sz w:val="20"/>
                <w:szCs w:val="20"/>
                <w:color w:val="auto"/>
              </w:rPr>
            </w:pPr>
            <w:r>
              <w:rPr>
                <w:rFonts w:ascii="Arial" w:cs="Arial" w:eastAsia="Arial" w:hAnsi="Arial"/>
                <w:sz w:val="18"/>
                <w:szCs w:val="18"/>
                <w:b w:val="1"/>
                <w:bCs w:val="1"/>
                <w:color w:val="auto"/>
              </w:rPr>
              <w:t>Three months ended March 31, 2022</w:t>
            </w:r>
          </w:p>
        </w:tc>
      </w:tr>
      <w:tr>
        <w:trPr>
          <w:trHeight w:val="234"/>
        </w:trPr>
        <w:tc>
          <w:tcPr>
            <w:tcW w:w="444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ind w:left="378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800" w:type="dxa"/>
            <w:vAlign w:val="bottom"/>
            <w:shd w:val="clear" w:color="auto" w:fill="CCEEFF"/>
          </w:tcPr>
          <w:p>
            <w:pPr>
              <w:ind w:left="6280"/>
              <w:spacing w:after="0"/>
              <w:rPr>
                <w:sz w:val="20"/>
                <w:szCs w:val="20"/>
                <w:color w:val="auto"/>
              </w:rPr>
            </w:pPr>
            <w:r>
              <w:rPr>
                <w:rFonts w:ascii="Arial" w:cs="Arial" w:eastAsia="Arial" w:hAnsi="Arial"/>
                <w:sz w:val="18"/>
                <w:szCs w:val="18"/>
                <w:color w:val="auto"/>
                <w:w w:val="94"/>
              </w:rPr>
              <w:t>(1.6)%</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6800" w:type="dxa"/>
            <w:vAlign w:val="bottom"/>
            <w:tcBorders>
              <w:bottom w:val="single" w:sz="8" w:color="auto"/>
            </w:tcBorders>
          </w:tcPr>
          <w:p>
            <w:pPr>
              <w:ind w:left="6360"/>
              <w:spacing w:after="0"/>
              <w:rPr>
                <w:sz w:val="20"/>
                <w:szCs w:val="20"/>
                <w:color w:val="auto"/>
              </w:rPr>
            </w:pPr>
            <w:r>
              <w:rPr>
                <w:rFonts w:ascii="Arial" w:cs="Arial" w:eastAsia="Arial" w:hAnsi="Arial"/>
                <w:sz w:val="18"/>
                <w:szCs w:val="18"/>
                <w:color w:val="auto"/>
              </w:rPr>
              <w:t>7.6</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6800" w:type="dxa"/>
            <w:vAlign w:val="bottom"/>
            <w:shd w:val="clear" w:color="auto" w:fill="CCEEFF"/>
          </w:tcPr>
          <w:p>
            <w:pPr>
              <w:ind w:left="6360"/>
              <w:spacing w:after="0"/>
              <w:rPr>
                <w:sz w:val="20"/>
                <w:szCs w:val="20"/>
                <w:color w:val="auto"/>
              </w:rPr>
            </w:pPr>
            <w:r>
              <w:rPr>
                <w:rFonts w:ascii="Arial" w:cs="Arial" w:eastAsia="Arial" w:hAnsi="Arial"/>
                <w:sz w:val="18"/>
                <w:szCs w:val="18"/>
                <w:color w:val="auto"/>
              </w:rPr>
              <w:t>6.0</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6800" w:type="dxa"/>
            <w:vAlign w:val="bottom"/>
          </w:tcPr>
          <w:p>
            <w:pPr>
              <w:ind w:left="6360"/>
              <w:spacing w:after="0"/>
              <w:rPr>
                <w:sz w:val="20"/>
                <w:szCs w:val="20"/>
                <w:color w:val="auto"/>
              </w:rPr>
            </w:pPr>
            <w:r>
              <w:rPr>
                <w:rFonts w:ascii="Arial" w:cs="Arial" w:eastAsia="Arial" w:hAnsi="Arial"/>
                <w:sz w:val="18"/>
                <w:szCs w:val="18"/>
                <w:color w:val="auto"/>
              </w:rPr>
              <w:t>0.4</w:t>
            </w: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6800" w:type="dxa"/>
            <w:vAlign w:val="bottom"/>
            <w:tcBorders>
              <w:bottom w:val="single" w:sz="8" w:color="auto"/>
            </w:tcBorders>
            <w:shd w:val="clear" w:color="auto" w:fill="CCEEFF"/>
          </w:tcPr>
          <w:p>
            <w:pPr>
              <w:ind w:left="6280"/>
              <w:spacing w:after="0"/>
              <w:rPr>
                <w:sz w:val="20"/>
                <w:szCs w:val="20"/>
                <w:color w:val="auto"/>
              </w:rPr>
            </w:pPr>
            <w:r>
              <w:rPr>
                <w:rFonts w:ascii="Arial" w:cs="Arial" w:eastAsia="Arial" w:hAnsi="Arial"/>
                <w:sz w:val="18"/>
                <w:szCs w:val="18"/>
                <w:color w:val="auto"/>
              </w:rPr>
              <w:t>(2.3)</w:t>
            </w: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6800" w:type="dxa"/>
            <w:vAlign w:val="bottom"/>
            <w:tcBorders>
              <w:bottom w:val="single" w:sz="8" w:color="auto"/>
            </w:tcBorders>
          </w:tcPr>
          <w:p>
            <w:pPr>
              <w:ind w:left="6360"/>
              <w:spacing w:after="0"/>
              <w:rPr>
                <w:sz w:val="20"/>
                <w:szCs w:val="20"/>
                <w:color w:val="auto"/>
              </w:rPr>
            </w:pPr>
            <w:r>
              <w:rPr>
                <w:rFonts w:ascii="Arial" w:cs="Arial" w:eastAsia="Arial" w:hAnsi="Arial"/>
                <w:sz w:val="18"/>
                <w:szCs w:val="18"/>
                <w:color w:val="auto"/>
                <w:w w:val="91"/>
              </w:rPr>
              <w:t>4.1 %</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4.1 percent increase in net sales for Industrial &amp; Flow Technologies in the first quarter of 2022 from 2021 was primarily driven by:</w:t>
      </w:r>
    </w:p>
    <w:p>
      <w:pPr>
        <w:spacing w:after="0" w:line="171" w:lineRule="exact"/>
        <w:rPr>
          <w:sz w:val="20"/>
          <w:szCs w:val="20"/>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increased sales volume in our industrial solutions business due to the Pleatco acquisition as well as continued recovery in our project sales.</w:t>
      </w:r>
    </w:p>
    <w:p>
      <w:pPr>
        <w:spacing w:after="0" w:line="200" w:lineRule="exact"/>
        <w:rPr>
          <w:sz w:val="20"/>
          <w:szCs w:val="20"/>
          <w:color w:val="auto"/>
        </w:rPr>
      </w:pPr>
    </w:p>
    <w:p>
      <w:pPr>
        <w:spacing w:after="0" w:line="361" w:lineRule="exact"/>
        <w:rPr>
          <w:sz w:val="20"/>
          <w:szCs w:val="20"/>
          <w:color w:val="auto"/>
        </w:rPr>
      </w:pPr>
    </w:p>
    <w:p>
      <w:pPr>
        <w:ind w:left="480" w:hanging="310"/>
        <w:spacing w:after="0"/>
        <w:tabs>
          <w:tab w:leader="none" w:pos="48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decreased sales volume in our residential and irrigation flow businesses due to exiting a small product line and labor constraints; and</w:t>
      </w:r>
    </w:p>
    <w:p>
      <w:pPr>
        <w:spacing w:after="0" w:line="171" w:lineRule="exact"/>
        <w:rPr>
          <w:rFonts w:ascii="Arial" w:cs="Arial" w:eastAsia="Arial" w:hAnsi="Arial"/>
          <w:sz w:val="18"/>
          <w:szCs w:val="18"/>
          <w:i w:val="1"/>
          <w:iCs w:val="1"/>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foreign currency effects in the first quarter compared to the same period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Industrial &amp; Flow Technologies segment income as a percentage of net sales from the prior period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7280" w:type="dxa"/>
            <w:vAlign w:val="bottom"/>
          </w:tcPr>
          <w:p>
            <w:pPr>
              <w:jc w:val="center"/>
              <w:ind w:left="3610"/>
              <w:spacing w:after="0"/>
              <w:rPr>
                <w:sz w:val="20"/>
                <w:szCs w:val="20"/>
                <w:color w:val="auto"/>
              </w:rPr>
            </w:pPr>
            <w:r>
              <w:rPr>
                <w:rFonts w:ascii="Arial" w:cs="Arial" w:eastAsia="Arial" w:hAnsi="Arial"/>
                <w:sz w:val="18"/>
                <w:szCs w:val="18"/>
                <w:b w:val="1"/>
                <w:bCs w:val="1"/>
                <w:color w:val="auto"/>
                <w:w w:val="90"/>
              </w:rPr>
              <w:t>Three months ended March 31, 2022</w:t>
            </w:r>
          </w:p>
        </w:tc>
        <w:tc>
          <w:tcPr>
            <w:tcW w:w="260" w:type="dxa"/>
            <w:vAlign w:val="bottom"/>
          </w:tcPr>
          <w:p>
            <w:pPr>
              <w:spacing w:after="0"/>
              <w:rPr>
                <w:sz w:val="19"/>
                <w:szCs w:val="19"/>
                <w:color w:val="auto"/>
              </w:rPr>
            </w:pPr>
          </w:p>
        </w:tc>
      </w:tr>
      <w:tr>
        <w:trPr>
          <w:trHeight w:val="234"/>
        </w:trPr>
        <w:tc>
          <w:tcPr>
            <w:tcW w:w="37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jc w:val="center"/>
              <w:ind w:left="3590"/>
              <w:spacing w:after="0"/>
              <w:rPr>
                <w:sz w:val="20"/>
                <w:szCs w:val="20"/>
                <w:color w:val="auto"/>
              </w:rPr>
            </w:pPr>
            <w:r>
              <w:rPr>
                <w:rFonts w:ascii="Arial" w:cs="Arial" w:eastAsia="Arial" w:hAnsi="Arial"/>
                <w:sz w:val="18"/>
                <w:szCs w:val="18"/>
                <w:b w:val="1"/>
                <w:bCs w:val="1"/>
                <w:color w:val="auto"/>
                <w:w w:val="91"/>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7280" w:type="dxa"/>
            <w:vAlign w:val="bottom"/>
            <w:shd w:val="clear" w:color="auto" w:fill="CCEEFF"/>
          </w:tcPr>
          <w:p>
            <w:pPr>
              <w:jc w:val="center"/>
              <w:ind w:left="6830"/>
              <w:spacing w:after="0"/>
              <w:rPr>
                <w:sz w:val="20"/>
                <w:szCs w:val="20"/>
                <w:color w:val="auto"/>
              </w:rPr>
            </w:pPr>
            <w:r>
              <w:rPr>
                <w:rFonts w:ascii="Arial" w:cs="Arial" w:eastAsia="Arial" w:hAnsi="Arial"/>
                <w:sz w:val="18"/>
                <w:szCs w:val="18"/>
                <w:color w:val="auto"/>
                <w:w w:val="95"/>
              </w:rPr>
              <w:t>7.6</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Inflation</w:t>
            </w:r>
          </w:p>
        </w:tc>
        <w:tc>
          <w:tcPr>
            <w:tcW w:w="7280" w:type="dxa"/>
            <w:vAlign w:val="bottom"/>
          </w:tcPr>
          <w:p>
            <w:pPr>
              <w:jc w:val="center"/>
              <w:ind w:left="6810"/>
              <w:spacing w:after="0"/>
              <w:rPr>
                <w:sz w:val="20"/>
                <w:szCs w:val="20"/>
                <w:color w:val="auto"/>
              </w:rPr>
            </w:pPr>
            <w:r>
              <w:rPr>
                <w:rFonts w:ascii="Arial" w:cs="Arial" w:eastAsia="Arial" w:hAnsi="Arial"/>
                <w:sz w:val="18"/>
                <w:szCs w:val="18"/>
                <w:color w:val="auto"/>
                <w:w w:val="91"/>
              </w:rPr>
              <w:t>(7.0)</w:t>
            </w:r>
          </w:p>
        </w:tc>
        <w:tc>
          <w:tcPr>
            <w:tcW w:w="260" w:type="dxa"/>
            <w:vAlign w:val="bottom"/>
          </w:tcPr>
          <w:p>
            <w:pPr>
              <w:spacing w:after="0"/>
              <w:rPr>
                <w:sz w:val="19"/>
                <w:szCs w:val="19"/>
                <w:color w:val="auto"/>
              </w:rPr>
            </w:pPr>
          </w:p>
        </w:tc>
      </w:tr>
      <w:tr>
        <w:trPr>
          <w:trHeight w:val="229"/>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Productivity</w:t>
            </w:r>
          </w:p>
        </w:tc>
        <w:tc>
          <w:tcPr>
            <w:tcW w:w="7280" w:type="dxa"/>
            <w:vAlign w:val="bottom"/>
            <w:tcBorders>
              <w:bottom w:val="single" w:sz="8" w:color="auto"/>
            </w:tcBorders>
            <w:shd w:val="clear" w:color="auto" w:fill="CCEEFF"/>
          </w:tcPr>
          <w:p>
            <w:pPr>
              <w:jc w:val="center"/>
              <w:ind w:left="6810"/>
              <w:spacing w:after="0"/>
              <w:rPr>
                <w:sz w:val="20"/>
                <w:szCs w:val="20"/>
                <w:color w:val="auto"/>
              </w:rPr>
            </w:pPr>
            <w:r>
              <w:rPr>
                <w:rFonts w:ascii="Arial" w:cs="Arial" w:eastAsia="Arial" w:hAnsi="Arial"/>
                <w:sz w:val="18"/>
                <w:szCs w:val="18"/>
                <w:color w:val="auto"/>
                <w:w w:val="91"/>
              </w:rPr>
              <w:t>(0.5)</w:t>
            </w:r>
          </w:p>
        </w:tc>
        <w:tc>
          <w:tcPr>
            <w:tcW w:w="260" w:type="dxa"/>
            <w:vAlign w:val="bottom"/>
            <w:tcBorders>
              <w:bottom w:val="single" w:sz="8" w:color="auto"/>
            </w:tcBorders>
            <w:shd w:val="clear" w:color="auto" w:fill="CCEEFF"/>
          </w:tcPr>
          <w:p>
            <w:pPr>
              <w:spacing w:after="0"/>
              <w:rPr>
                <w:sz w:val="19"/>
                <w:szCs w:val="19"/>
                <w:color w:val="auto"/>
              </w:rPr>
            </w:pPr>
          </w:p>
        </w:tc>
      </w:tr>
      <w:tr>
        <w:trPr>
          <w:trHeight w:val="22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7280" w:type="dxa"/>
            <w:vAlign w:val="bottom"/>
            <w:tcBorders>
              <w:bottom w:val="single" w:sz="8" w:color="auto"/>
            </w:tcBorders>
          </w:tcPr>
          <w:p>
            <w:pPr>
              <w:jc w:val="center"/>
              <w:ind w:left="6830"/>
              <w:spacing w:after="0"/>
              <w:rPr>
                <w:sz w:val="20"/>
                <w:szCs w:val="20"/>
                <w:color w:val="auto"/>
              </w:rPr>
            </w:pPr>
            <w:r>
              <w:rPr>
                <w:rFonts w:ascii="Arial" w:cs="Arial" w:eastAsia="Arial" w:hAnsi="Arial"/>
                <w:sz w:val="18"/>
                <w:szCs w:val="18"/>
                <w:color w:val="auto"/>
                <w:w w:val="95"/>
              </w:rPr>
              <w:t>0.1</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pts</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858"/>
        </w:trPr>
        <w:tc>
          <w:tcPr>
            <w:tcW w:w="3700" w:type="dxa"/>
            <w:vAlign w:val="bottom"/>
          </w:tcPr>
          <w:p>
            <w:pPr>
              <w:spacing w:after="0"/>
              <w:rPr>
                <w:sz w:val="24"/>
                <w:szCs w:val="24"/>
                <w:color w:val="auto"/>
              </w:rPr>
            </w:pPr>
          </w:p>
        </w:tc>
        <w:tc>
          <w:tcPr>
            <w:tcW w:w="7280" w:type="dxa"/>
            <w:vAlign w:val="bottom"/>
          </w:tcPr>
          <w:p>
            <w:pPr>
              <w:jc w:val="right"/>
              <w:ind w:right="517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7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0.1 percentage point increase in segment income for Industrial &amp; Flow Technologies as a percentage of net sales in the first quarter of 2022 from 2021 was primarily driven by:</w:t>
      </w:r>
    </w:p>
    <w:p>
      <w:pPr>
        <w:spacing w:after="0" w:line="116" w:lineRule="exact"/>
        <w:rPr>
          <w:sz w:val="20"/>
          <w:szCs w:val="20"/>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improved sales mix in our commercial and infrastructure flow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right="20" w:hanging="330"/>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inflationary cost increases due to high demand and tight supply of metals and resins along with increased logistics due to supply chain constraints and labor costs due to workforce shortages; and</w:t>
      </w:r>
    </w:p>
    <w:p>
      <w:pPr>
        <w:spacing w:after="0" w:line="143" w:lineRule="exact"/>
        <w:rPr>
          <w:rFonts w:ascii="Arial" w:cs="Arial" w:eastAsia="Arial" w:hAnsi="Arial"/>
          <w:sz w:val="18"/>
          <w:szCs w:val="18"/>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productivity in our residential and irrigation flow businesses due to workforce shortages.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experience seasonal cash flows primarily due to seasonal demand in a number of markets. Consistent with historical trends, we experienced seasonal cash usage in the first quarter of 2022 and drew on our revolving credit facility to fund our operations. This cash usage typically reverses in the second quarter as the seasonality of our businesses peak. We expect historical seasonal patterns to continue and the second quarter of 2022 to generate significant cash to fund our operations.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End-user demand for pool and certain pumping equipment follows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i w:val="1"/>
                <w:iCs w:val="1"/>
                <w:color w:val="auto"/>
              </w:rPr>
              <w:t>Summary of Cash Flows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7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3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4"/>
                <w:szCs w:val="14"/>
                <w:color w:val="auto"/>
              </w:rPr>
            </w:pPr>
          </w:p>
        </w:tc>
        <w:tc>
          <w:tcPr>
            <w:tcW w:w="138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Operating activities of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153.8</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$131.5 million in net cash used for operating activities of continuing operations in the first three months of 2022 primarily reflects $138.1 million of net income from continuing operations, net of non-cash depreciation and definite-lived intangible amortization. Additionally, we had a cash outflow of $274.2 million as a result of changes in net working capital, primarily the result of increased accounts receivable and inventory balances along with lower employee compensation and benefits accruals compared to December 31, 2021. The change in the accounts receivable balance is due to higher sales during the last month of the first quarter and timing of collections. The increased inventory balance is related to additional purchases to support existing orders. The lower employee compensation and benefits accruals are attributable to the payment of employee incentive compensation in the first quarter.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$18.8 million in net cash used for operating activities of continuing operations in the first three months of 2021 primarily reflects $150.9 million of net income from continuing operations, net of non-cash depreciation and definite-lived intangible amortization. Additionally, we had a cash outflow of $173.8 million as a result of changes in net working capital, primarily the result of increased accounts receivables due to strong demand in the pool business and early buy programs in anticipation of our distributors’ peak sales season in the second and third quarters.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for investing activities in the first three months of 2022 primarily reflects capital expenditures of $17.7 million.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for investing activities in the first three months of 2021 reflects capital expenditures of $13.2 million and proceeds from the sale of property and equipment of $3.4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provided by financing activities in the first three months of 2022 primarily relates to net borrowings of revolving long-term debt of $199.6 million, partially offset by dividend payments of $34.7 million and payments of debt issuance costs of $5.8 million.</w:t>
      </w:r>
    </w:p>
    <w:p>
      <w:pPr>
        <w:spacing w:after="0" w:line="21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Net cash provided by financing activities in the first three months of 2021 primarily relates to net borrowings of revolving long-term debt of $92.4 million, partially offset by $9.6 million of share repurchases, dividend payments of $33.3 million and payments upon the maturity of cross currency swaps of $14.7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greater than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 of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Capital expenditures of continuing operations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 from continuing operations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Capital</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which was amended and restated in December 2021,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adjusted base rate, the London interbank offered rate or the central bank rate, plus, in each case, an applicable margin. The applicable margin is based on, at PFSA’s election, Pentair’s leverage level or PFSA’s public credit rating.</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total availability under the Senior Credit Facility was $505.0 million. In addition, PFSA has the option to request to increase the revolving credit facility and/or enter into one or more additional tranches of term loans in an aggregate amount of up to $300.0 million, subject to customary conditions, including the commitment of the participating lenders.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entering into the definitive agreement to acquire Manitowoc Ice, Pentair and PFSA entered into a commitment letter, dated March 2, 2022 (the “Commitment Letter”), pursuant to which, among other things, the lenders have committed to provide debt financing for the acquisition of Manitowoc Ice, consisting of a senior unsecured bridge facility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$1.6 billion (the “Bridge Facility”), on the terms and subject to the conditions set forth in the Commitment Letter. The Bridge Facility will be subject to mandatory reduction and prepayment for 100% of the net cash proceeds from the issuance of any debt and other of our securities, other specified events and the Term Loan Facility (as defined below), subject to certain exceptions.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24, 2022, in contemplation of the acquisition of Manitowoc Ice, Pentair and PFSA entered into a Loan Agreement among PFSA, as borrower, Pentair, as guarantor, and the lenders and agents party thereto, providing for a five-year $600.0 million senior unsecured term loan facility (the “Term Loan Facility”). PFSA and Pentair intend to borrow the full $600.0 million aggregate principal amount available under the Term Loan Facility to finance a portion of the purchase price in the Manitowoc Ice acquisition and to pay related fees and expenses.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aggregate principal amount of the commitments under the Term Loan Facility have replaced a corresponding amount of the commitments in respect of the Bridge Facility in accordance with the terms of the Commitment Letter. As a result, the remaining commitment under the Bridge Facility was $1.0 billion as of March 31, 2022. No borrowings or loans were outstanding under the Bridge Facility or the Term Loan Facility as of March 31, 2022.</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Senior Credit Facility and the Term Loan Facility, we have various other credit facilities with an aggregate availability of $21.5 million, of which there were no outstanding borrowings at March 31, 2022. Borrowings under these credit facilities bear interest at variable rates.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$88.3 million fixed rate senior notes maturing in the next twelve months. We classified this debt as long-term as of March 31, 2022 as we have the intent and ability to refinance such obligation on a long-term basis under the Senior Credit Facility.</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we had $65.1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2020, the Board of Directors authorized the repurchase of our ordinary shares up to a maximum dollar limit of $750.0 million. The authorization expires on December 31, 2025. During the three months ended March 31, 2022, no ordinary shares were repurchased. As of March 31, 2022, we had $650.0 million available for share repurchases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February 21, 2022, the Board of Directors declared a quarterly cash dividend of $0.21, payable on May 6, 2022 to shareholders of record at the close of business on April 22, 2022.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$34.7 million at March 31, 2022, compared to $33.0 million at December 31, 2021.</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dividends in the first three months of 2022 of $34.7 million, or $0.21 per ordinary share compared with $33.3 million, or $0.20 per ordinary share, in the prior year period.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$8.4 billion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Neither the subsidiaries of the Parent Company Guarantor nor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summarized financial information as of March 31, 2022 and December 31, 2021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36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vMerge w:val="continue"/>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3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(2)</w:t>
            </w:r>
          </w:p>
        </w:tc>
        <w:tc>
          <w:tcPr>
            <w:tcW w:w="3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1,221.0</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(3)</w:t>
            </w:r>
          </w:p>
        </w:tc>
        <w:tc>
          <w:tcPr>
            <w:tcW w:w="3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3"/>
                <w:szCs w:val="23"/>
                <w:color w:val="auto"/>
                <w:vertAlign w:val="superscript"/>
              </w:rPr>
              <w:t>(4)</w:t>
            </w:r>
          </w:p>
        </w:tc>
        <w:tc>
          <w:tcPr>
            <w:tcW w:w="3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1,386.8</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1,193.6</w:t>
            </w:r>
          </w:p>
        </w:tc>
        <w:tc>
          <w:tcPr>
            <w:tcW w:w="0" w:type="dxa"/>
            <w:vAlign w:val="bottom"/>
          </w:tcPr>
          <w:p>
            <w:pPr>
              <w:spacing w:after="0"/>
              <w:rPr>
                <w:sz w:val="1"/>
                <w:szCs w:val="1"/>
                <w:color w:val="auto"/>
              </w:rPr>
            </w:pPr>
          </w:p>
        </w:tc>
      </w:tr>
    </w:tbl>
    <w:p>
      <w:pPr>
        <w:ind w:left="200" w:hanging="174"/>
        <w:spacing w:after="0" w:line="216" w:lineRule="auto"/>
        <w:tabs>
          <w:tab w:leader="none" w:pos="20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No assets due from non-guarantor subsidiaries were included as of March 31, 2022 and December 31, 2021,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$1,198.7 million and $1,202.5 million as of March 31, 2022 and December 31, 2021,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$640.6 million and $792.1 million as of March 31, 2022 and December 31, 2021,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$273.0 million and $276.8 million as of March 31, 2022 and December 31, 2021,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2021,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March 31, 2022. For additional information refer to Item 7A of our Annual Report on Form 10-K for the year ended December 31, 2021.</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jc w:val="both"/>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2022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2022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rFonts w:ascii="Arial" w:cs="Arial" w:eastAsia="Arial" w:hAnsi="Arial"/>
          <w:sz w:val="18"/>
          <w:szCs w:val="18"/>
          <w:b w:val="1"/>
          <w:bCs w:val="1"/>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March 31, 2022 that has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jc w:val="both"/>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 Refer to “Legal Proceedings” and “Environmental Matters” within </w:t>
      </w:r>
      <w:hyperlink w:anchor="page18">
        <w:r>
          <w:rPr>
            <w:rFonts w:ascii="Arial" w:cs="Arial" w:eastAsia="Arial" w:hAnsi="Arial"/>
            <w:sz w:val="17"/>
            <w:szCs w:val="17"/>
            <w:u w:val="single" w:color="auto"/>
            <w:color w:val="0000FF"/>
          </w:rPr>
          <w:t>Note 16 “Commitments and Contingencies”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condensed consolidated financial statements included within ITEM 1 of Part I of this Form 10-Q for information regarding legal and regulatory proceedings we are involved in.</w:t>
      </w:r>
    </w:p>
    <w:p>
      <w:pPr>
        <w:spacing w:after="0" w:line="3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Item 1A. of our Annual Report on Form 10-K for the year ended December 31, 2021, except for the additional risk factors relating to the Manitowoc Ice acquisition set forth below.</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anticipated benefits of the Manitowoc Ice acquisition and any benefit may take longer to realize than we expect.</w:t>
      </w:r>
    </w:p>
    <w:p>
      <w:pPr>
        <w:spacing w:after="0" w:line="3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Manitowoc Ice acquisition will involve the integration of Manitowoc Ice’s operations with our existing operations, and there are uncertainties inherent in such an integration. We will be required to devote significant management attention and resources to integrating Manitowoc Ice’s operations. Delays or unexpected difficulties in the integration process could adversely affect our business, financial results and financial condition. Even if we are able to integrate Manitowoc Ice’s operations successfully, this integration may not result in the realization of the full benefits of revenue synergies, cost savings and operational efficiencies that we expect or the achievement of these benefits within a reasonable period of time or at all.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new risks, known and unknown, relating to the Manitowoc Ice acquisition.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may experience risks, losses and damages associated with the Manitowoc Ice acquisition. The risks we could face include the following:</w:t>
      </w:r>
    </w:p>
    <w:p>
      <w:pPr>
        <w:spacing w:after="0" w:line="170" w:lineRule="exact"/>
        <w:rPr>
          <w:sz w:val="20"/>
          <w:szCs w:val="20"/>
          <w:color w:val="auto"/>
        </w:rPr>
      </w:pPr>
    </w:p>
    <w:p>
      <w:pPr>
        <w:ind w:left="660" w:right="20" w:hanging="328"/>
        <w:spacing w:after="0" w:line="259"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Manitowoc Ice acquisition may lead to the incurrence of costs to review, upgrade and integrate Manitowoc Ice’s systems with our compliance and reporting systems, including our systems of internal control over financial reporting. The process of integrating Manitowoc Ice into our internal control over financial reporting could require significant time and effort from our management and other personnel and could increase our compliance costs; and</w:t>
      </w:r>
    </w:p>
    <w:p>
      <w:pPr>
        <w:spacing w:after="0" w:line="159"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Manitowoc Ice acquisition involves the inherent risk of liabilities, and these liabilities may prove more costly or produce more adverse effects than we anticipate, such as actual or potential litigation and regulatory matters. In addition, in the course of the due diligence review of Manitowoc Ice, we may not have discovered, or may have been unable to quantify, undisclosed liabilities of Manitowoc Ice, and we may not be indemnified or have insurance for any of these liabilities. Any such liabilities could have an adverse effect on our business, results of operations, financial condition and cash flows following the completion of the Manitowoc Ice acquisition.</w:t>
      </w:r>
    </w:p>
    <w:p>
      <w:pPr>
        <w:spacing w:after="0" w:line="13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of these risks associated with the Manitowoc Ice acquisition could have a material adverse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March 31, 2022, we had $1,091.1 million of total debt on a consolidated basis. We expect our indebtedness to increase materially in connection with our acquisition of Manitowoc Ice. We intend to fund the Manitowoc Ice acquisition with new debt, together with cash on hand and/or borrowings under our revolving credit facility, and, if necessary, borrowings under the bridge facility for an aggregate amount of approximately $1.6 billion of new indebtedness in connection with the Manitowoc Ice acquisition. We and our subsidiaries may incur additional indebtedness in the future and, subject to limitations on the amount of secured indebtedness we may incur without securing the notes and other outstanding debt securities, the indenture that will govern the notes will not restrict us from incurring indebtedness in the future. Future increases in our level of indebtedness will have several important effects on our future operations, including, without limitation:</w:t>
      </w:r>
    </w:p>
    <w:p>
      <w:pPr>
        <w:spacing w:after="0" w:line="15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have additional cash requirements in order to support the payment of interest on our outstanding indebtedness;</w:t>
      </w:r>
    </w:p>
    <w:p>
      <w:pPr>
        <w:spacing w:after="0" w:line="198"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our outstanding indebtedness and leverage may increase our vulnerability to adverse changes in general economic and industry conditions, as well as to competitive pressure;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obtain additional financing for working capital, capital expenditures, general corporate and other purposes may be reduced;</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our industry may be reduced;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flexibility to make acquisitions and develop technology may be limited.</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ability to make payments of principal and interest on our indebtedness, including the notes, depends upon our future performance, which will be subject to general economic conditions and financial, business and other factors affecting our consolidated operations, many of which are beyond our control. If we are unable to generate sufficient cash flow from operations in the future to service our debt and meet our other cash requirements, we may be required, among other things:</w:t>
      </w:r>
    </w:p>
    <w:p>
      <w:pPr>
        <w:spacing w:after="0" w:line="146"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refinance or restructure all or a portion of our indebtedness, including the notes;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sell selected assets or businesses;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reduce or delay planned capital or operating expenditures.</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Such measures might not be sufficient to enable us to service our debt and meet our other cash requirements, including the notes. In addition, any such financing, refinancing or sale of assets might not be available at all or on economically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first quarter of 2022: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tcPr>
          <w:p>
            <w:pPr>
              <w:spacing w:after="0"/>
              <w:rPr>
                <w:sz w:val="19"/>
                <w:szCs w:val="19"/>
                <w:color w:val="auto"/>
              </w:rPr>
            </w:pPr>
          </w:p>
        </w:tc>
        <w:tc>
          <w:tcPr>
            <w:tcW w:w="160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(a)</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(b)</w:t>
            </w:r>
          </w:p>
        </w:tc>
        <w:tc>
          <w:tcPr>
            <w:tcW w:w="2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w:t>
            </w: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22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320" w:type="dxa"/>
            <w:vAlign w:val="bottom"/>
            <w:gridSpan w:val="2"/>
          </w:tcPr>
          <w:p>
            <w:pPr>
              <w:ind w:left="160"/>
              <w:spacing w:after="0" w:line="181" w:lineRule="exact"/>
              <w:rPr>
                <w:sz w:val="20"/>
                <w:szCs w:val="20"/>
                <w:color w:val="auto"/>
              </w:rPr>
            </w:pPr>
            <w:r>
              <w:rPr>
                <w:rFonts w:ascii="Arial" w:cs="Arial" w:eastAsia="Arial" w:hAnsi="Arial"/>
                <w:sz w:val="18"/>
                <w:szCs w:val="18"/>
                <w:b w:val="1"/>
                <w:bCs w:val="1"/>
                <w:color w:val="auto"/>
                <w:w w:val="94"/>
              </w:rPr>
              <w:t>Total number of shares   Dollar value of shares that</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8"/>
              </w:rPr>
              <w:t>Average price</w:t>
            </w:r>
          </w:p>
        </w:tc>
        <w:tc>
          <w:tcPr>
            <w:tcW w:w="23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may yet be purchased</w:t>
            </w:r>
          </w:p>
        </w:tc>
        <w:tc>
          <w:tcPr>
            <w:tcW w:w="0" w:type="dxa"/>
            <w:vAlign w:val="bottom"/>
          </w:tcPr>
          <w:p>
            <w:pPr>
              <w:spacing w:after="0"/>
              <w:rPr>
                <w:sz w:val="1"/>
                <w:szCs w:val="1"/>
                <w:color w:val="auto"/>
              </w:rPr>
            </w:pPr>
          </w:p>
        </w:tc>
      </w:tr>
      <w:tr>
        <w:trPr>
          <w:trHeight w:val="175"/>
        </w:trPr>
        <w:tc>
          <w:tcPr>
            <w:tcW w:w="244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Period</w:t>
            </w:r>
          </w:p>
        </w:tc>
        <w:tc>
          <w:tcPr>
            <w:tcW w:w="1600" w:type="dxa"/>
            <w:vAlign w:val="bottom"/>
          </w:tcPr>
          <w:p>
            <w:pPr>
              <w:jc w:val="center"/>
              <w:ind w:left="590"/>
              <w:spacing w:after="0" w:line="176" w:lineRule="exact"/>
              <w:rPr>
                <w:sz w:val="20"/>
                <w:szCs w:val="20"/>
                <w:color w:val="auto"/>
              </w:rPr>
            </w:pPr>
            <w:r>
              <w:rPr>
                <w:rFonts w:ascii="Arial" w:cs="Arial" w:eastAsia="Arial" w:hAnsi="Arial"/>
                <w:sz w:val="18"/>
                <w:szCs w:val="18"/>
                <w:b w:val="1"/>
                <w:bCs w:val="1"/>
                <w:color w:val="auto"/>
                <w:w w:val="84"/>
              </w:rPr>
              <w:t>of shares</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3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87"/>
              </w:rPr>
              <w:t>purchased</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paid per share</w:t>
            </w:r>
          </w:p>
        </w:tc>
        <w:tc>
          <w:tcPr>
            <w:tcW w:w="2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or programs</w:t>
            </w: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programs</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 January 29</w:t>
            </w:r>
          </w:p>
        </w:tc>
        <w:tc>
          <w:tcPr>
            <w:tcW w:w="1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12,863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71.47</w:t>
            </w:r>
          </w:p>
        </w:tc>
        <w:tc>
          <w:tcPr>
            <w:tcW w:w="234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 $</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650,002,158</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January 30 - February 26</w:t>
            </w:r>
          </w:p>
        </w:tc>
        <w:tc>
          <w:tcPr>
            <w:tcW w:w="1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39,727</w:t>
            </w:r>
          </w:p>
        </w:tc>
        <w:tc>
          <w:tcPr>
            <w:tcW w:w="3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56.45</w:t>
            </w:r>
          </w:p>
        </w:tc>
        <w:tc>
          <w:tcPr>
            <w:tcW w:w="2340" w:type="dxa"/>
            <w:vAlign w:val="bottom"/>
          </w:tcPr>
          <w:p>
            <w:pPr>
              <w:ind w:left="19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650,002,158</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27 - March 31</w:t>
            </w:r>
          </w:p>
        </w:tc>
        <w:tc>
          <w:tcPr>
            <w:tcW w:w="16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45,827</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56.57</w:t>
            </w:r>
          </w:p>
        </w:tc>
        <w:tc>
          <w:tcPr>
            <w:tcW w:w="234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650,002,158</w:t>
            </w:r>
          </w:p>
        </w:tc>
        <w:tc>
          <w:tcPr>
            <w:tcW w:w="0" w:type="dxa"/>
            <w:vAlign w:val="bottom"/>
          </w:tcPr>
          <w:p>
            <w:pPr>
              <w:spacing w:after="0"/>
              <w:rPr>
                <w:sz w:val="1"/>
                <w:szCs w:val="1"/>
                <w:color w:val="auto"/>
              </w:rPr>
            </w:pPr>
          </w:p>
        </w:tc>
      </w:tr>
      <w:tr>
        <w:trPr>
          <w:trHeight w:val="22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98,417</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86" w:lineRule="auto"/>
        <w:tabs>
          <w:tab w:leader="none" w:pos="33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purchases in this column include 12,863 shares for the period January 1 - January 29, 39,727 shares for the period January 30 - February 26 and 45,827 shares for the period February 27 - March 31 deemed surrendered to us by participants in our equity incentive plans to satisfy the exercise price or withholding of tax obligations related to the exercise of stock options and vesting of restricted and performance shares.</w:t>
      </w:r>
    </w:p>
    <w:p>
      <w:pPr>
        <w:spacing w:after="0" w:line="111" w:lineRule="exact"/>
        <w:rPr>
          <w:rFonts w:ascii="Arial" w:cs="Arial" w:eastAsia="Arial" w:hAnsi="Arial"/>
          <w:sz w:val="17"/>
          <w:szCs w:val="17"/>
          <w:color w:val="auto"/>
        </w:rPr>
      </w:pPr>
    </w:p>
    <w:p>
      <w:pPr>
        <w:jc w:val="both"/>
        <w:ind w:left="340" w:hanging="332"/>
        <w:spacing w:after="0" w:line="263" w:lineRule="auto"/>
        <w:tabs>
          <w:tab w:leader="none" w:pos="3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9" w:lineRule="exact"/>
        <w:rPr>
          <w:rFonts w:ascii="Arial" w:cs="Arial" w:eastAsia="Arial" w:hAnsi="Arial"/>
          <w:sz w:val="18"/>
          <w:szCs w:val="18"/>
          <w:color w:val="auto"/>
        </w:rPr>
      </w:pPr>
    </w:p>
    <w:p>
      <w:pPr>
        <w:ind w:left="340" w:hanging="332"/>
        <w:spacing w:after="0" w:line="277" w:lineRule="auto"/>
        <w:tabs>
          <w:tab w:leader="none" w:pos="3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jc w:val="both"/>
        <w:ind w:left="340" w:hanging="332"/>
        <w:spacing w:after="0" w:line="286" w:lineRule="auto"/>
        <w:tabs>
          <w:tab w:leader="none" w:pos="334"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December 2020, the Board of Directors authorized the repurchase of our ordinary shares up to a maximum dollar limit of $750.0 million. The authorization expires on December 31, 2025. As of March 31, 2022, we had $650.0 million available for share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 to Form 10-Q for the Period Ended March 31, 2022</w:t>
      </w:r>
    </w:p>
    <w:p>
      <w:pPr>
        <w:spacing w:after="0" w:line="333" w:lineRule="exact"/>
        <w:rPr>
          <w:sz w:val="20"/>
          <w:szCs w:val="20"/>
          <w:color w:val="auto"/>
        </w:rPr>
      </w:pPr>
    </w:p>
    <w:p>
      <w:pPr>
        <w:jc w:val="both"/>
        <w:ind w:left="940" w:hanging="782"/>
        <w:spacing w:after="0" w:line="224" w:lineRule="auto"/>
        <w:tabs>
          <w:tab w:leader="none" w:pos="920" w:val="left"/>
        </w:tabs>
        <w:rPr>
          <w:rFonts w:ascii="Arial" w:cs="Arial" w:eastAsia="Arial" w:hAnsi="Arial"/>
          <w:sz w:val="18"/>
          <w:szCs w:val="18"/>
          <w:b w:val="1"/>
          <w:bCs w:val="1"/>
          <w:color w:val="0000FF"/>
        </w:rPr>
      </w:pPr>
      <w:hyperlink r:id="rId49">
        <w:r>
          <w:rPr>
            <w:rFonts w:ascii="Arial" w:cs="Arial" w:eastAsia="Arial" w:hAnsi="Arial"/>
            <w:sz w:val="18"/>
            <w:szCs w:val="18"/>
            <w:b w:val="1"/>
            <w:bCs w:val="1"/>
            <w:u w:val="single" w:color="auto"/>
            <w:color w:val="0000FF"/>
          </w:rPr>
          <w:t>4.1</w:t>
        </w:r>
      </w:hyperlink>
      <w:r>
        <w:rPr>
          <w:rFonts w:ascii="Arial" w:cs="Arial" w:eastAsia="Arial" w:hAnsi="Arial"/>
          <w:sz w:val="18"/>
          <w:szCs w:val="18"/>
          <w:b w:val="1"/>
          <w:bCs w:val="1"/>
          <w:color w:val="0000FF"/>
        </w:rPr>
        <w:tab/>
        <w:t>Loan Agreement, dated as of March 24, 2022, among Pentair plc, Pentair Finance S.à r.l., and the lenders and agents party thereto (Incorporated by reference to Exhibit 4.1 to the Current Report on Form 8-K of Pentair plc filed with the Commission on March 25, 2022 (File No. 001-11625)).</w:t>
      </w:r>
    </w:p>
    <w:p>
      <w:pPr>
        <w:spacing w:after="0" w:line="6" w:lineRule="exact"/>
        <w:rPr>
          <w:sz w:val="20"/>
          <w:szCs w:val="20"/>
          <w:color w:val="auto"/>
        </w:rPr>
      </w:pPr>
    </w:p>
    <w:p>
      <w:pPr>
        <w:jc w:val="both"/>
        <w:ind w:left="940" w:hanging="782"/>
        <w:spacing w:after="0" w:line="224" w:lineRule="auto"/>
        <w:tabs>
          <w:tab w:leader="none" w:pos="920" w:val="left"/>
        </w:tabs>
        <w:rPr>
          <w:rFonts w:ascii="Arial" w:cs="Arial" w:eastAsia="Arial" w:hAnsi="Arial"/>
          <w:sz w:val="18"/>
          <w:szCs w:val="18"/>
          <w:b w:val="1"/>
          <w:bCs w:val="1"/>
          <w:color w:val="0000FF"/>
        </w:rPr>
      </w:pPr>
      <w:hyperlink r:id="rId50">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t>Purchase Agreement, dated March 2, 2022, by and between Welbilt, Inc., Pentair Commercial Ice LLC, and Pentair plc (Incorporated by reference to Exhibit 10.1 to the Current Report on Form 8-K of Pentair plc filed with the Commission on March 4, 2022 (File No. 001-11625)).</w:t>
      </w:r>
    </w:p>
    <w:p>
      <w:pPr>
        <w:spacing w:after="0" w:line="1" w:lineRule="exact"/>
        <w:rPr>
          <w:sz w:val="20"/>
          <w:szCs w:val="20"/>
          <w:color w:val="auto"/>
        </w:rPr>
      </w:pPr>
    </w:p>
    <w:p>
      <w:pPr>
        <w:ind w:left="940" w:hanging="793"/>
        <w:spacing w:after="0" w:line="234" w:lineRule="auto"/>
        <w:tabs>
          <w:tab w:leader="none" w:pos="940" w:val="left"/>
        </w:tabs>
        <w:numPr>
          <w:ilvl w:val="0"/>
          <w:numId w:val="47"/>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 (Incorporated by reference to Exhibit 22 to the Quarterly Report on Form 10-Q of Pentair plc for the quarter ended June 30, 2021 (File No. 001-11625)).</w:t>
      </w:r>
    </w:p>
    <w:p>
      <w:pPr>
        <w:spacing w:after="0" w:line="1" w:lineRule="exact"/>
        <w:rPr>
          <w:sz w:val="20"/>
          <w:szCs w:val="20"/>
          <w:color w:val="auto"/>
        </w:rPr>
      </w:pPr>
    </w:p>
    <w:p>
      <w:pPr>
        <w:ind w:left="140"/>
        <w:spacing w:after="0"/>
        <w:tabs>
          <w:tab w:leader="none" w:pos="920" w:val="left"/>
        </w:tabs>
        <w:rPr>
          <w:rFonts w:ascii="Arial" w:cs="Arial" w:eastAsia="Arial" w:hAnsi="Arial"/>
          <w:sz w:val="18"/>
          <w:szCs w:val="18"/>
          <w:b w:val="1"/>
          <w:bCs w:val="1"/>
          <w:color w:val="0000FF"/>
        </w:rPr>
      </w:pPr>
      <w:hyperlink w:anchor="page36">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23" w:lineRule="exact"/>
        <w:rPr>
          <w:sz w:val="20"/>
          <w:szCs w:val="20"/>
          <w:color w:val="auto"/>
        </w:rPr>
      </w:pPr>
    </w:p>
    <w:p>
      <w:pPr>
        <w:ind w:left="140"/>
        <w:spacing w:after="0"/>
        <w:tabs>
          <w:tab w:leader="none" w:pos="920" w:val="left"/>
        </w:tabs>
        <w:rPr>
          <w:rFonts w:ascii="Arial" w:cs="Arial" w:eastAsia="Arial" w:hAnsi="Arial"/>
          <w:sz w:val="18"/>
          <w:szCs w:val="18"/>
          <w:b w:val="1"/>
          <w:bCs w:val="1"/>
          <w:color w:val="0000FF"/>
        </w:rPr>
      </w:pPr>
      <w:hyperlink w:anchor="page37">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rFonts w:ascii="Arial" w:cs="Arial" w:eastAsia="Arial" w:hAnsi="Arial"/>
          <w:sz w:val="18"/>
          <w:szCs w:val="18"/>
          <w:b w:val="1"/>
          <w:bCs w:val="1"/>
          <w:color w:val="0000FF"/>
        </w:rPr>
      </w:pPr>
      <w:hyperlink w:anchor="page38">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ind w:left="140"/>
        <w:spacing w:after="0"/>
        <w:tabs>
          <w:tab w:leader="none" w:pos="920" w:val="left"/>
        </w:tabs>
        <w:rPr>
          <w:rFonts w:ascii="Arial" w:cs="Arial" w:eastAsia="Arial" w:hAnsi="Arial"/>
          <w:sz w:val="18"/>
          <w:szCs w:val="18"/>
          <w:b w:val="1"/>
          <w:bCs w:val="1"/>
          <w:color w:val="0000FF"/>
        </w:rPr>
      </w:pPr>
      <w:hyperlink w:anchor="page39">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2002.</w:t>
      </w:r>
    </w:p>
    <w:p>
      <w:pPr>
        <w:spacing w:after="0" w:line="7" w:lineRule="exact"/>
        <w:rPr>
          <w:sz w:val="20"/>
          <w:szCs w:val="20"/>
          <w:color w:val="auto"/>
        </w:rPr>
      </w:pPr>
    </w:p>
    <w:p>
      <w:pPr>
        <w:jc w:val="both"/>
        <w:ind w:left="940" w:hanging="793"/>
        <w:spacing w:after="0" w:line="212" w:lineRule="auto"/>
        <w:tabs>
          <w:tab w:leader="none" w:pos="9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March 31, 2022 are filed herewith, formatted in iXBRL (Inline Extensible Business Reporting Language): (i) the Condensed Consolidated Statements of Operations and Comprehensive Income for the three months ended March 31, 2022 and 2021, (ii) the Condensed Consolidated Balance Sheets as of March 31, 2022 and December 31, 2021, (iii) the Condensed Consolidated Statements of Cash Flows for the three months ended March 31, 2022 and 2021, (iv) the Condensed Consolidated Statements of Changes in Equity for the three months ended March 31, 2022 and 2021, and (v) Notes to Condensed Consolidated Financial Statements. The instance document does not appear in the interactive data file because its XBRL tags are embedded within the Inline XBRL document.</w:t>
      </w:r>
    </w:p>
    <w:p>
      <w:pPr>
        <w:spacing w:after="0" w:line="3" w:lineRule="exact"/>
        <w:rPr>
          <w:sz w:val="20"/>
          <w:szCs w:val="20"/>
          <w:color w:val="auto"/>
        </w:rPr>
      </w:pPr>
    </w:p>
    <w:p>
      <w:pPr>
        <w:ind w:left="940" w:hanging="793"/>
        <w:spacing w:after="0"/>
        <w:tabs>
          <w:tab w:leader="none" w:pos="9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6" w:lineRule="exact"/>
        <w:rPr>
          <w:rFonts w:ascii="Arial" w:cs="Arial" w:eastAsia="Arial" w:hAnsi="Arial"/>
          <w:sz w:val="18"/>
          <w:szCs w:val="18"/>
          <w:b w:val="1"/>
          <w:bCs w:val="1"/>
          <w:color w:val="auto"/>
        </w:rPr>
      </w:pPr>
    </w:p>
    <w:p>
      <w:pPr>
        <w:ind w:left="5540"/>
        <w:spacing w:after="0"/>
        <w:rPr>
          <w:rFonts w:ascii="Arial" w:cs="Arial" w:eastAsia="Arial" w:hAnsi="Arial"/>
          <w:sz w:val="18"/>
          <w:szCs w:val="18"/>
          <w:b w:val="1"/>
          <w:bCs w:val="1"/>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21, 2022.</w:t>
      </w:r>
    </w:p>
    <w:p>
      <w:pPr>
        <w:spacing w:after="0" w:line="200" w:lineRule="exact"/>
        <w:rPr>
          <w:sz w:val="20"/>
          <w:szCs w:val="20"/>
          <w:color w:val="auto"/>
        </w:rPr>
      </w:pPr>
    </w:p>
    <w:p>
      <w:pPr>
        <w:spacing w:after="0" w:line="34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Pentair plc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8721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Robert P. Fishman</w:t>
      </w:r>
    </w:p>
    <w:p>
      <w:pPr>
        <w:spacing w:after="0" w:line="1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Chief Financial Officer and Chief</w:t>
      </w:r>
    </w:p>
    <w:p>
      <w:pPr>
        <w:ind w:left="67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Date:April 21, 2022</w:t>
            </w:r>
          </w:p>
        </w:tc>
        <w:tc>
          <w:tcPr>
            <w:tcW w:w="7520" w:type="dxa"/>
            <w:vAlign w:val="bottom"/>
            <w:gridSpan w:val="2"/>
          </w:tcPr>
          <w:p>
            <w:pPr>
              <w:ind w:left="1800"/>
              <w:spacing w:after="0"/>
              <w:rPr>
                <w:sz w:val="20"/>
                <w:szCs w:val="20"/>
                <w:color w:val="auto"/>
              </w:rPr>
            </w:pPr>
            <w:r>
              <w:rPr>
                <w:rFonts w:ascii="Arial" w:cs="Arial" w:eastAsia="Arial" w:hAnsi="Arial"/>
                <w:sz w:val="18"/>
                <w:szCs w:val="18"/>
                <w:color w:val="auto"/>
              </w:rPr>
              <w:t>/s/ John L. Stauch</w:t>
            </w:r>
          </w:p>
        </w:tc>
      </w:tr>
      <w:tr>
        <w:trPr>
          <w:trHeight w:val="20"/>
        </w:trPr>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r>
      <w:tr>
        <w:trPr>
          <w:trHeight w:val="222"/>
        </w:trPr>
        <w:tc>
          <w:tcPr>
            <w:tcW w:w="3180" w:type="dxa"/>
            <w:vAlign w:val="bottom"/>
          </w:tcPr>
          <w:p>
            <w:pPr>
              <w:spacing w:after="0"/>
              <w:rPr>
                <w:sz w:val="19"/>
                <w:szCs w:val="19"/>
                <w:color w:val="auto"/>
              </w:rPr>
            </w:pPr>
          </w:p>
        </w:tc>
        <w:tc>
          <w:tcPr>
            <w:tcW w:w="7520" w:type="dxa"/>
            <w:vAlign w:val="bottom"/>
            <w:gridSpan w:val="2"/>
          </w:tcPr>
          <w:p>
            <w:pPr>
              <w:ind w:left="1800"/>
              <w:spacing w:after="0"/>
              <w:rPr>
                <w:sz w:val="20"/>
                <w:szCs w:val="20"/>
                <w:color w:val="auto"/>
              </w:rPr>
            </w:pPr>
            <w:r>
              <w:rPr>
                <w:rFonts w:ascii="Arial" w:cs="Arial" w:eastAsia="Arial" w:hAnsi="Arial"/>
                <w:sz w:val="18"/>
                <w:szCs w:val="18"/>
                <w:color w:val="auto"/>
              </w:rPr>
              <w:t>John L. Stauch</w:t>
            </w:r>
          </w:p>
        </w:tc>
      </w:tr>
      <w:tr>
        <w:trPr>
          <w:trHeight w:val="230"/>
        </w:trPr>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April 21, 2022</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March 31, 2022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92" w:lineRule="exact"/>
        <w:rPr>
          <w:sz w:val="20"/>
          <w:szCs w:val="20"/>
          <w:color w:val="auto"/>
        </w:rPr>
      </w:pPr>
    </w:p>
    <w:p>
      <w:pPr>
        <w:ind w:left="720" w:hanging="388"/>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April 21, 2022</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March 31, 2022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14" w:lineRule="exact"/>
        <w:rPr>
          <w:sz w:val="20"/>
          <w:szCs w:val="20"/>
          <w:color w:val="auto"/>
        </w:rPr>
      </w:pPr>
    </w:p>
    <w:p>
      <w:pPr>
        <w:ind w:left="720" w:hanging="388"/>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April 21, 2022</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5"/>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7"/>
    </w:lvl>
  </w:abstractNum>
  <w:abstractNum w:abstractNumId="9">
    <w:nsid w:val="737B8DDC"/>
    <w:multiLevelType w:val="hybridMultilevel"/>
    <w:lvl w:ilvl="0">
      <w:lvlJc w:val="left"/>
      <w:lvlText w:val="%1."/>
      <w:numFmt w:val="decimal"/>
      <w:start w:val="8"/>
    </w:lvl>
  </w:abstractNum>
  <w:abstractNum w:abstractNumId="10">
    <w:nsid w:val="6CEAF087"/>
    <w:multiLevelType w:val="hybridMultilevel"/>
    <w:lvl w:ilvl="0">
      <w:lvlJc w:val="left"/>
      <w:lvlText w:val="%1."/>
      <w:numFmt w:val="decimal"/>
      <w:start w:val="9"/>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lvl w:ilvl="1">
      <w:lvlJc w:val="left"/>
      <w:lvlText w:val="•"/>
      <w:numFmt w:val="bullet"/>
      <w:start w:val="1"/>
    </w:lvl>
  </w:abstractNum>
  <w:abstractNum w:abstractNumId="15">
    <w:nsid w:val="419AC241"/>
    <w:multiLevelType w:val="hybridMultilevel"/>
    <w:lvl w:ilvl="0">
      <w:lvlJc w:val="left"/>
      <w:lvlText w:val="%1."/>
      <w:numFmt w:val="decimal"/>
      <w:start w:val="12"/>
    </w:lvl>
  </w:abstractNum>
  <w:abstractNum w:abstractNumId="16">
    <w:nsid w:val="5577F8E1"/>
    <w:multiLevelType w:val="hybridMultilevel"/>
    <w:lvl w:ilvl="0">
      <w:lvlJc w:val="left"/>
      <w:lvlText w:val="%1."/>
      <w:numFmt w:val="decimal"/>
      <w:start w:val="13"/>
    </w:lvl>
  </w:abstractNum>
  <w:abstractNum w:abstractNumId="17">
    <w:nsid w:val="440BADFC"/>
    <w:multiLevelType w:val="hybridMultilevel"/>
    <w:lvl w:ilvl="0">
      <w:lvlJc w:val="left"/>
      <w:lvlText w:val="%1."/>
      <w:numFmt w:val="decimal"/>
      <w:start w:val="14"/>
    </w:lvl>
  </w:abstractNum>
  <w:abstractNum w:abstractNumId="18">
    <w:nsid w:val="5072367"/>
    <w:multiLevelType w:val="hybridMultilevel"/>
    <w:lvl w:ilvl="0">
      <w:lvlJc w:val="left"/>
      <w:lvlText w:val="%1."/>
      <w:numFmt w:val="decimal"/>
      <w:start w:val="15"/>
    </w:lvl>
  </w:abstractNum>
  <w:abstractNum w:abstractNumId="19">
    <w:nsid w:val="3804823E"/>
    <w:multiLevelType w:val="hybridMultilevel"/>
    <w:lvl w:ilvl="0">
      <w:lvlJc w:val="left"/>
      <w:lvlText w:val="%1."/>
      <w:numFmt w:val="decimal"/>
      <w:start w:val="16"/>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lvl w:ilvl="1">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22"/>
    </w:lvl>
  </w:abstractNum>
  <w:abstractNum w:abstractNumId="47">
    <w:nsid w:val="3DC240FB"/>
    <w:multiLevelType w:val="hybridMultilevel"/>
    <w:lvl w:ilvl="0">
      <w:lvlJc w:val="left"/>
      <w:lvlText w:val="%1"/>
      <w:numFmt w:val="decimal"/>
      <w:start w:val="101"/>
    </w:lvl>
  </w:abstractNum>
  <w:abstractNum w:abstractNumId="48">
    <w:nsid w:val="1BA026FA"/>
    <w:multiLevelType w:val="hybridMultilevel"/>
    <w:lvl w:ilvl="0">
      <w:lvlJc w:val="left"/>
      <w:lvlText w:val="%1"/>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9" Type="http://schemas.openxmlformats.org/officeDocument/2006/relationships/hyperlink" Target="http://www.sec.gov/Archives/edgar/data/77360/000110465922038083/tm2210380d1_ex4-1.htm" TargetMode="External"/><Relationship Id="rId50" Type="http://schemas.openxmlformats.org/officeDocument/2006/relationships/hyperlink" Target="http://www.sec.gov/Archives/edgar/data/77360/000007736022000008/exhibit101purchase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2022-04-21T15:47:49Z</dcterms:created>
  <dcterms:modified xsi:type="dcterms:W3CDTF">2022-04-21T15:47:49Z</dcterms:modified>
</cp:coreProperties>
</file>