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4f75556dbe42480088dae580e614fd1d_7">
        <w:r>
          <w:rPr>
            <w:rStyle w:val="InternetLink"/>
            <w:rFonts w:ascii="Times New Roman;sans-serif" w:hAnsi="Times New Roman;sans-serif"/>
            <w:b w:val="false"/>
            <w:color w:val="0000FF"/>
            <w:sz w:val="16"/>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FORM 10-Q </w:t>
      </w:r>
    </w:p>
    <w:tbl>
      <w:tblPr>
        <w:tblW w:w="9836" w:type="dxa"/>
        <w:jc w:val="left"/>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 the Quarterly Period Ended March 31, 2025</w:t>
            </w:r>
          </w:p>
        </w:tc>
      </w:tr>
    </w:tbl>
    <w:p>
      <w:pPr>
        <w:pStyle w:val="TextBody"/>
        <w:bidi w:val="0"/>
        <w:spacing w:lineRule="auto" w:line="288" w:before="0" w:after="0"/>
        <w:jc w:val="center"/>
        <w:rPr/>
      </w:pPr>
      <w:r>
        <w:rPr>
          <w:rFonts w:ascii="Times New Roman;sans-serif" w:hAnsi="Times New Roman;sans-serif"/>
          <w:b w:val="false"/>
          <w:color w:val="000000"/>
          <w:sz w:val="20"/>
        </w:rPr>
        <w:t>OR</w:t>
      </w:r>
      <w:r>
        <w:rPr>
          <w:color w:val="000000"/>
        </w:rPr>
        <w:t> </w:t>
      </w:r>
    </w:p>
    <w:tbl>
      <w:tblPr>
        <w:tblW w:w="9806" w:type="dxa"/>
        <w:jc w:val="left"/>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val="false"/>
          <w:color w:val="000000"/>
          <w:sz w:val="20"/>
        </w:rPr>
        <w:t>Commission file number:</w:t>
      </w:r>
      <w:r>
        <w:rPr>
          <w:color w:val="000000"/>
        </w:rPr>
        <w:t xml:space="preserve"> </w:t>
      </w:r>
      <w:r>
        <w:rPr>
          <w:rFonts w:ascii="Times New Roman;sans-serif" w:hAnsi="Times New Roman;sans-serif"/>
          <w:b/>
          <w:color w:val="000000"/>
          <w:sz w:val="20"/>
        </w:rPr>
        <w:t xml:space="preserve">001-11625 </w:t>
      </w:r>
    </w:p>
    <w:p>
      <w:pPr>
        <w:pStyle w:val="TextBody"/>
        <w:bidi w:val="0"/>
        <w:spacing w:before="100" w:after="283"/>
        <w:jc w:val="center"/>
        <w:rPr/>
      </w:pPr>
      <w:r>
        <w:rPr/>
        <w:drawing>
          <wp:inline distT="0" distB="0" distL="0" distR="0">
            <wp:extent cx="2190750"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90750" cy="552450"/>
                    </a:xfrm>
                    <a:prstGeom prst="rect">
                      <a:avLst/>
                    </a:prstGeom>
                  </pic:spPr>
                </pic:pic>
              </a:graphicData>
            </a:graphic>
          </wp:inline>
        </w:drawing>
      </w:r>
    </w:p>
    <w:tbl>
      <w:tblPr>
        <w:tblW w:w="1095" w:type="dxa"/>
        <w:jc w:val="center"/>
        <w:tblInd w:w="0" w:type="dxa"/>
        <w:tblLayout w:type="fixed"/>
        <w:tblCellMar>
          <w:top w:w="28" w:type="dxa"/>
          <w:left w:w="28" w:type="dxa"/>
          <w:bottom w:w="28" w:type="dxa"/>
          <w:right w:w="28" w:type="dxa"/>
        </w:tblCellMar>
      </w:tblPr>
      <w:tblGrid>
        <w:gridCol w:w="351"/>
        <w:gridCol w:w="308"/>
        <w:gridCol w:w="436"/>
      </w:tblGrid>
      <w:tr>
        <w:trPr/>
        <w:tc>
          <w:tcPr>
            <w:tcW w:w="35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Pentair plc</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9374" w:type="dxa"/>
        <w:jc w:val="left"/>
        <w:tblInd w:w="0" w:type="dxa"/>
        <w:tblLayout w:type="fixed"/>
        <w:tblCellMar>
          <w:top w:w="28" w:type="dxa"/>
          <w:left w:w="28" w:type="dxa"/>
          <w:bottom w:w="28" w:type="dxa"/>
          <w:right w:w="28" w:type="dxa"/>
        </w:tblCellMar>
      </w:tblPr>
      <w:tblGrid>
        <w:gridCol w:w="465"/>
        <w:gridCol w:w="409"/>
        <w:gridCol w:w="409"/>
        <w:gridCol w:w="460"/>
        <w:gridCol w:w="460"/>
        <w:gridCol w:w="460"/>
        <w:gridCol w:w="460"/>
        <w:gridCol w:w="460"/>
        <w:gridCol w:w="460"/>
        <w:gridCol w:w="415"/>
        <w:gridCol w:w="415"/>
        <w:gridCol w:w="415"/>
        <w:gridCol w:w="284"/>
        <w:gridCol w:w="284"/>
        <w:gridCol w:w="286"/>
        <w:gridCol w:w="300"/>
        <w:gridCol w:w="300"/>
        <w:gridCol w:w="301"/>
        <w:gridCol w:w="499"/>
        <w:gridCol w:w="499"/>
        <w:gridCol w:w="501"/>
        <w:gridCol w:w="244"/>
        <w:gridCol w:w="244"/>
        <w:gridCol w:w="344"/>
      </w:tblGrid>
      <w:tr>
        <w:trPr/>
        <w:tc>
          <w:tcPr>
            <w:tcW w:w="46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5288"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Ireland</w:t>
            </w:r>
          </w:p>
        </w:tc>
        <w:tc>
          <w:tcPr>
            <w:tcW w:w="4086"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98-1141328</w:t>
            </w:r>
          </w:p>
        </w:tc>
      </w:tr>
      <w:tr>
        <w:trPr/>
        <w:tc>
          <w:tcPr>
            <w:tcW w:w="5288"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408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Regal House, 70 London Road, </w:t>
            </w:r>
          </w:p>
        </w:tc>
        <w:tc>
          <w:tcPr>
            <w:tcW w:w="12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Twickenham,</w:t>
            </w:r>
          </w:p>
        </w:tc>
        <w:tc>
          <w:tcPr>
            <w:tcW w:w="8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London, </w:t>
            </w:r>
          </w:p>
        </w:tc>
        <w:tc>
          <w:tcPr>
            <w:tcW w:w="9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TW13QS</w:t>
            </w:r>
          </w:p>
        </w:tc>
        <w:tc>
          <w:tcPr>
            <w:tcW w:w="14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United Kingdom</w:t>
            </w:r>
          </w:p>
        </w:tc>
        <w:tc>
          <w:tcPr>
            <w:tcW w:w="83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374" w:type="dxa"/>
            <w:gridSpan w:val="2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r>
    </w:tbl>
    <w:p>
      <w:pPr>
        <w:pStyle w:val="TextBody"/>
        <w:bidi w:val="0"/>
        <w:spacing w:lineRule="auto" w:line="288" w:before="80" w:after="283"/>
        <w:jc w:val="center"/>
        <w:rPr/>
      </w:pPr>
      <w:r>
        <w:rPr>
          <w:rFonts w:ascii="Times New Roman;sans-serif" w:hAnsi="Times New Roman;sans-serif"/>
          <w:b w:val="false"/>
          <w:color w:val="000000"/>
          <w:sz w:val="20"/>
        </w:rPr>
        <w:t>Registrant’s telephone number, including area code:</w:t>
      </w:r>
      <w:r>
        <w:rPr>
          <w:color w:val="000000"/>
        </w:rPr>
        <w:t xml:space="preserve"> </w:t>
      </w:r>
      <w:r>
        <w:rPr>
          <w:rFonts w:ascii="Times New Roman;sans-serif" w:hAnsi="Times New Roman;sans-serif"/>
          <w:b/>
          <w:color w:val="000000"/>
          <w:sz w:val="20"/>
        </w:rPr>
        <w:t xml:space="preserve">44-74-9421-6154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268" w:type="dxa"/>
        <w:jc w:val="center"/>
        <w:tblInd w:w="0" w:type="dxa"/>
        <w:tblLayout w:type="fixed"/>
        <w:tblCellMar>
          <w:top w:w="28" w:type="dxa"/>
          <w:left w:w="28" w:type="dxa"/>
          <w:bottom w:w="28" w:type="dxa"/>
          <w:right w:w="28" w:type="dxa"/>
        </w:tblCellMar>
      </w:tblPr>
      <w:tblGrid>
        <w:gridCol w:w="1428"/>
        <w:gridCol w:w="1250"/>
        <w:gridCol w:w="1266"/>
        <w:gridCol w:w="539"/>
        <w:gridCol w:w="539"/>
        <w:gridCol w:w="541"/>
        <w:gridCol w:w="1085"/>
        <w:gridCol w:w="1085"/>
        <w:gridCol w:w="1535"/>
      </w:tblGrid>
      <w:tr>
        <w:trPr/>
        <w:tc>
          <w:tcPr>
            <w:tcW w:w="142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Ordinary Shares, nominal value $0.01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PNR</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88" w:before="80" w:after="283"/>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120" w:after="283"/>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120" w:after="283"/>
        <w:jc w:val="both"/>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r>
        <w:rPr>
          <w:color w:val="000000"/>
        </w:rPr>
        <w:t> </w:t>
      </w:r>
    </w:p>
    <w:tbl>
      <w:tblPr>
        <w:tblW w:w="9871"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480"/>
        <w:gridCol w:w="480"/>
        <w:gridCol w:w="481"/>
        <w:gridCol w:w="109"/>
        <w:gridCol w:w="109"/>
        <w:gridCol w:w="109"/>
        <w:gridCol w:w="600"/>
        <w:gridCol w:w="600"/>
        <w:gridCol w:w="601"/>
        <w:gridCol w:w="109"/>
        <w:gridCol w:w="109"/>
        <w:gridCol w:w="109"/>
        <w:gridCol w:w="505"/>
        <w:gridCol w:w="505"/>
        <w:gridCol w:w="506"/>
        <w:gridCol w:w="109"/>
        <w:gridCol w:w="109"/>
        <w:gridCol w:w="109"/>
        <w:gridCol w:w="504"/>
        <w:gridCol w:w="504"/>
        <w:gridCol w:w="506"/>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Smaller reporting</w:t>
              <w:br/>
              <w:t>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Emerging growth</w:t>
              <w:br/>
              <w:t>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100"/>
        <w:jc w:val="both"/>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31, 2025, 164,526,997 shares of registrant’s common stock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f75556dbe42480088dae580e614fd1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Pentair plc and Subsidiaries</w:t>
      </w:r>
    </w:p>
    <w:p>
      <w:pPr>
        <w:pStyle w:val="TextBody"/>
        <w:bidi w:val="0"/>
        <w:spacing w:lineRule="auto" w:line="288" w:before="0" w:after="0"/>
        <w:jc w:val="left"/>
        <w:rPr>
          <w:color w:val="000000"/>
        </w:rPr>
      </w:pPr>
      <w:r>
        <w:rPr>
          <w:color w:val="000000"/>
        </w:rPr>
        <w:t> </w:t>
      </w:r>
    </w:p>
    <w:tbl>
      <w:tblPr>
        <w:tblW w:w="9646" w:type="dxa"/>
        <w:jc w:val="left"/>
        <w:tblInd w:w="0" w:type="dxa"/>
        <w:tblLayout w:type="fixed"/>
        <w:tblCellMar>
          <w:top w:w="28" w:type="dxa"/>
          <w:left w:w="28" w:type="dxa"/>
          <w:bottom w:w="28" w:type="dxa"/>
          <w:right w:w="28" w:type="dxa"/>
        </w:tblCellMar>
      </w:tblPr>
      <w:tblGrid>
        <w:gridCol w:w="621"/>
        <w:gridCol w:w="545"/>
        <w:gridCol w:w="545"/>
        <w:gridCol w:w="2439"/>
        <w:gridCol w:w="2439"/>
        <w:gridCol w:w="2486"/>
        <w:gridCol w:w="167"/>
        <w:gridCol w:w="167"/>
        <w:gridCol w:w="237"/>
      </w:tblGrid>
      <w:tr>
        <w:trPr/>
        <w:tc>
          <w:tcPr>
            <w:tcW w:w="62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075"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0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PART I FINANCIAL INFORMATION</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75556dbe42480088dae580e614fd1d_10">
              <w:r>
                <w:rPr>
                  <w:rStyle w:val="InternetLink"/>
                  <w:rFonts w:ascii="Times New Roman;sans-serif" w:hAnsi="Times New Roman;sans-serif"/>
                  <w:b w:val="false"/>
                  <w:color w:val="0000FF"/>
                  <w:sz w:val="20"/>
                  <w:u w:val="single"/>
                </w:rPr>
                <w:t>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75556dbe42480088dae580e614fd1d_13">
              <w:r>
                <w:rPr>
                  <w:rStyle w:val="InternetLink"/>
                  <w:rFonts w:ascii="Times New Roman;sans-serif" w:hAnsi="Times New Roman;sans-serif"/>
                  <w:b w:val="false"/>
                  <w:color w:val="0000FF"/>
                  <w:sz w:val="20"/>
                  <w:u w:val="single"/>
                </w:rPr>
                <w:t>Condensed Consolidated Statements of Operations and Comprehensive Income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f75556dbe42480088dae580e614fd1d_13">
              <w:r>
                <w:rPr>
                  <w:rStyle w:val="InternetLink"/>
                  <w:rFonts w:ascii="Times New Roman;sans-serif" w:hAnsi="Times New Roman;sans-serif"/>
                  <w:b w:val="false"/>
                  <w:color w:val="0000FF"/>
                  <w:sz w:val="20"/>
                  <w:u w:val="single"/>
                </w:rPr>
                <w:t>3</w:t>
              </w:r>
            </w:hyperlink>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75556dbe42480088dae580e614fd1d_16">
              <w:r>
                <w:rPr>
                  <w:rStyle w:val="InternetLink"/>
                  <w:rFonts w:ascii="Times New Roman;sans-serif" w:hAnsi="Times New Roman;sans-serif"/>
                  <w:b w:val="false"/>
                  <w:color w:val="0000FF"/>
                  <w:sz w:val="20"/>
                  <w:u w:val="single"/>
                </w:rPr>
                <w:t>Condensed 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f75556dbe42480088dae580e614fd1d_16">
              <w:r>
                <w:rPr>
                  <w:rStyle w:val="InternetLink"/>
                  <w:rFonts w:ascii="Times New Roman;sans-serif" w:hAnsi="Times New Roman;sans-serif"/>
                  <w:b w:val="false"/>
                  <w:color w:val="0000FF"/>
                  <w:sz w:val="20"/>
                  <w:u w:val="single"/>
                </w:rPr>
                <w:t>4</w:t>
              </w:r>
            </w:hyperlink>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75556dbe42480088dae580e614fd1d_19">
              <w:r>
                <w:rPr>
                  <w:rStyle w:val="InternetLink"/>
                  <w:rFonts w:ascii="Times New Roman;sans-serif" w:hAnsi="Times New Roman;sans-serif"/>
                  <w:b w:val="false"/>
                  <w:color w:val="0000FF"/>
                  <w:sz w:val="20"/>
                  <w:u w:val="single"/>
                </w:rPr>
                <w:t>Condensed 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f75556dbe42480088dae580e614fd1d_19">
              <w:r>
                <w:rPr>
                  <w:rStyle w:val="InternetLink"/>
                  <w:rFonts w:ascii="Times New Roman;sans-serif" w:hAnsi="Times New Roman;sans-serif"/>
                  <w:b w:val="false"/>
                  <w:color w:val="0000FF"/>
                  <w:sz w:val="20"/>
                  <w:u w:val="single"/>
                </w:rPr>
                <w:t>5</w:t>
              </w:r>
            </w:hyperlink>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75556dbe42480088dae580e614fd1d_22">
              <w:r>
                <w:rPr>
                  <w:rStyle w:val="InternetLink"/>
                  <w:rFonts w:ascii="Times New Roman;sans-serif" w:hAnsi="Times New Roman;sans-serif"/>
                  <w:b w:val="false"/>
                  <w:color w:val="0000FF"/>
                  <w:sz w:val="20"/>
                  <w:u w:val="single"/>
                </w:rPr>
                <w:t>Condensed Consolidated Statements of Changes in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f75556dbe42480088dae580e614fd1d_22">
              <w:r>
                <w:rPr>
                  <w:rStyle w:val="InternetLink"/>
                  <w:rFonts w:ascii="Times New Roman;sans-serif" w:hAnsi="Times New Roman;sans-serif"/>
                  <w:b w:val="false"/>
                  <w:color w:val="0000FF"/>
                  <w:sz w:val="20"/>
                  <w:u w:val="single"/>
                </w:rPr>
                <w:t>6</w:t>
              </w:r>
            </w:hyperlink>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75556dbe42480088dae580e614fd1d_25">
              <w:r>
                <w:rPr>
                  <w:rStyle w:val="InternetLink"/>
                  <w:rFonts w:ascii="Times New Roman;sans-serif" w:hAnsi="Times New Roman;sans-serif"/>
                  <w:b w:val="false"/>
                  <w:color w:val="0000FF"/>
                  <w:sz w:val="20"/>
                  <w:u w:val="single"/>
                </w:rPr>
                <w:t>Notes to Condensed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f75556dbe42480088dae580e614fd1d_25">
              <w:r>
                <w:rPr>
                  <w:rStyle w:val="InternetLink"/>
                  <w:rFonts w:ascii="Times New Roman;sans-serif" w:hAnsi="Times New Roman;sans-serif"/>
                  <w:b w:val="false"/>
                  <w:color w:val="0000FF"/>
                  <w:sz w:val="20"/>
                  <w:u w:val="single"/>
                </w:rPr>
                <w:t>7</w:t>
              </w:r>
            </w:hyperlink>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75556dbe42480088dae580e614fd1d_7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f75556dbe42480088dae580e614fd1d_79">
              <w:r>
                <w:rPr>
                  <w:rStyle w:val="InternetLink"/>
                  <w:rFonts w:ascii="Times New Roman;sans-serif" w:hAnsi="Times New Roman;sans-serif"/>
                  <w:b w:val="false"/>
                  <w:color w:val="0000FF"/>
                  <w:sz w:val="20"/>
                  <w:u w:val="single"/>
                </w:rPr>
                <w:t>20</w:t>
              </w:r>
            </w:hyperlink>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75556dbe42480088dae580e614fd1d_100">
              <w:r>
                <w:rPr>
                  <w:rStyle w:val="InternetLink"/>
                  <w:rFonts w:ascii="Times New Roman;sans-serif" w:hAnsi="Times New Roman;sans-serif"/>
                  <w:b w:val="false"/>
                  <w:color w:val="0000FF"/>
                  <w:sz w:val="20"/>
                  <w:u w:val="singl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f75556dbe42480088dae580e614fd1d_100">
              <w:r>
                <w:rPr>
                  <w:rStyle w:val="InternetLink"/>
                  <w:rFonts w:ascii="Times New Roman;sans-serif" w:hAnsi="Times New Roman;sans-serif"/>
                  <w:b w:val="false"/>
                  <w:color w:val="0000FF"/>
                  <w:sz w:val="20"/>
                  <w:u w:val="single"/>
                </w:rPr>
                <w:t>31</w:t>
              </w:r>
            </w:hyperlink>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75556dbe42480088dae580e614fd1d_103">
              <w:r>
                <w:rPr>
                  <w:rStyle w:val="InternetLink"/>
                  <w:rFonts w:ascii="Times New Roman;sans-serif" w:hAnsi="Times New Roman;sans-serif"/>
                  <w:b w:val="false"/>
                  <w:color w:val="0000FF"/>
                  <w:sz w:val="20"/>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f75556dbe42480088dae580e614fd1d_103">
              <w:r>
                <w:rPr>
                  <w:rStyle w:val="InternetLink"/>
                  <w:rFonts w:ascii="Times New Roman;sans-serif" w:hAnsi="Times New Roman;sans-serif"/>
                  <w:b w:val="false"/>
                  <w:color w:val="0000FF"/>
                  <w:sz w:val="20"/>
                  <w:u w:val="single"/>
                </w:rPr>
                <w:t>31</w:t>
              </w:r>
            </w:hyperlink>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PART II OTHER INFORMATION</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75556dbe42480088dae580e614fd1d_106">
              <w:r>
                <w:rPr>
                  <w:rStyle w:val="InternetLink"/>
                  <w:rFonts w:ascii="Times New Roman;sans-serif" w:hAnsi="Times New Roman;sans-serif"/>
                  <w:b w:val="false"/>
                  <w:color w:val="0000FF"/>
                  <w:sz w:val="20"/>
                  <w:u w:val="singl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f75556dbe42480088dae580e614fd1d_106">
              <w:r>
                <w:rPr>
                  <w:rStyle w:val="InternetLink"/>
                  <w:rFonts w:ascii="Times New Roman;sans-serif" w:hAnsi="Times New Roman;sans-serif"/>
                  <w:b w:val="false"/>
                  <w:color w:val="0000FF"/>
                  <w:sz w:val="20"/>
                  <w:u w:val="single"/>
                </w:rPr>
                <w:t>31</w:t>
              </w:r>
            </w:hyperlink>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75556dbe42480088dae580e614fd1d_109">
              <w:r>
                <w:rPr>
                  <w:rStyle w:val="InternetLink"/>
                  <w:rFonts w:ascii="Times New Roman;sans-serif" w:hAnsi="Times New Roman;sans-serif"/>
                  <w:b w:val="false"/>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f75556dbe42480088dae580e614fd1d_109">
              <w:r>
                <w:rPr>
                  <w:rStyle w:val="InternetLink"/>
                  <w:rFonts w:ascii="Times New Roman;sans-serif" w:hAnsi="Times New Roman;sans-serif"/>
                  <w:b w:val="false"/>
                  <w:color w:val="0000FF"/>
                  <w:sz w:val="20"/>
                  <w:u w:val="single"/>
                </w:rPr>
                <w:t>31</w:t>
              </w:r>
            </w:hyperlink>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75556dbe42480088dae580e614fd1d_112">
              <w:r>
                <w:rPr>
                  <w:rStyle w:val="InternetLink"/>
                  <w:rFonts w:ascii="Times New Roman;sans-serif" w:hAnsi="Times New Roman;sans-serif"/>
                  <w:b w:val="false"/>
                  <w:color w:val="0000FF"/>
                  <w:sz w:val="20"/>
                  <w:u w:val="single"/>
                </w:rPr>
                <w:t>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f75556dbe42480088dae580e614fd1d_112">
              <w:r>
                <w:rPr>
                  <w:rStyle w:val="InternetLink"/>
                  <w:rFonts w:ascii="Times New Roman;sans-serif" w:hAnsi="Times New Roman;sans-serif"/>
                  <w:b w:val="false"/>
                  <w:color w:val="0000FF"/>
                  <w:sz w:val="20"/>
                  <w:u w:val="single"/>
                </w:rPr>
                <w:t>32</w:t>
              </w:r>
            </w:hyperlink>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75556dbe42480088dae580e614fd1d_115">
              <w:r>
                <w:rPr>
                  <w:rStyle w:val="InternetLink"/>
                  <w:rFonts w:ascii="Times New Roman;sans-serif" w:hAnsi="Times New Roman;sans-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f75556dbe42480088dae580e614fd1d_112">
              <w:r>
                <w:rPr>
                  <w:rStyle w:val="InternetLink"/>
                  <w:rFonts w:ascii="Times New Roman;sans-serif" w:hAnsi="Times New Roman;sans-serif"/>
                  <w:b w:val="false"/>
                  <w:color w:val="0000FF"/>
                  <w:sz w:val="20"/>
                  <w:u w:val="single"/>
                </w:rPr>
                <w:t>32</w:t>
              </w:r>
            </w:hyperlink>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75556dbe42480088dae580e614fd1d_121">
              <w:r>
                <w:rPr>
                  <w:rStyle w:val="InternetLink"/>
                  <w:rFonts w:ascii="Times New Roman;sans-serif" w:hAnsi="Times New Roman;sans-serif"/>
                  <w:b w:val="false"/>
                  <w:color w:val="0000FF"/>
                  <w:sz w:val="20"/>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f75556dbe42480088dae580e614fd1d_121">
              <w:r>
                <w:rPr>
                  <w:rStyle w:val="InternetLink"/>
                  <w:rFonts w:ascii="Times New Roman;sans-serif" w:hAnsi="Times New Roman;sans-serif"/>
                  <w:b w:val="false"/>
                  <w:color w:val="0000FF"/>
                  <w:sz w:val="20"/>
                  <w:u w:val="single"/>
                </w:rPr>
                <w:t>33</w:t>
              </w:r>
            </w:hyperlink>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75556dbe42480088dae580e614fd1d_127">
              <w:r>
                <w:rPr>
                  <w:rStyle w:val="InternetLink"/>
                  <w:rFonts w:ascii="Times New Roman;sans-serif" w:hAnsi="Times New Roman;sans-serif"/>
                  <w:b w:val="false"/>
                  <w:color w:val="0000FF"/>
                  <w:sz w:val="20"/>
                  <w:u w:val="singl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f75556dbe42480088dae580e614fd1d_127">
              <w:r>
                <w:rPr>
                  <w:rStyle w:val="InternetLink"/>
                  <w:rFonts w:ascii="Times New Roman;sans-serif" w:hAnsi="Times New Roman;sans-serif"/>
                  <w:b w:val="false"/>
                  <w:color w:val="0000FF"/>
                  <w:sz w:val="20"/>
                  <w:u w:val="single"/>
                </w:rPr>
                <w:t>34</w:t>
              </w:r>
            </w:hyperlink>
          </w:p>
        </w:tc>
      </w:tr>
    </w:tbl>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4f75556dbe42480088dae580e614fd1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Pentair plc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Income (Unaudited)</w:t>
      </w:r>
    </w:p>
    <w:tbl>
      <w:tblPr>
        <w:tblW w:w="9029" w:type="dxa"/>
        <w:jc w:val="left"/>
        <w:tblInd w:w="0" w:type="dxa"/>
        <w:tblLayout w:type="fixed"/>
        <w:tblCellMar>
          <w:top w:w="28" w:type="dxa"/>
          <w:left w:w="28" w:type="dxa"/>
          <w:bottom w:w="28" w:type="dxa"/>
          <w:right w:w="28" w:type="dxa"/>
        </w:tblCellMar>
      </w:tblPr>
      <w:tblGrid>
        <w:gridCol w:w="2121"/>
        <w:gridCol w:w="1869"/>
        <w:gridCol w:w="1875"/>
        <w:gridCol w:w="109"/>
        <w:gridCol w:w="109"/>
        <w:gridCol w:w="140"/>
        <w:gridCol w:w="140"/>
        <w:gridCol w:w="140"/>
        <w:gridCol w:w="271"/>
        <w:gridCol w:w="984"/>
        <w:gridCol w:w="140"/>
        <w:gridCol w:w="211"/>
        <w:gridCol w:w="766"/>
        <w:gridCol w:w="154"/>
      </w:tblGrid>
      <w:tr>
        <w:trPr/>
        <w:tc>
          <w:tcPr>
            <w:tcW w:w="2121"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131" w:type="dxa"/>
            <w:gridSpan w:val="3"/>
            <w:tcBorders/>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per-share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r>
      <w:tr>
        <w:trPr/>
        <w:tc>
          <w:tcPr>
            <w:tcW w:w="5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from continuing operations before income taxes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income from continuing operations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discontinued operations,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cumulative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market value of derivative financial instruments, net of tax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ordinary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ordinary share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earnings per ordinary share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ordinary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f75556dbe42480088dae580e614fd1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Pentair plc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(Unaudited)</w:t>
      </w:r>
    </w:p>
    <w:tbl>
      <w:tblPr>
        <w:tblW w:w="10205" w:type="dxa"/>
        <w:jc w:val="center"/>
        <w:tblInd w:w="0" w:type="dxa"/>
        <w:tblLayout w:type="fixed"/>
        <w:tblCellMar>
          <w:top w:w="28" w:type="dxa"/>
          <w:left w:w="28" w:type="dxa"/>
          <w:bottom w:w="28" w:type="dxa"/>
          <w:right w:w="28" w:type="dxa"/>
        </w:tblCellMar>
      </w:tblPr>
      <w:tblGrid>
        <w:gridCol w:w="2932"/>
        <w:gridCol w:w="2463"/>
        <w:gridCol w:w="2471"/>
        <w:gridCol w:w="211"/>
        <w:gridCol w:w="766"/>
        <w:gridCol w:w="109"/>
        <w:gridCol w:w="233"/>
        <w:gridCol w:w="848"/>
        <w:gridCol w:w="172"/>
      </w:tblGrid>
      <w:tr>
        <w:trPr/>
        <w:tc>
          <w:tcPr>
            <w:tcW w:w="2932"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8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125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7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per-share data</w:t>
            </w:r>
          </w:p>
        </w:tc>
        <w:tc>
          <w:tcPr>
            <w:tcW w:w="108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25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0205"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r>
      <w:tr>
        <w:trPr/>
        <w:tc>
          <w:tcPr>
            <w:tcW w:w="7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allowances of $9.7 and $9.1, respectively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78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assets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78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assets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4,651.6 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6,446.5 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Equity</w:t>
            </w:r>
          </w:p>
        </w:tc>
      </w:tr>
      <w:tr>
        <w:trPr/>
        <w:tc>
          <w:tcPr>
            <w:tcW w:w="7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short-term borrowings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compensation and benefits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78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liabilities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other post-retirement compensation and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78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15)</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Equity</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Ordinary shares $0.01 par value, 426.0 authorized, 164.5 and 164.8 issued at March 31, 2025 and December 31, 2024, respectively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7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equity </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6,446.5 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f75556dbe42480088dae580e614fd1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Pentair plc and Subsidiaries</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(Unaudited) </w:t>
      </w:r>
    </w:p>
    <w:tbl>
      <w:tblPr>
        <w:tblW w:w="10205" w:type="dxa"/>
        <w:jc w:val="center"/>
        <w:tblInd w:w="0" w:type="dxa"/>
        <w:tblLayout w:type="fixed"/>
        <w:tblCellMar>
          <w:top w:w="28" w:type="dxa"/>
          <w:left w:w="28" w:type="dxa"/>
          <w:bottom w:w="28" w:type="dxa"/>
          <w:right w:w="28" w:type="dxa"/>
        </w:tblCellMar>
      </w:tblPr>
      <w:tblGrid>
        <w:gridCol w:w="3033"/>
        <w:gridCol w:w="2580"/>
        <w:gridCol w:w="2612"/>
        <w:gridCol w:w="218"/>
        <w:gridCol w:w="636"/>
        <w:gridCol w:w="112"/>
        <w:gridCol w:w="217"/>
        <w:gridCol w:w="635"/>
        <w:gridCol w:w="162"/>
      </w:tblGrid>
      <w:tr>
        <w:trPr/>
        <w:tc>
          <w:tcPr>
            <w:tcW w:w="3033"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2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8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8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r>
      <w:tr>
        <w:trPr/>
        <w:tc>
          <w:tcPr>
            <w:tcW w:w="8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discontinued operations, net of tax</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8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Adjustments to reconcile net income from continuing operations to net cash provided by (used for) operating activities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income of unconsolidated subsidiaries</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8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 and write-offs</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822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822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822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822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8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Changes in assets and liabilities, net of effects of business acquisitions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compensation and benefits</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 and liabilities</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operating activities of continuing operations</w:t>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operating activities of discontinued operations</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operating activities</w:t>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822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822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822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822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822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82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w:t>
            </w:r>
          </w:p>
        </w:tc>
        <w:tc>
          <w:tcPr>
            <w:tcW w:w="8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repayments of short-term borrowings</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borrowings of revolving long-term debt</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8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long-term debt</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822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8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to employees, net of shares withheld</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ordinary shares</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822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822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82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8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8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 of exchange rate changes on cash and cash equivalents</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 in cash and cash equivalents</w:t>
            </w:r>
          </w:p>
        </w:tc>
        <w:tc>
          <w:tcPr>
            <w:tcW w:w="8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period</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end of period</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f75556dbe42480088dae580e614fd1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Pentair plc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Equity (Unaudited)</w:t>
      </w:r>
    </w:p>
    <w:tbl>
      <w:tblPr>
        <w:tblW w:w="10205" w:type="dxa"/>
        <w:jc w:val="center"/>
        <w:tblInd w:w="0" w:type="dxa"/>
        <w:tblLayout w:type="fixed"/>
        <w:tblCellMar>
          <w:top w:w="28" w:type="dxa"/>
          <w:left w:w="28" w:type="dxa"/>
          <w:bottom w:w="28" w:type="dxa"/>
          <w:right w:w="28" w:type="dxa"/>
        </w:tblCellMar>
      </w:tblPr>
      <w:tblGrid>
        <w:gridCol w:w="697"/>
        <w:gridCol w:w="384"/>
        <w:gridCol w:w="388"/>
        <w:gridCol w:w="308"/>
        <w:gridCol w:w="308"/>
        <w:gridCol w:w="266"/>
        <w:gridCol w:w="267"/>
        <w:gridCol w:w="412"/>
        <w:gridCol w:w="110"/>
        <w:gridCol w:w="109"/>
        <w:gridCol w:w="109"/>
        <w:gridCol w:w="109"/>
        <w:gridCol w:w="109"/>
        <w:gridCol w:w="1053"/>
        <w:gridCol w:w="214"/>
        <w:gridCol w:w="780"/>
        <w:gridCol w:w="111"/>
        <w:gridCol w:w="276"/>
        <w:gridCol w:w="1004"/>
        <w:gridCol w:w="143"/>
        <w:gridCol w:w="211"/>
        <w:gridCol w:w="633"/>
        <w:gridCol w:w="109"/>
        <w:gridCol w:w="109"/>
        <w:gridCol w:w="109"/>
        <w:gridCol w:w="109"/>
        <w:gridCol w:w="631"/>
        <w:gridCol w:w="211"/>
        <w:gridCol w:w="766"/>
        <w:gridCol w:w="160"/>
      </w:tblGrid>
      <w:tr>
        <w:trPr/>
        <w:tc>
          <w:tcPr>
            <w:tcW w:w="69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67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Ordinary shares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paid-in capital</w:t>
            </w:r>
          </w:p>
        </w:tc>
        <w:tc>
          <w:tcPr>
            <w:tcW w:w="11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Retained earnings</w:t>
            </w:r>
          </w:p>
        </w:tc>
        <w:tc>
          <w:tcPr>
            <w:tcW w:w="14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other</w:t>
              <w:br/>
              <w:t>comprehensive (loss) income</w:t>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Total</w:t>
            </w:r>
          </w:p>
        </w:tc>
        <w:tc>
          <w:tcPr>
            <w:tcW w:w="1137" w:type="dxa"/>
            <w:gridSpan w:val="3"/>
            <w:tcBorders/>
          </w:tcPr>
          <w:p>
            <w:pPr>
              <w:pStyle w:val="TableContents"/>
              <w:bidi w:val="0"/>
              <w:spacing w:before="0" w:after="283"/>
              <w:jc w:val="left"/>
              <w:rPr>
                <w:sz w:val="4"/>
                <w:szCs w:val="4"/>
              </w:rPr>
            </w:pPr>
            <w:r>
              <w:rPr>
                <w:sz w:val="4"/>
                <w:szCs w:val="4"/>
              </w:rPr>
            </w:r>
          </w:p>
        </w:tc>
      </w:tr>
      <w:tr>
        <w:trPr/>
        <w:tc>
          <w:tcPr>
            <w:tcW w:w="1469" w:type="dxa"/>
            <w:gridSpan w:val="3"/>
            <w:vMerge w:val="continue"/>
            <w:tcBorders/>
            <w:tcMar>
              <w:top w:w="0" w:type="dxa"/>
              <w:left w:w="0" w:type="dxa"/>
              <w:bottom w:w="0" w:type="dxa"/>
              <w:right w:w="0" w:type="dxa"/>
            </w:tcMar>
            <w:vAlign w:val="center"/>
          </w:tcPr>
          <w:p>
            <w:pPr>
              <w:pStyle w:val="Normal"/>
              <w:bidi w:val="0"/>
              <w:jc w:val="left"/>
              <w:rPr/>
            </w:pPr>
            <w:r>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w:t>
            </w:r>
          </w:p>
        </w:tc>
        <w:tc>
          <w:tcPr>
            <w:tcW w:w="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vMerge w:val="continue"/>
            <w:tcBorders/>
            <w:tcMar>
              <w:top w:w="0" w:type="dxa"/>
              <w:left w:w="0" w:type="dxa"/>
              <w:bottom w:w="0" w:type="dxa"/>
              <w:right w:w="0" w:type="dxa"/>
            </w:tcMar>
            <w:vAlign w:val="center"/>
          </w:tcPr>
          <w:p>
            <w:pPr>
              <w:pStyle w:val="Normal"/>
              <w:bidi w:val="0"/>
              <w:jc w:val="left"/>
              <w:rPr/>
            </w:pPr>
            <w:r>
              <w:rPr/>
            </w:r>
          </w:p>
        </w:tc>
        <w:tc>
          <w:tcPr>
            <w:tcW w:w="1105" w:type="dxa"/>
            <w:gridSpan w:val="3"/>
            <w:vMerge w:val="continue"/>
            <w:tcBorders/>
            <w:tcMar>
              <w:top w:w="0" w:type="dxa"/>
              <w:left w:w="0" w:type="dxa"/>
              <w:bottom w:w="0" w:type="dxa"/>
              <w:right w:w="0" w:type="dxa"/>
            </w:tcMar>
            <w:vAlign w:val="center"/>
          </w:tcPr>
          <w:p>
            <w:pPr>
              <w:pStyle w:val="Normal"/>
              <w:bidi w:val="0"/>
              <w:jc w:val="left"/>
              <w:rPr/>
            </w:pPr>
            <w:r>
              <w:rPr/>
            </w:r>
          </w:p>
        </w:tc>
        <w:tc>
          <w:tcPr>
            <w:tcW w:w="1423" w:type="dxa"/>
            <w:gridSpan w:val="3"/>
            <w:vMerge w:val="continue"/>
            <w:tcBorders/>
            <w:tcMar>
              <w:top w:w="0" w:type="dxa"/>
              <w:left w:w="0" w:type="dxa"/>
              <w:bottom w:w="0" w:type="dxa"/>
              <w:right w:w="0" w:type="dxa"/>
            </w:tcMar>
            <w:vAlign w:val="center"/>
          </w:tcPr>
          <w:p>
            <w:pPr>
              <w:pStyle w:val="Normal"/>
              <w:bidi w:val="0"/>
              <w:jc w:val="left"/>
              <w:rPr/>
            </w:pPr>
            <w:r>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631" w:type="dxa"/>
            <w:vMerge w:val="continue"/>
            <w:tcBorders/>
            <w:tcMar>
              <w:top w:w="0" w:type="dxa"/>
              <w:left w:w="0" w:type="dxa"/>
              <w:bottom w:w="0" w:type="dxa"/>
              <w:right w:w="0" w:type="dxa"/>
            </w:tcMar>
            <w:vAlign w:val="center"/>
          </w:tcPr>
          <w:p>
            <w:pPr>
              <w:pStyle w:val="Normal"/>
              <w:bidi w:val="0"/>
              <w:jc w:val="left"/>
              <w:rPr/>
            </w:pPr>
            <w:r>
              <w:rPr/>
            </w:r>
          </w:p>
        </w:tc>
        <w:tc>
          <w:tcPr>
            <w:tcW w:w="1137" w:type="dxa"/>
            <w:gridSpan w:val="3"/>
            <w:tcBorders/>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December 31, 2024</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$0.25 per share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repurchases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options, net of shares tendered for payment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shares, net of cancellations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surrendered by employees to pay taxes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 March 31, 2025</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2,449.8 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3,633.6 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99"/>
        <w:gridCol w:w="721"/>
        <w:gridCol w:w="730"/>
        <w:gridCol w:w="308"/>
        <w:gridCol w:w="308"/>
        <w:gridCol w:w="266"/>
        <w:gridCol w:w="277"/>
        <w:gridCol w:w="465"/>
        <w:gridCol w:w="124"/>
        <w:gridCol w:w="109"/>
        <w:gridCol w:w="109"/>
        <w:gridCol w:w="109"/>
        <w:gridCol w:w="290"/>
        <w:gridCol w:w="1056"/>
        <w:gridCol w:w="150"/>
        <w:gridCol w:w="247"/>
        <w:gridCol w:w="899"/>
        <w:gridCol w:w="127"/>
        <w:gridCol w:w="392"/>
        <w:gridCol w:w="1176"/>
        <w:gridCol w:w="204"/>
        <w:gridCol w:w="211"/>
        <w:gridCol w:w="766"/>
        <w:gridCol w:w="162"/>
      </w:tblGrid>
      <w:tr>
        <w:trPr/>
        <w:tc>
          <w:tcPr>
            <w:tcW w:w="99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74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Ordinary shares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paid-in capital</w:t>
            </w:r>
          </w:p>
        </w:tc>
        <w:tc>
          <w:tcPr>
            <w:tcW w:w="12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Retained earnings</w:t>
            </w:r>
          </w:p>
        </w:tc>
        <w:tc>
          <w:tcPr>
            <w:tcW w:w="177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Accumulated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other</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comprehensive (loss) income</w:t>
            </w:r>
          </w:p>
        </w:tc>
        <w:tc>
          <w:tcPr>
            <w:tcW w:w="11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Total</w:t>
            </w:r>
          </w:p>
        </w:tc>
      </w:tr>
      <w:tr>
        <w:trPr/>
        <w:tc>
          <w:tcPr>
            <w:tcW w:w="2450" w:type="dxa"/>
            <w:gridSpan w:val="3"/>
            <w:vMerge w:val="continue"/>
            <w:tcBorders/>
            <w:tcMar>
              <w:top w:w="0" w:type="dxa"/>
              <w:left w:w="0" w:type="dxa"/>
              <w:bottom w:w="0" w:type="dxa"/>
              <w:right w:w="0" w:type="dxa"/>
            </w:tcMar>
            <w:vAlign w:val="center"/>
          </w:tcPr>
          <w:p>
            <w:pPr>
              <w:pStyle w:val="Normal"/>
              <w:bidi w:val="0"/>
              <w:jc w:val="left"/>
              <w:rPr/>
            </w:pPr>
            <w:r>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w:t>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96" w:type="dxa"/>
            <w:gridSpan w:val="3"/>
            <w:vMerge w:val="continue"/>
            <w:tcBorders/>
            <w:tcMar>
              <w:top w:w="0" w:type="dxa"/>
              <w:left w:w="0" w:type="dxa"/>
              <w:bottom w:w="0" w:type="dxa"/>
              <w:right w:w="0" w:type="dxa"/>
            </w:tcMar>
            <w:vAlign w:val="center"/>
          </w:tcPr>
          <w:p>
            <w:pPr>
              <w:pStyle w:val="Normal"/>
              <w:bidi w:val="0"/>
              <w:jc w:val="left"/>
              <w:rPr/>
            </w:pPr>
            <w:r>
              <w:rPr/>
            </w:r>
          </w:p>
        </w:tc>
        <w:tc>
          <w:tcPr>
            <w:tcW w:w="1273" w:type="dxa"/>
            <w:gridSpan w:val="3"/>
            <w:vMerge w:val="continue"/>
            <w:tcBorders/>
            <w:tcMar>
              <w:top w:w="0" w:type="dxa"/>
              <w:left w:w="0" w:type="dxa"/>
              <w:bottom w:w="0" w:type="dxa"/>
              <w:right w:w="0" w:type="dxa"/>
            </w:tcMar>
            <w:vAlign w:val="center"/>
          </w:tcPr>
          <w:p>
            <w:pPr>
              <w:pStyle w:val="Normal"/>
              <w:bidi w:val="0"/>
              <w:jc w:val="left"/>
              <w:rPr/>
            </w:pPr>
            <w:r>
              <w:rPr/>
            </w:r>
          </w:p>
        </w:tc>
        <w:tc>
          <w:tcPr>
            <w:tcW w:w="1772" w:type="dxa"/>
            <w:gridSpan w:val="3"/>
            <w:vMerge w:val="continue"/>
            <w:tcBorders/>
            <w:tcMar>
              <w:top w:w="0" w:type="dxa"/>
              <w:left w:w="0" w:type="dxa"/>
              <w:bottom w:w="0" w:type="dxa"/>
              <w:right w:w="0" w:type="dxa"/>
            </w:tcMar>
            <w:vAlign w:val="center"/>
          </w:tcPr>
          <w:p>
            <w:pPr>
              <w:pStyle w:val="Normal"/>
              <w:bidi w:val="0"/>
              <w:jc w:val="left"/>
              <w:rPr/>
            </w:pPr>
            <w:r>
              <w:rPr/>
            </w:r>
          </w:p>
        </w:tc>
        <w:tc>
          <w:tcPr>
            <w:tcW w:w="11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December 31, 2023</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$0.23 per share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options, net of shares tendered for payment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shares, net of cancellations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surrendered by employees to pay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 March 31, 2024</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3,327.2 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5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5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5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5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5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5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5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5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5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5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5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5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5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5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5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5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5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5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See accompanying notes to condensed consolidated financial statements. </w:t>
      </w:r>
    </w:p>
    <w:p>
      <w:pPr>
        <w:pStyle w:val="TextBody"/>
        <w:bidi w:val="0"/>
        <w:spacing w:before="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120"/>
        <w:jc w:val="left"/>
        <w:rPr/>
      </w:pPr>
      <w:hyperlink w:anchor="i4f75556dbe42480088dae580e614fd1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1.Basis of Presentation and Responsibility for Interim Financial Statements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of Pentair plc and its subsidiaries (“we,” “us,” “our,” or “Pentair”) have been prepared following the requirements of the United States (“U.S.”) Securities and Exchange Commission for interim reporting. As permitted under those rules, certain footnotes or other financial information that are normally required by accounting principles generally accepted in the United States of America (“GAAP”) can be condensed or omitted.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responsible for the unaudited condensed consolidated financial statements included in this document. The financial statements include all normal recurring adjustments that are considered necessary for the fair presentation of our financial position and operating results. As these are condensed financial statements, one should also read our consolidated financial statements and notes thereto, which are included in our Annual Report on Form 10-K for the year ended December 31, 2024.</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Revenues, expenses, cash flows, assets and liabilities can and do vary during each quarter of the year. Therefore, the results and trends in these interim financial statements may not be indicative of those for a full year.</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fiscal year ends on December 31. We report our interim quarterly periods on a calendar quarter basis.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2.Revenue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disaggregate our revenue from contracts with customers by reportable segment, geographic location and vertical market, as we believe these best depict how the nature, amount, timing and uncertainty of our revenue and cash flows are affected by economic factors. Refer to Note 14 for revenue disaggregated by reportable segment.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Geographic net sales information, based on geographic destination of the sale, was as follows:</w:t>
      </w:r>
    </w:p>
    <w:tbl>
      <w:tblPr>
        <w:tblW w:w="9679" w:type="dxa"/>
        <w:jc w:val="left"/>
        <w:tblInd w:w="0" w:type="dxa"/>
        <w:tblLayout w:type="fixed"/>
        <w:tblCellMar>
          <w:top w:w="28" w:type="dxa"/>
          <w:left w:w="28" w:type="dxa"/>
          <w:bottom w:w="28" w:type="dxa"/>
          <w:right w:w="28" w:type="dxa"/>
        </w:tblCellMar>
      </w:tblPr>
      <w:tblGrid>
        <w:gridCol w:w="1955"/>
        <w:gridCol w:w="1709"/>
        <w:gridCol w:w="1726"/>
        <w:gridCol w:w="301"/>
        <w:gridCol w:w="301"/>
        <w:gridCol w:w="387"/>
        <w:gridCol w:w="387"/>
        <w:gridCol w:w="387"/>
        <w:gridCol w:w="271"/>
        <w:gridCol w:w="984"/>
        <w:gridCol w:w="140"/>
        <w:gridCol w:w="211"/>
        <w:gridCol w:w="766"/>
        <w:gridCol w:w="154"/>
      </w:tblGrid>
      <w:tr>
        <w:trPr/>
        <w:tc>
          <w:tcPr>
            <w:tcW w:w="1955"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131" w:type="dxa"/>
            <w:gridSpan w:val="3"/>
            <w:tcBorders/>
          </w:tcPr>
          <w:p>
            <w:pPr>
              <w:pStyle w:val="TableContents"/>
              <w:bidi w:val="0"/>
              <w:spacing w:before="0" w:after="283"/>
              <w:jc w:val="left"/>
              <w:rPr>
                <w:sz w:val="4"/>
                <w:szCs w:val="4"/>
              </w:rPr>
            </w:pPr>
            <w:r>
              <w:rPr>
                <w:sz w:val="4"/>
                <w:szCs w:val="4"/>
              </w:rPr>
            </w:r>
          </w:p>
        </w:tc>
      </w:tr>
      <w:tr>
        <w:trPr/>
        <w:tc>
          <w:tcPr>
            <w:tcW w:w="5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r>
      <w:tr>
        <w:trPr/>
        <w:tc>
          <w:tcPr>
            <w:tcW w:w="5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Western Europe</w:t>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Developing </w:t>
            </w:r>
            <w:r>
              <w:rPr>
                <w:rFonts w:ascii="Times New Roman;sans-serif" w:hAnsi="Times New Roman;sans-serif"/>
                <w:b w:val="false"/>
                <w:color w:val="000000"/>
                <w:sz w:val="13"/>
              </w:rPr>
              <w:t>(1)</w:t>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Developed </w:t>
            </w:r>
            <w:r>
              <w:rPr>
                <w:rFonts w:ascii="Times New Roman;sans-serif" w:hAnsi="Times New Roman;sans-serif"/>
                <w:b w:val="false"/>
                <w:color w:val="000000"/>
                <w:sz w:val="13"/>
              </w:rPr>
              <w:t>(2)</w:t>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sales</w:t>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390" w:type="dxa"/>
            <w:gridSpan w:val="3"/>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153" w:type="dxa"/>
            <w:gridSpan w:val="8"/>
            <w:tcBorders>
              <w:top w:val="double" w:sz="8" w:space="0" w:color="000000"/>
            </w:tcBorders>
            <w:tcMar>
              <w:top w:w="30" w:type="dxa"/>
              <w:left w:w="0" w:type="dxa"/>
              <w:bottom w:w="0" w:type="dxa"/>
              <w:right w:w="0" w:type="dxa"/>
            </w:tcMar>
            <w:vAlign w:val="center"/>
          </w:tcPr>
          <w:p>
            <w:pPr>
              <w:pStyle w:val="TableContents"/>
              <w:bidi w:val="0"/>
              <w:spacing w:lineRule="auto" w:line="240" w:before="0" w:after="4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8"/>
              </w:rPr>
              <w:t>Developing includes China, Eastern Europe, Latin America, the Middle East and Southeast Asia.</w:t>
            </w:r>
          </w:p>
        </w:tc>
        <w:tc>
          <w:tcPr>
            <w:tcW w:w="2526" w:type="dxa"/>
            <w:gridSpan w:val="6"/>
            <w:tcBorders/>
          </w:tcPr>
          <w:p>
            <w:pPr>
              <w:pStyle w:val="TableContents"/>
              <w:bidi w:val="0"/>
              <w:spacing w:before="0" w:after="283"/>
              <w:jc w:val="left"/>
              <w:rPr>
                <w:sz w:val="4"/>
                <w:szCs w:val="4"/>
              </w:rPr>
            </w:pPr>
            <w:r>
              <w:rPr>
                <w:sz w:val="4"/>
                <w:szCs w:val="4"/>
              </w:rPr>
            </w:r>
          </w:p>
        </w:tc>
      </w:tr>
      <w:tr>
        <w:trPr/>
        <w:tc>
          <w:tcPr>
            <w:tcW w:w="7153" w:type="dxa"/>
            <w:gridSpan w:val="8"/>
            <w:tcBorders/>
            <w:tcMar>
              <w:top w:w="0" w:type="dxa"/>
              <w:left w:w="0" w:type="dxa"/>
              <w:bottom w:w="0" w:type="dxa"/>
              <w:right w:w="0" w:type="dxa"/>
            </w:tcMar>
            <w:vAlign w:val="center"/>
          </w:tcPr>
          <w:p>
            <w:pPr>
              <w:pStyle w:val="TableContents"/>
              <w:bidi w:val="0"/>
              <w:spacing w:lineRule="auto" w:line="240" w:before="0" w:after="40"/>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18"/>
              </w:rPr>
              <w:t>Other Developed includes Australia, Canada and Japan.</w:t>
            </w:r>
          </w:p>
        </w:tc>
        <w:tc>
          <w:tcPr>
            <w:tcW w:w="2526" w:type="dxa"/>
            <w:gridSpan w:val="6"/>
            <w:tcBorders/>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Vertical market net sales information was as follows:</w:t>
      </w:r>
    </w:p>
    <w:tbl>
      <w:tblPr>
        <w:tblW w:w="5113" w:type="dxa"/>
        <w:jc w:val="left"/>
        <w:tblInd w:w="0" w:type="dxa"/>
        <w:tblLayout w:type="fixed"/>
        <w:tblCellMar>
          <w:top w:w="28" w:type="dxa"/>
          <w:left w:w="28" w:type="dxa"/>
          <w:bottom w:w="28" w:type="dxa"/>
          <w:right w:w="28" w:type="dxa"/>
        </w:tblCellMar>
      </w:tblPr>
      <w:tblGrid>
        <w:gridCol w:w="702"/>
        <w:gridCol w:w="617"/>
        <w:gridCol w:w="630"/>
        <w:gridCol w:w="109"/>
        <w:gridCol w:w="109"/>
        <w:gridCol w:w="140"/>
        <w:gridCol w:w="140"/>
        <w:gridCol w:w="140"/>
        <w:gridCol w:w="271"/>
        <w:gridCol w:w="984"/>
        <w:gridCol w:w="140"/>
        <w:gridCol w:w="211"/>
        <w:gridCol w:w="766"/>
        <w:gridCol w:w="154"/>
      </w:tblGrid>
      <w:tr>
        <w:trPr/>
        <w:tc>
          <w:tcPr>
            <w:tcW w:w="70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131" w:type="dxa"/>
            <w:gridSpan w:val="3"/>
            <w:tcBorders/>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r>
      <w:tr>
        <w:trPr/>
        <w:tc>
          <w:tcPr>
            <w:tcW w:w="1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1,010.4 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Performance obligations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$124.5 million of remaining performance obligations on contracts with an original expected duration of one year or more. We expect to recognize the majority of our remaining performance obligations on these contracts within the next 12 to 18 months.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120"/>
        <w:jc w:val="left"/>
        <w:rPr/>
      </w:pPr>
      <w:hyperlink w:anchor="i4f75556dbe42480088dae580e614fd1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(unaudited)</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assets and liabilities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Contract assets and liabilities consisted of the following:</w:t>
      </w:r>
    </w:p>
    <w:tbl>
      <w:tblPr>
        <w:tblW w:w="7332" w:type="dxa"/>
        <w:jc w:val="left"/>
        <w:tblInd w:w="0" w:type="dxa"/>
        <w:tblLayout w:type="fixed"/>
        <w:tblCellMar>
          <w:top w:w="28" w:type="dxa"/>
          <w:left w:w="28" w:type="dxa"/>
          <w:bottom w:w="28" w:type="dxa"/>
          <w:right w:w="28" w:type="dxa"/>
        </w:tblCellMar>
      </w:tblPr>
      <w:tblGrid>
        <w:gridCol w:w="931"/>
        <w:gridCol w:w="813"/>
        <w:gridCol w:w="821"/>
        <w:gridCol w:w="247"/>
        <w:gridCol w:w="600"/>
        <w:gridCol w:w="128"/>
        <w:gridCol w:w="320"/>
        <w:gridCol w:w="774"/>
        <w:gridCol w:w="166"/>
        <w:gridCol w:w="109"/>
        <w:gridCol w:w="109"/>
        <w:gridCol w:w="109"/>
        <w:gridCol w:w="256"/>
        <w:gridCol w:w="511"/>
        <w:gridCol w:w="134"/>
        <w:gridCol w:w="343"/>
        <w:gridCol w:w="347"/>
        <w:gridCol w:w="614"/>
      </w:tblGrid>
      <w:tr>
        <w:trPr/>
        <w:tc>
          <w:tcPr>
            <w:tcW w:w="93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6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contract (liabilities) assets</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$9.0 million change in net contract liabilities from December 31, 2024 to March 31, 2025 was primarily the result of timing of milestone payments. Approximately 50% of our contract liabilities at December 31, 2024 were recognized in revenue in the first quarter of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3.     Share Plans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share-based compensation expense for the three months ended March 31, 2025 and 2024 was as follows: </w:t>
      </w:r>
    </w:p>
    <w:tbl>
      <w:tblPr>
        <w:tblW w:w="6482" w:type="dxa"/>
        <w:jc w:val="left"/>
        <w:tblInd w:w="0" w:type="dxa"/>
        <w:tblLayout w:type="fixed"/>
        <w:tblCellMar>
          <w:top w:w="28" w:type="dxa"/>
          <w:left w:w="28" w:type="dxa"/>
          <w:bottom w:w="28" w:type="dxa"/>
          <w:right w:w="28" w:type="dxa"/>
        </w:tblCellMar>
      </w:tblPr>
      <w:tblGrid>
        <w:gridCol w:w="1246"/>
        <w:gridCol w:w="1089"/>
        <w:gridCol w:w="1099"/>
        <w:gridCol w:w="109"/>
        <w:gridCol w:w="109"/>
        <w:gridCol w:w="170"/>
        <w:gridCol w:w="170"/>
        <w:gridCol w:w="170"/>
        <w:gridCol w:w="330"/>
        <w:gridCol w:w="801"/>
        <w:gridCol w:w="170"/>
        <w:gridCol w:w="279"/>
        <w:gridCol w:w="537"/>
        <w:gridCol w:w="203"/>
      </w:tblGrid>
      <w:tr>
        <w:trPr/>
        <w:tc>
          <w:tcPr>
            <w:tcW w:w="124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19" w:type="dxa"/>
            <w:gridSpan w:val="3"/>
            <w:tcBorders/>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r>
      <w:tr>
        <w:trPr/>
        <w:tc>
          <w:tcPr>
            <w:tcW w:w="3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share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2025, we issued our annual share-based compensation grants under the Pentair plc 2020 Share and Incentive Plan to eligible employees. The total number of awards issued was approximately 0.4 million, of which 0.2 million were restricted stock units (“RSUs”), 0.1 million were stock options and 0.1 million were performance share units (“PSUs”). The weighted-average grant date fair value of the RSUs, stock options and PSUs issued was $93.69, $36.73 and $99.16, respectively.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estimated the fair value of each stock option award issued in the annual share-based compensation grant using a Black-Scholes option pricing model, modified for dividends and using the following assumptions:</w:t>
      </w:r>
    </w:p>
    <w:tbl>
      <w:tblPr>
        <w:tblW w:w="4008" w:type="dxa"/>
        <w:jc w:val="left"/>
        <w:tblInd w:w="0" w:type="dxa"/>
        <w:tblLayout w:type="fixed"/>
        <w:tblCellMar>
          <w:top w:w="28" w:type="dxa"/>
          <w:left w:w="28" w:type="dxa"/>
          <w:bottom w:w="28" w:type="dxa"/>
          <w:right w:w="28" w:type="dxa"/>
        </w:tblCellMar>
      </w:tblPr>
      <w:tblGrid>
        <w:gridCol w:w="945"/>
        <w:gridCol w:w="830"/>
        <w:gridCol w:w="835"/>
        <w:gridCol w:w="324"/>
        <w:gridCol w:w="292"/>
        <w:gridCol w:w="782"/>
      </w:tblGrid>
      <w:tr>
        <w:trPr/>
        <w:tc>
          <w:tcPr>
            <w:tcW w:w="94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2025</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Annual Grant</w:t>
            </w:r>
          </w:p>
        </w:tc>
      </w:tr>
      <w:tr>
        <w:trPr/>
        <w:tc>
          <w:tcPr>
            <w:tcW w:w="26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0.98 </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share price volatility</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31.10 </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1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estimates require us to make assumptions based on historical results, observance of trends in our share price, changes in option exercise behavior, future expectations and other relevant factors. If other assumptions had been used, share-based compensation expense, as calculated and recorded under the accounting guidance, could have been affected. We based the expected life assumption on historical experience as well as the terms and vesting periods of the options granted. For purposes of determining expected share price volatility, we considered a rolling average of historical volatility measured over a period approximately equal to the expected option term. The risk-free interest rate for periods that coincide with the expected life of the options is based on the U.S. Treasury Department yield curve in effect at the time of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120"/>
        <w:jc w:val="left"/>
        <w:rPr/>
      </w:pPr>
      <w:hyperlink w:anchor="i4f75556dbe42480088dae580e614fd1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4.    Restructuring and Transformation Program</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2021, we launched and committed resources to a program designed to accelerate growth and drive margin expansion through transformation of our business model to drive operational excellence, reduce complexity and streamline our processes (the “Transformation Program”). The Transformation Program is structured in multiple phases and is expected to empower us to work more efficiently and optimize our business to better serve our customers while meeting our financial objectives.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we initiated and continued execution of activities associated with our Transformation Program as well as initiated and continued certain business restructuring initiatives aimed at reducing our fixed cost structure and realigning our business. Restructuring and Transformation Program initiatives included a reduction in hourly and salaried headcount of approximately 125 employees during the three months ended March 31, 2025.</w:t>
      </w:r>
    </w:p>
    <w:p>
      <w:pPr>
        <w:pStyle w:val="TextBody"/>
        <w:bidi w:val="0"/>
        <w:spacing w:lineRule="auto" w:line="288" w:before="180" w:after="180"/>
        <w:jc w:val="both"/>
        <w:rPr/>
      </w:pPr>
      <w:r>
        <w:rPr>
          <w:rFonts w:ascii="Times New Roman;sans-serif" w:hAnsi="Times New Roman;sans-serif"/>
          <w:b w:val="false"/>
          <w:color w:val="000000"/>
          <w:sz w:val="20"/>
        </w:rPr>
        <w:t xml:space="preserve">Restructuring and transformation-related costs included within </w:t>
      </w:r>
      <w:r>
        <w:rPr>
          <w:rFonts w:ascii="Times New Roman;sans-serif" w:hAnsi="Times New Roman;sans-serif"/>
          <w:b w:val="false"/>
          <w:i/>
          <w:color w:val="000000"/>
          <w:sz w:val="20"/>
        </w:rPr>
        <w:t xml:space="preserve">Cost of goods sold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Selling, general and administrative expenses</w:t>
      </w:r>
      <w:r>
        <w:rPr>
          <w:color w:val="000000"/>
        </w:rPr>
        <w:t xml:space="preserve"> </w:t>
      </w:r>
      <w:r>
        <w:rPr>
          <w:rFonts w:ascii="Times New Roman;sans-serif" w:hAnsi="Times New Roman;sans-serif"/>
          <w:b w:val="false"/>
          <w:color w:val="000000"/>
          <w:sz w:val="20"/>
        </w:rPr>
        <w:t>in the Condensed Consolidated Statements of Operations and Comprehensive Income included the following:</w:t>
      </w:r>
      <w:r>
        <w:rPr>
          <w:color w:val="000000"/>
        </w:rPr>
        <w:t> </w:t>
      </w:r>
    </w:p>
    <w:tbl>
      <w:tblPr>
        <w:tblW w:w="10205" w:type="dxa"/>
        <w:jc w:val="left"/>
        <w:tblInd w:w="0" w:type="dxa"/>
        <w:tblLayout w:type="fixed"/>
        <w:tblCellMar>
          <w:top w:w="28" w:type="dxa"/>
          <w:left w:w="28" w:type="dxa"/>
          <w:bottom w:w="28" w:type="dxa"/>
          <w:right w:w="28" w:type="dxa"/>
        </w:tblCellMar>
      </w:tblPr>
      <w:tblGrid>
        <w:gridCol w:w="2610"/>
        <w:gridCol w:w="2010"/>
        <w:gridCol w:w="2032"/>
        <w:gridCol w:w="255"/>
        <w:gridCol w:w="255"/>
        <w:gridCol w:w="361"/>
        <w:gridCol w:w="361"/>
        <w:gridCol w:w="361"/>
        <w:gridCol w:w="259"/>
        <w:gridCol w:w="628"/>
        <w:gridCol w:w="133"/>
        <w:gridCol w:w="224"/>
        <w:gridCol w:w="545"/>
        <w:gridCol w:w="171"/>
      </w:tblGrid>
      <w:tr>
        <w:trPr/>
        <w:tc>
          <w:tcPr>
            <w:tcW w:w="2610"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6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940" w:type="dxa"/>
            <w:gridSpan w:val="3"/>
            <w:tcBorders/>
          </w:tcPr>
          <w:p>
            <w:pPr>
              <w:pStyle w:val="TableContents"/>
              <w:bidi w:val="0"/>
              <w:spacing w:before="0" w:after="283"/>
              <w:jc w:val="left"/>
              <w:rPr>
                <w:sz w:val="4"/>
                <w:szCs w:val="4"/>
              </w:rPr>
            </w:pPr>
            <w:r>
              <w:rPr>
                <w:sz w:val="4"/>
                <w:szCs w:val="4"/>
              </w:rPr>
            </w:r>
          </w:p>
        </w:tc>
      </w:tr>
      <w:tr>
        <w:trPr/>
        <w:tc>
          <w:tcPr>
            <w:tcW w:w="6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9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r>
      <w:tr>
        <w:trPr/>
        <w:tc>
          <w:tcPr>
            <w:tcW w:w="8245" w:type="dxa"/>
            <w:gridSpan w:val="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Restructuring Initiatives</w:t>
            </w:r>
          </w:p>
        </w:tc>
        <w:tc>
          <w:tcPr>
            <w:tcW w:w="1960" w:type="dxa"/>
            <w:gridSpan w:val="6"/>
            <w:tcBorders/>
          </w:tcPr>
          <w:p>
            <w:pPr>
              <w:pStyle w:val="TableContents"/>
              <w:bidi w:val="0"/>
              <w:spacing w:before="0" w:after="283"/>
              <w:jc w:val="left"/>
              <w:rPr>
                <w:sz w:val="4"/>
                <w:szCs w:val="4"/>
              </w:rPr>
            </w:pPr>
            <w:r>
              <w:rPr>
                <w:sz w:val="4"/>
                <w:szCs w:val="4"/>
              </w:rPr>
            </w:r>
          </w:p>
        </w:tc>
      </w:tr>
      <w:tr>
        <w:trPr/>
        <w:tc>
          <w:tcPr>
            <w:tcW w:w="6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and related costs</w:t>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2" w:type="dxa"/>
            <w:gridSpan w:val="3"/>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66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restructuring costs and related adjustments </w:t>
            </w:r>
            <w:r>
              <w:rPr>
                <w:rFonts w:ascii="Times New Roman;sans-serif" w:hAnsi="Times New Roman;sans-serif"/>
                <w:b w:val="false"/>
                <w:color w:val="000000"/>
                <w:sz w:val="13"/>
              </w:rPr>
              <w:t>(1)</w:t>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costs</w:t>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5"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Transformation Program</w:t>
            </w:r>
          </w:p>
        </w:tc>
        <w:tc>
          <w:tcPr>
            <w:tcW w:w="1960" w:type="dxa"/>
            <w:gridSpan w:val="6"/>
            <w:tcBorders/>
          </w:tcPr>
          <w:p>
            <w:pPr>
              <w:pStyle w:val="TableContents"/>
              <w:bidi w:val="0"/>
              <w:spacing w:before="0" w:after="283"/>
              <w:jc w:val="left"/>
              <w:rPr>
                <w:sz w:val="4"/>
                <w:szCs w:val="4"/>
              </w:rPr>
            </w:pPr>
            <w:r>
              <w:rPr>
                <w:sz w:val="4"/>
                <w:szCs w:val="4"/>
              </w:rPr>
            </w:r>
          </w:p>
        </w:tc>
      </w:tr>
      <w:tr>
        <w:trPr/>
        <w:tc>
          <w:tcPr>
            <w:tcW w:w="6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and related costs</w:t>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Asset impairment and write-offs</w:t>
            </w:r>
            <w:r>
              <w:rPr>
                <w:color w:val="000000"/>
              </w:rPr>
              <w:t xml:space="preserve"> </w:t>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transformation costs </w:t>
            </w:r>
            <w:r>
              <w:rPr>
                <w:rFonts w:ascii="Times New Roman;sans-serif" w:hAnsi="Times New Roman;sans-serif"/>
                <w:b w:val="false"/>
                <w:color w:val="000000"/>
                <w:sz w:val="13"/>
              </w:rPr>
              <w:t>(2)</w:t>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transformation costs</w:t>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and transformation costs</w:t>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245" w:type="dxa"/>
            <w:gridSpan w:val="8"/>
            <w:tcBorders>
              <w:top w:val="double" w:sz="8" w:space="0" w:color="000000"/>
            </w:tcBorders>
            <w:tcMar>
              <w:top w:w="30" w:type="dxa"/>
              <w:left w:w="0" w:type="dxa"/>
              <w:bottom w:w="0" w:type="dxa"/>
              <w:right w:w="0" w:type="dxa"/>
            </w:tcMar>
            <w:vAlign w:val="center"/>
          </w:tcPr>
          <w:p>
            <w:pPr>
              <w:pStyle w:val="TableContents"/>
              <w:bidi w:val="0"/>
              <w:spacing w:lineRule="auto" w:line="256" w:before="0" w:after="0"/>
              <w:ind w:left="0" w:right="0" w:hanging="18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8"/>
              </w:rPr>
              <w:t>Other restructuring costs and related adjustments primarily consist of certain accruals and related refinements as well as various contract termination costs, asset impairments and inventory write-offs associated with business and product line exits.</w:t>
            </w:r>
          </w:p>
        </w:tc>
        <w:tc>
          <w:tcPr>
            <w:tcW w:w="1960" w:type="dxa"/>
            <w:gridSpan w:val="6"/>
            <w:tcBorders/>
          </w:tcPr>
          <w:p>
            <w:pPr>
              <w:pStyle w:val="TableContents"/>
              <w:bidi w:val="0"/>
              <w:spacing w:before="0" w:after="283"/>
              <w:jc w:val="left"/>
              <w:rPr>
                <w:sz w:val="4"/>
                <w:szCs w:val="4"/>
              </w:rPr>
            </w:pPr>
            <w:r>
              <w:rPr>
                <w:sz w:val="4"/>
                <w:szCs w:val="4"/>
              </w:rPr>
            </w:r>
          </w:p>
        </w:tc>
      </w:tr>
      <w:tr>
        <w:trPr/>
        <w:tc>
          <w:tcPr>
            <w:tcW w:w="8245" w:type="dxa"/>
            <w:gridSpan w:val="8"/>
            <w:tcBorders/>
            <w:tcMar>
              <w:top w:w="0" w:type="dxa"/>
              <w:left w:w="0" w:type="dxa"/>
              <w:bottom w:w="0" w:type="dxa"/>
              <w:right w:w="0" w:type="dxa"/>
            </w:tcMar>
            <w:vAlign w:val="center"/>
          </w:tcPr>
          <w:p>
            <w:pPr>
              <w:pStyle w:val="TableContents"/>
              <w:bidi w:val="0"/>
              <w:spacing w:lineRule="auto" w:line="256" w:before="0" w:after="0"/>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18"/>
              </w:rPr>
              <w:t>Other transformation costs primarily consist of professional services and project management related costs.</w:t>
            </w:r>
          </w:p>
        </w:tc>
        <w:tc>
          <w:tcPr>
            <w:tcW w:w="1960" w:type="dxa"/>
            <w:gridSpan w:val="6"/>
            <w:tcBorders/>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and transformation costs by reportable segment as well as Corporate and other were as follows:</w:t>
      </w:r>
    </w:p>
    <w:tbl>
      <w:tblPr>
        <w:tblW w:w="6707" w:type="dxa"/>
        <w:jc w:val="left"/>
        <w:tblInd w:w="0" w:type="dxa"/>
        <w:tblLayout w:type="fixed"/>
        <w:tblCellMar>
          <w:top w:w="28" w:type="dxa"/>
          <w:left w:w="28" w:type="dxa"/>
          <w:bottom w:w="28" w:type="dxa"/>
          <w:right w:w="28" w:type="dxa"/>
        </w:tblCellMar>
      </w:tblPr>
      <w:tblGrid>
        <w:gridCol w:w="1327"/>
        <w:gridCol w:w="1161"/>
        <w:gridCol w:w="1171"/>
        <w:gridCol w:w="109"/>
        <w:gridCol w:w="109"/>
        <w:gridCol w:w="170"/>
        <w:gridCol w:w="170"/>
        <w:gridCol w:w="170"/>
        <w:gridCol w:w="330"/>
        <w:gridCol w:w="801"/>
        <w:gridCol w:w="170"/>
        <w:gridCol w:w="245"/>
        <w:gridCol w:w="595"/>
        <w:gridCol w:w="179"/>
      </w:tblGrid>
      <w:tr>
        <w:trPr/>
        <w:tc>
          <w:tcPr>
            <w:tcW w:w="132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19" w:type="dxa"/>
            <w:gridSpan w:val="3"/>
            <w:tcBorders/>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r>
      <w:tr>
        <w:trPr/>
        <w:tc>
          <w:tcPr>
            <w:tcW w:w="3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Pool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and transformation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ans-serif" w:hAnsi="Times New Roman;sans-serif"/>
          <w:b w:val="false"/>
          <w:color w:val="000000"/>
          <w:sz w:val="20"/>
        </w:rPr>
        <w:t xml:space="preserve">Activity related to accrued severance and related costs recorded in </w:t>
      </w:r>
      <w:r>
        <w:rPr>
          <w:rFonts w:ascii="Times New Roman;sans-serif" w:hAnsi="Times New Roman;sans-serif"/>
          <w:b w:val="false"/>
          <w:i/>
          <w:color w:val="000000"/>
          <w:sz w:val="20"/>
        </w:rPr>
        <w:t>Other current liabilities</w:t>
      </w:r>
      <w:r>
        <w:rPr>
          <w:color w:val="000000"/>
        </w:rPr>
        <w:t xml:space="preserve"> </w:t>
      </w:r>
      <w:r>
        <w:rPr>
          <w:rFonts w:ascii="Times New Roman;sans-serif" w:hAnsi="Times New Roman;sans-serif"/>
          <w:b w:val="false"/>
          <w:color w:val="000000"/>
          <w:sz w:val="20"/>
        </w:rPr>
        <w:t>in the Condensed Consolidated Balance Sheets is summarized as follows for the three months ended March 31, 2025:</w:t>
      </w:r>
      <w:r>
        <w:rPr>
          <w:color w:val="000000"/>
        </w:rPr>
        <w:t> </w:t>
      </w:r>
    </w:p>
    <w:tbl>
      <w:tblPr>
        <w:tblW w:w="3179" w:type="dxa"/>
        <w:jc w:val="left"/>
        <w:tblInd w:w="0" w:type="dxa"/>
        <w:tblLayout w:type="fixed"/>
        <w:tblCellMar>
          <w:top w:w="28" w:type="dxa"/>
          <w:left w:w="28" w:type="dxa"/>
          <w:bottom w:w="28" w:type="dxa"/>
          <w:right w:w="28" w:type="dxa"/>
        </w:tblCellMar>
      </w:tblPr>
      <w:tblGrid>
        <w:gridCol w:w="783"/>
        <w:gridCol w:w="684"/>
        <w:gridCol w:w="693"/>
        <w:gridCol w:w="245"/>
        <w:gridCol w:w="595"/>
        <w:gridCol w:w="179"/>
      </w:tblGrid>
      <w:tr>
        <w:trPr/>
        <w:tc>
          <w:tcPr>
            <w:tcW w:w="7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incurred</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 and other</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120"/>
        <w:jc w:val="left"/>
        <w:rPr/>
      </w:pPr>
      <w:hyperlink w:anchor="i4f75556dbe42480088dae580e614fd1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(unaudited)</w:t>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5.    Earnings Per Share</w:t>
      </w:r>
    </w:p>
    <w:p>
      <w:pPr>
        <w:pStyle w:val="TextBody"/>
        <w:bidi w:val="0"/>
        <w:spacing w:lineRule="auto" w:line="288" w:before="0" w:after="80"/>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earnings per share were calculated as follows:</w:t>
      </w:r>
    </w:p>
    <w:tbl>
      <w:tblPr>
        <w:tblW w:w="10205" w:type="dxa"/>
        <w:jc w:val="left"/>
        <w:tblInd w:w="0" w:type="dxa"/>
        <w:tblLayout w:type="fixed"/>
        <w:tblCellMar>
          <w:top w:w="28" w:type="dxa"/>
          <w:left w:w="28" w:type="dxa"/>
          <w:bottom w:w="28" w:type="dxa"/>
          <w:right w:w="28" w:type="dxa"/>
        </w:tblCellMar>
      </w:tblPr>
      <w:tblGrid>
        <w:gridCol w:w="2601"/>
        <w:gridCol w:w="2284"/>
        <w:gridCol w:w="2289"/>
        <w:gridCol w:w="109"/>
        <w:gridCol w:w="109"/>
        <w:gridCol w:w="186"/>
        <w:gridCol w:w="361"/>
        <w:gridCol w:w="1058"/>
        <w:gridCol w:w="186"/>
        <w:gridCol w:w="218"/>
        <w:gridCol w:w="640"/>
        <w:gridCol w:w="164"/>
      </w:tblGrid>
      <w:tr>
        <w:trPr/>
        <w:tc>
          <w:tcPr>
            <w:tcW w:w="2601"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1"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22" w:type="dxa"/>
            <w:gridSpan w:val="3"/>
            <w:tcBorders/>
          </w:tcPr>
          <w:p>
            <w:pPr>
              <w:pStyle w:val="TableContents"/>
              <w:bidi w:val="0"/>
              <w:spacing w:before="0" w:after="283"/>
              <w:jc w:val="left"/>
              <w:rPr>
                <w:sz w:val="4"/>
                <w:szCs w:val="4"/>
              </w:rPr>
            </w:pPr>
            <w:r>
              <w:rPr>
                <w:sz w:val="4"/>
                <w:szCs w:val="4"/>
              </w:rPr>
            </w:r>
          </w:p>
        </w:tc>
      </w:tr>
      <w:tr>
        <w:trPr/>
        <w:tc>
          <w:tcPr>
            <w:tcW w:w="7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per-share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r>
      <w:tr>
        <w:trPr/>
        <w:tc>
          <w:tcPr>
            <w:tcW w:w="7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 xml:space="preserve">Net income from continuing operations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154.9 </w:t>
            </w:r>
          </w:p>
        </w:tc>
        <w:tc>
          <w:tcPr>
            <w:tcW w:w="1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16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ordinary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Dilutive impact of stock options, restricted stock units and performance share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Earnings per ordinary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ordinary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0.94 </w:t>
            </w:r>
          </w:p>
        </w:tc>
        <w:tc>
          <w:tcPr>
            <w:tcW w:w="1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ordinary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1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Anti-dilutive stock options excluded from the calculation of diluted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19"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6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6.    Accounts Receivable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trade receivables are reported on our Condensed Consolidated Balance Sheets at the outstanding principal amount adjusted for any allowance for credit losses and write-offs, net of recoveries. We record an allowance for credit losses, reducing our receivables balance to an amount we estimate is collectible from our customers. Estimates used in determining the allowance for credit losses are based on current trends, aging of accounts receivable, periodic credit evaluations of our customers’ financial condition, and historical collection experience as well as reasonable and supportable forecasts of future economic conditions. Write-offs are recorded at the time all collection efforts have been exhausted. We generally do not require collateral. We review our allowance for credit losses on a quarterly basis.</w:t>
      </w:r>
    </w:p>
    <w:p>
      <w:pPr>
        <w:pStyle w:val="TextBody"/>
        <w:bidi w:val="0"/>
        <w:spacing w:before="0" w:after="0"/>
        <w:jc w:val="left"/>
        <w:rPr/>
      </w:pPr>
      <w:r>
        <w:rPr/>
      </w:r>
    </w:p>
    <w:p>
      <w:pPr>
        <w:pStyle w:val="TextBody"/>
        <w:bidi w:val="0"/>
        <w:spacing w:lineRule="auto" w:line="288" w:before="0" w:after="80"/>
        <w:jc w:val="left"/>
        <w:rPr/>
      </w:pPr>
      <w:r>
        <w:rPr>
          <w:rFonts w:ascii="Times New Roman;sans-serif" w:hAnsi="Times New Roman;sans-serif"/>
          <w:b w:val="false"/>
          <w:color w:val="000000"/>
          <w:sz w:val="20"/>
        </w:rPr>
        <w:t>Activity related to our allowance for credit losses is summarized as follows for the three months ended March 31, 2025:</w:t>
      </w:r>
      <w:r>
        <w:rPr>
          <w:color w:val="000000"/>
        </w:rPr>
        <w:t> </w:t>
      </w:r>
    </w:p>
    <w:tbl>
      <w:tblPr>
        <w:tblW w:w="8508" w:type="dxa"/>
        <w:jc w:val="left"/>
        <w:tblInd w:w="0" w:type="dxa"/>
        <w:tblLayout w:type="fixed"/>
        <w:tblCellMar>
          <w:top w:w="28" w:type="dxa"/>
          <w:left w:w="28" w:type="dxa"/>
          <w:bottom w:w="28" w:type="dxa"/>
          <w:right w:w="28" w:type="dxa"/>
        </w:tblCellMar>
      </w:tblPr>
      <w:tblGrid>
        <w:gridCol w:w="1910"/>
        <w:gridCol w:w="1669"/>
        <w:gridCol w:w="1691"/>
        <w:gridCol w:w="896"/>
        <w:gridCol w:w="1726"/>
        <w:gridCol w:w="462"/>
        <w:gridCol w:w="154"/>
      </w:tblGrid>
      <w:tr>
        <w:trPr/>
        <w:tc>
          <w:tcPr>
            <w:tcW w:w="1910"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2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0"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0"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(1)</w:t>
            </w:r>
          </w:p>
        </w:tc>
        <w:tc>
          <w:tcPr>
            <w:tcW w:w="2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354" w:type="dxa"/>
            <w:gridSpan w:val="6"/>
            <w:tcBorders>
              <w:top w:val="double" w:sz="8" w:space="0" w:color="000000"/>
            </w:tcBorders>
            <w:tcMar>
              <w:top w:w="30" w:type="dxa"/>
              <w:left w:w="0" w:type="dxa"/>
              <w:bottom w:w="0" w:type="dxa"/>
              <w:right w:w="0" w:type="dxa"/>
            </w:tcMar>
            <w:vAlign w:val="center"/>
          </w:tcPr>
          <w:p>
            <w:pPr>
              <w:pStyle w:val="TableContents"/>
              <w:bidi w:val="0"/>
              <w:spacing w:lineRule="auto" w:line="240" w:before="0" w:after="4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Other amounts are primarily the effects of changes in currency translation and the impact of allowance for credits.</w:t>
            </w:r>
          </w:p>
        </w:tc>
        <w:tc>
          <w:tcPr>
            <w:tcW w:w="154" w:type="dxa"/>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120"/>
        <w:jc w:val="left"/>
        <w:rPr/>
      </w:pPr>
      <w:hyperlink w:anchor="i4f75556dbe42480088dae580e614fd1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(unaudited)</w:t>
      </w:r>
    </w:p>
    <w:p>
      <w:pPr>
        <w:pStyle w:val="TextBody"/>
        <w:bidi w:val="0"/>
        <w:spacing w:lineRule="auto" w:line="288" w:before="0" w:after="20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7.    Supplemental Balance Sheet Information</w:t>
      </w:r>
    </w:p>
    <w:tbl>
      <w:tblPr>
        <w:tblW w:w="5233" w:type="dxa"/>
        <w:jc w:val="left"/>
        <w:tblInd w:w="0" w:type="dxa"/>
        <w:tblLayout w:type="fixed"/>
        <w:tblCellMar>
          <w:top w:w="28" w:type="dxa"/>
          <w:left w:w="28" w:type="dxa"/>
          <w:bottom w:w="28" w:type="dxa"/>
          <w:right w:w="28" w:type="dxa"/>
        </w:tblCellMar>
      </w:tblPr>
      <w:tblGrid>
        <w:gridCol w:w="1143"/>
        <w:gridCol w:w="1006"/>
        <w:gridCol w:w="1015"/>
        <w:gridCol w:w="201"/>
        <w:gridCol w:w="572"/>
        <w:gridCol w:w="112"/>
        <w:gridCol w:w="256"/>
        <w:gridCol w:w="727"/>
        <w:gridCol w:w="201"/>
      </w:tblGrid>
      <w:tr>
        <w:trPr/>
        <w:tc>
          <w:tcPr>
            <w:tcW w:w="114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2025</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2024</w:t>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Inventories</w:t>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Raw materials and supplies</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Work-in-process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Finished goods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inventories</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current assets</w:t>
            </w:r>
          </w:p>
        </w:tc>
        <w:tc>
          <w:tcPr>
            <w:tcW w:w="8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in excess of billings</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current assets</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141.3 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Property, plant and equipment, net</w:t>
            </w:r>
          </w:p>
        </w:tc>
        <w:tc>
          <w:tcPr>
            <w:tcW w:w="8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 and land improvements</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 and leasehold improvements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Machinery and equipment</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in progress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plant and equipment</w:t>
            </w:r>
          </w:p>
        </w:tc>
        <w:tc>
          <w:tcPr>
            <w:tcW w:w="7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depreciation and amortization</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plant and equipment, net</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non-current assets</w:t>
            </w:r>
          </w:p>
        </w:tc>
        <w:tc>
          <w:tcPr>
            <w:tcW w:w="8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lease assets</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compensation plan assets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non-current assets</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current liabilities</w:t>
            </w:r>
          </w:p>
        </w:tc>
        <w:tc>
          <w:tcPr>
            <w:tcW w:w="8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payable</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warranty</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rebates and incentives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freight</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Billings in excess of cost</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lease liability</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restructuring</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payable</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current liabilities</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non-current liabilities</w:t>
            </w:r>
          </w:p>
        </w:tc>
        <w:tc>
          <w:tcPr>
            <w:tcW w:w="8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lease liability</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Self-insurance liabilities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compensation plan liabilities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contract liabilities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non-current liabilities</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243.8 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120"/>
        <w:jc w:val="left"/>
        <w:rPr/>
      </w:pPr>
      <w:hyperlink w:anchor="i4f75556dbe42480088dae580e614fd1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(unaudited)</w:t>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8.    Goodwill and Other Identifiable Intangible Assets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by reportable segment were as follows:</w:t>
      </w:r>
    </w:p>
    <w:tbl>
      <w:tblPr>
        <w:tblW w:w="5713" w:type="dxa"/>
        <w:jc w:val="left"/>
        <w:tblInd w:w="0" w:type="dxa"/>
        <w:tblLayout w:type="fixed"/>
        <w:tblCellMar>
          <w:top w:w="28" w:type="dxa"/>
          <w:left w:w="28" w:type="dxa"/>
          <w:bottom w:w="28" w:type="dxa"/>
          <w:right w:w="28" w:type="dxa"/>
        </w:tblCellMar>
      </w:tblPr>
      <w:tblGrid>
        <w:gridCol w:w="517"/>
        <w:gridCol w:w="452"/>
        <w:gridCol w:w="456"/>
        <w:gridCol w:w="245"/>
        <w:gridCol w:w="889"/>
        <w:gridCol w:w="126"/>
        <w:gridCol w:w="109"/>
        <w:gridCol w:w="109"/>
        <w:gridCol w:w="426"/>
        <w:gridCol w:w="1033"/>
        <w:gridCol w:w="220"/>
        <w:gridCol w:w="211"/>
        <w:gridCol w:w="766"/>
        <w:gridCol w:w="154"/>
      </w:tblGrid>
      <w:tr>
        <w:trPr/>
        <w:tc>
          <w:tcPr>
            <w:tcW w:w="51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Foreign Currency </w:t>
              <w:br/>
              <w:t>Translation</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r>
      <w:tr>
        <w:trPr/>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Flow</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Solutions</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Pool</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goodwill</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3,286.6 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consisted of the following:</w:t>
      </w:r>
    </w:p>
    <w:tbl>
      <w:tblPr>
        <w:tblW w:w="10117" w:type="dxa"/>
        <w:jc w:val="left"/>
        <w:tblInd w:w="0" w:type="dxa"/>
        <w:tblLayout w:type="fixed"/>
        <w:tblCellMar>
          <w:top w:w="28" w:type="dxa"/>
          <w:left w:w="28" w:type="dxa"/>
          <w:bottom w:w="28" w:type="dxa"/>
          <w:right w:w="28" w:type="dxa"/>
        </w:tblCellMar>
      </w:tblPr>
      <w:tblGrid>
        <w:gridCol w:w="1074"/>
        <w:gridCol w:w="940"/>
        <w:gridCol w:w="955"/>
        <w:gridCol w:w="211"/>
        <w:gridCol w:w="766"/>
        <w:gridCol w:w="109"/>
        <w:gridCol w:w="269"/>
        <w:gridCol w:w="806"/>
        <w:gridCol w:w="141"/>
        <w:gridCol w:w="211"/>
        <w:gridCol w:w="766"/>
        <w:gridCol w:w="109"/>
        <w:gridCol w:w="109"/>
        <w:gridCol w:w="109"/>
        <w:gridCol w:w="109"/>
        <w:gridCol w:w="211"/>
        <w:gridCol w:w="766"/>
        <w:gridCol w:w="109"/>
        <w:gridCol w:w="269"/>
        <w:gridCol w:w="806"/>
        <w:gridCol w:w="141"/>
        <w:gridCol w:w="211"/>
        <w:gridCol w:w="766"/>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r>
          </w:p>
        </w:tc>
      </w:tr>
      <w:tr>
        <w:trPr/>
        <w:tc>
          <w:tcPr>
            <w:tcW w:w="2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Definite-life intangibles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Proprietary technology and patents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definite-life intangibles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Indefinite-life intangibles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 amortization expense was $14.2 million and $13.5 million for the three months ended March 31, 2025 and 2024, respectively.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Estimated future amortization expense for identifiable intangible assets during the remainder of 2025 and the next five years is as follows:</w:t>
      </w:r>
    </w:p>
    <w:tbl>
      <w:tblPr>
        <w:tblW w:w="7745" w:type="dxa"/>
        <w:jc w:val="left"/>
        <w:tblInd w:w="0" w:type="dxa"/>
        <w:tblLayout w:type="fixed"/>
        <w:tblCellMar>
          <w:top w:w="28" w:type="dxa"/>
          <w:left w:w="28" w:type="dxa"/>
          <w:bottom w:w="28" w:type="dxa"/>
          <w:right w:w="28" w:type="dxa"/>
        </w:tblCellMar>
      </w:tblPr>
      <w:tblGrid>
        <w:gridCol w:w="984"/>
        <w:gridCol w:w="864"/>
        <w:gridCol w:w="866"/>
        <w:gridCol w:w="211"/>
        <w:gridCol w:w="511"/>
        <w:gridCol w:w="109"/>
        <w:gridCol w:w="211"/>
        <w:gridCol w:w="511"/>
        <w:gridCol w:w="109"/>
        <w:gridCol w:w="211"/>
        <w:gridCol w:w="511"/>
        <w:gridCol w:w="109"/>
        <w:gridCol w:w="211"/>
        <w:gridCol w:w="511"/>
        <w:gridCol w:w="109"/>
        <w:gridCol w:w="211"/>
        <w:gridCol w:w="511"/>
        <w:gridCol w:w="109"/>
        <w:gridCol w:w="211"/>
        <w:gridCol w:w="511"/>
        <w:gridCol w:w="154"/>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Q2 - Q4</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2027</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2028</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2029</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2030</w:t>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amortization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00"/>
        <w:jc w:val="left"/>
        <w:rPr/>
      </w:pPr>
      <w:r>
        <w:rPr/>
      </w:r>
    </w:p>
    <w:p>
      <w:pPr>
        <w:pStyle w:val="TextBody"/>
        <w:bidi w:val="0"/>
        <w:spacing w:before="20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120"/>
        <w:jc w:val="left"/>
        <w:rPr/>
      </w:pPr>
      <w:hyperlink w:anchor="i4f75556dbe42480088dae580e614fd1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(unaudited)</w:t>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9.    Debt</w:t>
      </w:r>
    </w:p>
    <w:p>
      <w:pPr>
        <w:pStyle w:val="TextBody"/>
        <w:bidi w:val="0"/>
        <w:spacing w:lineRule="auto" w:line="288" w:before="0" w:after="0"/>
        <w:jc w:val="both"/>
        <w:rPr/>
      </w:pPr>
      <w:r>
        <w:rPr>
          <w:rFonts w:ascii="Times New Roman;sans-serif" w:hAnsi="Times New Roman;sans-serif"/>
          <w:b w:val="false"/>
          <w:color w:val="000000"/>
          <w:sz w:val="20"/>
        </w:rPr>
        <w:t>Debt and the average interest rates on debt outstanding were as follows:</w:t>
      </w:r>
      <w:r>
        <w:rPr>
          <w:color w:val="000000"/>
        </w:rPr>
        <w:t> </w:t>
      </w:r>
    </w:p>
    <w:tbl>
      <w:tblPr>
        <w:tblW w:w="10205" w:type="dxa"/>
        <w:jc w:val="left"/>
        <w:tblInd w:w="0" w:type="dxa"/>
        <w:tblLayout w:type="fixed"/>
        <w:tblCellMar>
          <w:top w:w="28" w:type="dxa"/>
          <w:left w:w="28" w:type="dxa"/>
          <w:bottom w:w="28" w:type="dxa"/>
          <w:right w:w="28" w:type="dxa"/>
        </w:tblCellMar>
      </w:tblPr>
      <w:tblGrid>
        <w:gridCol w:w="1319"/>
        <w:gridCol w:w="1126"/>
        <w:gridCol w:w="1140"/>
        <w:gridCol w:w="1066"/>
        <w:gridCol w:w="1066"/>
        <w:gridCol w:w="1070"/>
        <w:gridCol w:w="351"/>
        <w:gridCol w:w="351"/>
        <w:gridCol w:w="352"/>
        <w:gridCol w:w="211"/>
        <w:gridCol w:w="766"/>
        <w:gridCol w:w="109"/>
        <w:gridCol w:w="237"/>
        <w:gridCol w:w="863"/>
        <w:gridCol w:w="178"/>
      </w:tblGrid>
      <w:tr>
        <w:trPr/>
        <w:tc>
          <w:tcPr>
            <w:tcW w:w="131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interest rate as of March 31, 2025</w:t>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Maturity</w:t>
              <w:br/>
              <w:t>Year</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02"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 (Senior Credit Facility)</w:t>
            </w:r>
          </w:p>
        </w:tc>
        <w:tc>
          <w:tcPr>
            <w:tcW w:w="32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5.523%</w:t>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Facility</w:t>
            </w:r>
          </w:p>
        </w:tc>
        <w:tc>
          <w:tcPr>
            <w:tcW w:w="3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5.657%</w:t>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2023 - 2027</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02"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Senior notes - fixed rate</w:t>
            </w:r>
            <w:r>
              <w:rPr>
                <w:color w:val="000000"/>
              </w:rPr>
              <w:t xml:space="preserve"> </w:t>
            </w:r>
            <w:r>
              <w:rPr>
                <w:rFonts w:ascii="Times New Roman;sans-serif" w:hAnsi="Times New Roman;sans-serif"/>
                <w:b w:val="false"/>
                <w:color w:val="000000"/>
                <w:sz w:val="13"/>
              </w:rPr>
              <w:t>(1)</w:t>
            </w:r>
          </w:p>
        </w:tc>
        <w:tc>
          <w:tcPr>
            <w:tcW w:w="3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4.650%</w:t>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Senior notes - fixed rate</w:t>
            </w:r>
            <w:r>
              <w:rPr>
                <w:color w:val="000000"/>
              </w:rPr>
              <w:t xml:space="preserve"> </w:t>
            </w:r>
            <w:r>
              <w:rPr>
                <w:rFonts w:ascii="Times New Roman;sans-serif" w:hAnsi="Times New Roman;sans-serif"/>
                <w:b w:val="false"/>
                <w:color w:val="000000"/>
                <w:sz w:val="13"/>
              </w:rPr>
              <w:t>(1)</w:t>
            </w:r>
          </w:p>
        </w:tc>
        <w:tc>
          <w:tcPr>
            <w:tcW w:w="3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Senior notes - fixed rate</w:t>
            </w:r>
            <w:r>
              <w:rPr>
                <w:color w:val="000000"/>
              </w:rPr>
              <w:t xml:space="preserve"> </w:t>
            </w:r>
            <w:r>
              <w:rPr>
                <w:rFonts w:ascii="Times New Roman;sans-serif" w:hAnsi="Times New Roman;sans-serif"/>
                <w:b w:val="false"/>
                <w:color w:val="000000"/>
                <w:sz w:val="13"/>
              </w:rPr>
              <w:t>(1)</w:t>
            </w:r>
          </w:p>
        </w:tc>
        <w:tc>
          <w:tcPr>
            <w:tcW w:w="3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5.900%</w:t>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 and discounts</w:t>
            </w:r>
          </w:p>
        </w:tc>
        <w:tc>
          <w:tcPr>
            <w:tcW w:w="3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1,648.0 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 of short-term borrowings</w:t>
            </w:r>
          </w:p>
        </w:tc>
        <w:tc>
          <w:tcPr>
            <w:tcW w:w="3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02"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1,638.7 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8"/>
              </w:rPr>
              <w:t>Senior notes are guaranteed as to payment by Pentair plc.</w:t>
            </w:r>
          </w:p>
        </w:tc>
      </w:tr>
    </w:tbl>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Pentair, Pentair Finance S.à r.l (“PFSA”) and Pentair, Inc. are parties to a credit agreement (the “Senior Credit Facility”), with Pentair as guarantor and PFSA and Pentair, Inc. as borrowers, providing for a $900.0 million senior unsecured revolving credit facility. The revolving credit facility has a maturity date of December 16, 2026. Borrowings under the Senior Credit Facility bear interest at a rate equal to an alternate base rate, adjusted term secured overnight financing rate, adjusted euro interbank offered rate, adjusted daily simple secured overnight financing rate or central bank rate, plus, in each case, an applicable margin. The applicable margin is based on, at PFSA’s election, Pentair’s leverage level or PFSA’s public credit rating.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total availability under the Senior Credit Facility was $694.3 million. In addition, PFSA has the option to request to increase the revolving credit facility and/or to enter into one or more tranches of term loans in an aggregate amount of up to $300.0 million, subject to customary conditions, including the commitment of the participating lenders.</w:t>
      </w:r>
    </w:p>
    <w:p>
      <w:pPr>
        <w:pStyle w:val="TextBody"/>
        <w:bidi w:val="0"/>
        <w:spacing w:lineRule="auto" w:line="288" w:before="180" w:after="283"/>
        <w:jc w:val="both"/>
        <w:rPr/>
      </w:pPr>
      <w:r>
        <w:rPr>
          <w:rFonts w:ascii="Times New Roman;sans-serif" w:hAnsi="Times New Roman;sans-serif"/>
          <w:b w:val="false"/>
          <w:color w:val="000000"/>
          <w:sz w:val="20"/>
        </w:rPr>
        <w:t>In addition, Pentair and PFSA are parties to a senior unsecured term loan facility (the “Term Loan Facility”), with PFSA, as borrower, Pentair, as guarantor, providing for an aggregate principal amount of $1.0 billion. The Term Loan Facility has a maturity date of July 28, 2027, with required quarterly installment payments of $6.3 million which began on the last day of the third quarter of 2023 and increased to $12.5 million on the last day of the third quarter of 2024. During 2024, PFSA repaid the remaining $162.5 million of quarterly installments on the Term Loan Facility, such that PFSA is not required to make any further quarterly installment payments. As of March 31, 2025, the remaining obligation of $825.0 million matures on July 28, 2027. Th</w:t>
      </w:r>
      <w:r>
        <w:rPr>
          <w:rFonts w:ascii="Times New Roman;sans-serif" w:hAnsi="Times New Roman;sans-serif"/>
          <w:b w:val="false"/>
          <w:color w:val="000000"/>
          <w:sz w:val="20"/>
          <w:shd w:fill="FFFFFF" w:val="clear"/>
        </w:rPr>
        <w:t xml:space="preserve">e Term Loan Facility bears interest at a rate equal to an alternate base rate, adjusted term secured overnight financing rate, or adjusted daily simple secured overnight financing rate, plus, in each case, an applicable margin. </w:t>
      </w:r>
      <w:r>
        <w:rPr>
          <w:rFonts w:ascii="Times New Roman;sans-serif" w:hAnsi="Times New Roman;sans-serif"/>
          <w:b w:val="false"/>
          <w:color w:val="000000"/>
          <w:sz w:val="20"/>
        </w:rPr>
        <w:t>The applicable margin is based on, at PFSA’s election, Pentair’s leverage level or PFSA’s public credit rating.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debt agreements contain various financial covenants, but the most restrictive covenants are contained in the Senior Credit Facility and the Term Loan Facility. The Senior Credit Facility and the Term Loan Facility contain covenants requiring us not to permit (i) the ratio of our consolidated debt (net of our consolidated unrestricted cash and cash equivalents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interest expense, for the same period to be less than 3.00 to 1.00 as of the end of each fiscal quarter. For purposes of the Leverage Ratio, the Senior Credit Facility and the Term Loan Facility provide for the calculation of EBITDA giving pro forma effect to certain acquisitions, divestitures and liquidations during the period to which such calculation relates.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Senior Credit Facility and the Term Loan Facility, we have various other credit facilities with an aggregate availability of $20.8 million, of which there were no outstanding borrowings at March 31, 2025. Borrowings under these credit facilities bear interest at variable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120"/>
        <w:jc w:val="left"/>
        <w:rPr/>
      </w:pPr>
      <w:hyperlink w:anchor="i4f75556dbe42480088dae580e614fd1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$19.3 million of senior notes maturing in the next twelve months. We classified this debt as long-term as of March 31, 2025 as we have the intent and ability to refinance such obligation on a long-term basis under the Senior Credit Facility.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Debt outstanding, excluding unamortized issuance costs and discounts, at March 31, 2025 matures on a calendar year basis as follows:</w:t>
      </w:r>
    </w:p>
    <w:tbl>
      <w:tblPr>
        <w:tblW w:w="10205" w:type="dxa"/>
        <w:jc w:val="left"/>
        <w:tblInd w:w="0" w:type="dxa"/>
        <w:tblLayout w:type="fixed"/>
        <w:tblCellMar>
          <w:top w:w="28" w:type="dxa"/>
          <w:left w:w="28" w:type="dxa"/>
          <w:bottom w:w="28" w:type="dxa"/>
          <w:right w:w="28" w:type="dxa"/>
        </w:tblCellMar>
      </w:tblPr>
      <w:tblGrid>
        <w:gridCol w:w="1040"/>
        <w:gridCol w:w="905"/>
        <w:gridCol w:w="907"/>
        <w:gridCol w:w="211"/>
        <w:gridCol w:w="511"/>
        <w:gridCol w:w="109"/>
        <w:gridCol w:w="211"/>
        <w:gridCol w:w="616"/>
        <w:gridCol w:w="109"/>
        <w:gridCol w:w="211"/>
        <w:gridCol w:w="616"/>
        <w:gridCol w:w="109"/>
        <w:gridCol w:w="211"/>
        <w:gridCol w:w="406"/>
        <w:gridCol w:w="109"/>
        <w:gridCol w:w="211"/>
        <w:gridCol w:w="616"/>
        <w:gridCol w:w="109"/>
        <w:gridCol w:w="211"/>
        <w:gridCol w:w="406"/>
        <w:gridCol w:w="109"/>
        <w:gridCol w:w="109"/>
        <w:gridCol w:w="230"/>
        <w:gridCol w:w="671"/>
        <w:gridCol w:w="120"/>
        <w:gridCol w:w="211"/>
        <w:gridCol w:w="766"/>
        <w:gridCol w:w="155"/>
      </w:tblGrid>
      <w:tr>
        <w:trPr/>
        <w:tc>
          <w:tcPr>
            <w:tcW w:w="104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8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Q2 - Q4</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2027</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2028</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2029</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2030</w:t>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Thereafter</w:t>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8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debt obligation maturities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285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10.    Derivatives and Financial Instruments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Derivative financial instruments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related to changes in foreign currency exchange rates and interest rates on our variable rate indebtedness. To manage the volatility related to these exposures, we periodically enter into a variety of derivative financial instruments. Our objective is to reduce, where it is deemed appropriate to do so, fluctuations in earnings and cash flows associated with changes in foreign currency exchange rates or variable interest rates.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Foreign currency contracts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 business in various locations throughout the world and are subject to market risk due to changes in the value of foreign currencies in relation to our reporting currency, the U.S. dollar. We manage our economic and transaction exposure to certain market-based risks through the use of foreign currency derivative financial instruments. Our objective in holding these derivatives is to reduce the volatility of net earnings and cash flows associated with changes in foreign currency exchange rates. The majority of our foreign currency contracts have an original maturity date of less than one year.</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we had outstanding foreign currency derivative contracts with gross notional U.S. dollar equivalent amounts of $19.3 million. At December 31, 2024, there were no outstanding foreign currency derivative contracts. The impact of these contracts on the Condensed Consolidated Statements of Operations and Comprehensive Income was not material for any period presented.</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Cross currency swaps</w:t>
      </w:r>
    </w:p>
    <w:p>
      <w:pPr>
        <w:pStyle w:val="TextBody"/>
        <w:bidi w:val="0"/>
        <w:spacing w:lineRule="auto" w:line="288" w:before="0" w:after="0"/>
        <w:jc w:val="both"/>
        <w:rPr/>
      </w:pPr>
      <w:r>
        <w:rPr>
          <w:rFonts w:ascii="Times New Roman;sans-serif" w:hAnsi="Times New Roman;sans-serif"/>
          <w:b w:val="false"/>
          <w:color w:val="000000"/>
          <w:sz w:val="20"/>
        </w:rPr>
        <w:t xml:space="preserve">At March 31, 2025 and December 31, 2024, we had outstanding cross currency swap agreements with a combined notional amount of $756.1 million and $728.5 million, respectively. The agreements are accounted for as either cash flow hedges, to hedge foreign currency fluctuations on certain intercompany debt, or as net investment hedges to manage our exposure to fluctuations in the Euro-U.S. Dollar exchange rate. We had deferred foreign currency losses of $33.9 million and $13.8 million at March 31, 2025 and December 31, 2024, respectively, recorded in </w:t>
      </w:r>
      <w:r>
        <w:rPr>
          <w:rFonts w:ascii="Times New Roman;sans-serif" w:hAnsi="Times New Roman;sans-serif"/>
          <w:b w:val="false"/>
          <w:i/>
          <w:color w:val="000000"/>
          <w:sz w:val="20"/>
        </w:rPr>
        <w:t>Accumulated other comprehensive loss</w:t>
      </w:r>
      <w:r>
        <w:rPr>
          <w:color w:val="000000"/>
        </w:rPr>
        <w:t xml:space="preserve"> </w:t>
      </w:r>
      <w:r>
        <w:rPr>
          <w:rFonts w:ascii="Times New Roman;sans-serif" w:hAnsi="Times New Roman;sans-serif"/>
          <w:b w:val="false"/>
          <w:color w:val="000000"/>
          <w:sz w:val="20"/>
        </w:rPr>
        <w:t>associated with our cross currency swap activity. The periodic interest settlements related to our cross currency swap agreements are classified as operating activities. The cash flows that relate to principal balances are classified as financing activities for the cash flow hedges on intercompany debt and investing activities for the net investment hedges.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Hedging of variable interest rates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manage our exposure to certain interest rate risks related to our variable-rate debt through the use of interest rate swaps and collars. We enter into these agreements to hedge the variability of interest expense and cash flows attributable to changes in interest rates of our variable-rate debt. As of March 31, 2025, we had an aggregate notional amount of $300.0 million and $200.0 million in interest rate swaps and collars, respectively, that are designated as cash flow hedges.</w:t>
      </w:r>
    </w:p>
    <w:p>
      <w:pPr>
        <w:pStyle w:val="TextBody"/>
        <w:bidi w:val="0"/>
        <w:spacing w:lineRule="auto" w:line="288" w:before="180" w:after="180"/>
        <w:jc w:val="both"/>
        <w:rPr/>
      </w:pPr>
      <w:r>
        <w:rPr>
          <w:rFonts w:ascii="Times New Roman;sans-serif" w:hAnsi="Times New Roman;sans-serif"/>
          <w:b w:val="false"/>
          <w:color w:val="000000"/>
          <w:sz w:val="20"/>
        </w:rPr>
        <w:t xml:space="preserve">Unrealized gains and losses related to the fair value of the interest rate swaps are recorded in </w:t>
      </w:r>
      <w:r>
        <w:rPr>
          <w:rFonts w:ascii="Times New Roman;sans-serif" w:hAnsi="Times New Roman;sans-serif"/>
          <w:b w:val="false"/>
          <w:i/>
          <w:color w:val="000000"/>
          <w:sz w:val="20"/>
        </w:rPr>
        <w:t xml:space="preserve">Accumulated other comprehensive loss </w:t>
      </w:r>
      <w:r>
        <w:rPr>
          <w:rFonts w:ascii="Times New Roman;sans-serif" w:hAnsi="Times New Roman;sans-serif"/>
          <w:b w:val="false"/>
          <w:color w:val="000000"/>
          <w:sz w:val="20"/>
        </w:rPr>
        <w:t xml:space="preserve">on our Condensed Consolidated Balance Sheets. We had unrealized gains of $0.4 million and $1.9 million at March 31, 2025 and December 31, 2024, respectively, recorded in </w:t>
      </w:r>
      <w:r>
        <w:rPr>
          <w:rFonts w:ascii="Times New Roman;sans-serif" w:hAnsi="Times New Roman;sans-serif"/>
          <w:b w:val="false"/>
          <w:i/>
          <w:color w:val="000000"/>
          <w:sz w:val="20"/>
        </w:rPr>
        <w:t>Accumulated other comprehensive loss</w:t>
      </w:r>
      <w:r>
        <w:rPr>
          <w:color w:val="000000"/>
        </w:rPr>
        <w:t xml:space="preserve"> </w:t>
      </w:r>
      <w:r>
        <w:rPr>
          <w:rFonts w:ascii="Times New Roman;sans-serif" w:hAnsi="Times New Roman;sans-serif"/>
          <w:b w:val="false"/>
          <w:color w:val="000000"/>
          <w:sz w:val="20"/>
        </w:rPr>
        <w:t>associated with our interest rate swap and collar activity. The periodic interest settlements related to our interest rate swaps and collars are classified as operating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120"/>
        <w:jc w:val="left"/>
        <w:rPr/>
      </w:pPr>
      <w:hyperlink w:anchor="i4f75556dbe42480088dae580e614fd1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(unaudited)</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tbl>
      <w:tblPr>
        <w:tblW w:w="10205" w:type="dxa"/>
        <w:jc w:val="left"/>
        <w:tblInd w:w="0" w:type="dxa"/>
        <w:tblLayout w:type="fixed"/>
        <w:tblCellMar>
          <w:top w:w="28" w:type="dxa"/>
          <w:left w:w="28" w:type="dxa"/>
          <w:bottom w:w="28" w:type="dxa"/>
          <w:right w:w="28" w:type="dxa"/>
        </w:tblCellMar>
      </w:tblPr>
      <w:tblGrid>
        <w:gridCol w:w="263"/>
        <w:gridCol w:w="232"/>
        <w:gridCol w:w="233"/>
        <w:gridCol w:w="109"/>
        <w:gridCol w:w="109"/>
        <w:gridCol w:w="109"/>
        <w:gridCol w:w="2716"/>
        <w:gridCol w:w="2663"/>
        <w:gridCol w:w="3771"/>
      </w:tblGrid>
      <w:tr>
        <w:trPr/>
        <w:tc>
          <w:tcPr>
            <w:tcW w:w="26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377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Valuation is based on observable inputs such as quoted market prices (unadjusted) for identical assets or liabilities in active markets.</w:t>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Valuation is based on inputs such as quoted market prices for similar assets or liabilities in active markets or other inputs that are observable for the asset or liability, either directly or indirectly, for substantially the full term of the financial instrument.</w:t>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Valuation is based upon other unobservable inputs that are significant to the fair value measurement.</w:t>
            </w:r>
          </w:p>
        </w:tc>
      </w:tr>
    </w:tbl>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lineRule="auto" w:line="288" w:before="0" w:after="0"/>
        <w:jc w:val="both"/>
        <w:rPr/>
      </w:pPr>
      <w:r>
        <w:rPr>
          <w:rFonts w:ascii="Times New Roman;sans-serif" w:hAnsi="Times New Roman;sans-serif"/>
          <w:b w:val="false"/>
          <w:color w:val="000000"/>
          <w:sz w:val="20"/>
        </w:rPr>
        <w:t>The following methods were used to estimate the fair values of each class of financial instrument:</w:t>
      </w:r>
      <w:r>
        <w:rPr>
          <w:color w:val="000000"/>
        </w:rPr>
        <w:t>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short-term financial instruments (cash and cash equivalents, accounts and notes receivable, accounts payable and variable-rate debt)</w:t>
      </w:r>
      <w:r>
        <w:rPr>
          <w:color w:val="000000"/>
        </w:rPr>
        <w:t xml:space="preserve"> — </w:t>
      </w:r>
      <w:r>
        <w:rPr>
          <w:rFonts w:ascii="Times New Roman;sans-serif" w:hAnsi="Times New Roman;sans-serif"/>
          <w:b w:val="false"/>
          <w:color w:val="000000"/>
          <w:sz w:val="20"/>
        </w:rPr>
        <w:t>recorded amount approximates fair value because of the short maturity period;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long-term fixed-rate debt, including current maturities</w:t>
      </w:r>
      <w:r>
        <w:rPr>
          <w:color w:val="000000"/>
        </w:rPr>
        <w:t xml:space="preserve"> — </w:t>
      </w:r>
      <w:r>
        <w:rPr>
          <w:rFonts w:ascii="Times New Roman;sans-serif" w:hAnsi="Times New Roman;sans-serif"/>
          <w:b w:val="false"/>
          <w:color w:val="000000"/>
          <w:sz w:val="20"/>
        </w:rPr>
        <w:t>fair value is based on market quotes available for issuance of debt with similar terms, which are inputs that are classified as Level 2 in the valuation hierarchy defined above;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foreign currency contracts, interest rate swap and collar agreements</w:t>
      </w:r>
      <w:r>
        <w:rPr>
          <w:color w:val="000000"/>
        </w:rPr>
        <w:t xml:space="preserve"> — </w:t>
      </w:r>
      <w:r>
        <w:rPr>
          <w:rFonts w:ascii="Times New Roman;sans-serif" w:hAnsi="Times New Roman;sans-serif"/>
          <w:b w:val="false"/>
          <w:color w:val="000000"/>
          <w:sz w:val="20"/>
        </w:rPr>
        <w:t>fair values are determined through the use of models that consider various assumptions, including time value, yield curves, as well as other relevant economic measures, which are inputs that are classified as Level 2 in the valuation hierarchy defined above;</w:t>
      </w:r>
    </w:p>
    <w:p>
      <w:pPr>
        <w:pStyle w:val="TextBody"/>
        <w:bidi w:val="0"/>
        <w:spacing w:lineRule="auto" w:line="288" w:before="180" w:after="120"/>
        <w:ind w:left="0" w:right="0" w:hanging="360"/>
        <w:jc w:val="both"/>
        <w:rPr/>
      </w:pPr>
      <w:r>
        <w:rPr>
          <w:color w:val="000000"/>
        </w:rPr>
        <w:t>•</w:t>
      </w:r>
      <w:r>
        <w:rPr>
          <w:rFonts w:ascii="Times New Roman;sans-serif" w:hAnsi="Times New Roman;sans-serif"/>
          <w:b w:val="false"/>
          <w:i/>
          <w:color w:val="000000"/>
          <w:sz w:val="20"/>
        </w:rPr>
        <w:t>deferred compensation plan assets (mutual funds, common/collective trusts and cash equivalents for payment of certain non-qualified benefits for retired, terminated and active employees)</w:t>
      </w:r>
      <w:r>
        <w:rPr>
          <w:color w:val="000000"/>
        </w:rPr>
        <w:t xml:space="preserve"> — </w:t>
      </w:r>
      <w:r>
        <w:rPr>
          <w:rFonts w:ascii="Times New Roman;sans-serif" w:hAnsi="Times New Roman;sans-serif"/>
          <w:b w:val="false"/>
          <w:color w:val="000000"/>
          <w:sz w:val="20"/>
        </w:rPr>
        <w:t xml:space="preserve">fair value of mutual funds and cash equivalents are based on quoted market prices in active markets that are classified as Level 1 in the valuation hierarchy defined above; fair value of common/collective trusts are valued at net asset value (“NAV”), which is based on the fair value of the underlying securities owned by the fund and divided by the number of shares outstanding; and </w:t>
      </w:r>
    </w:p>
    <w:p>
      <w:pPr>
        <w:pStyle w:val="TextBody"/>
        <w:bidi w:val="0"/>
        <w:spacing w:lineRule="auto" w:line="288" w:before="180" w:after="120"/>
        <w:ind w:left="0" w:right="0" w:hanging="360"/>
        <w:jc w:val="both"/>
        <w:rPr/>
      </w:pPr>
      <w:r>
        <w:rPr>
          <w:color w:val="000000"/>
        </w:rPr>
        <w:t>•</w:t>
      </w:r>
      <w:r>
        <w:rPr>
          <w:rFonts w:ascii="Times New Roman;sans-serif" w:hAnsi="Times New Roman;sans-serif"/>
          <w:b w:val="false"/>
          <w:i/>
          <w:color w:val="000000"/>
          <w:sz w:val="20"/>
        </w:rPr>
        <w:t>contingent earn-out liabilities</w:t>
      </w:r>
      <w:r>
        <w:rPr>
          <w:color w:val="000000"/>
        </w:rPr>
        <w:t xml:space="preserve"> — </w:t>
      </w:r>
      <w:r>
        <w:rPr>
          <w:rFonts w:ascii="Times New Roman;sans-serif" w:hAnsi="Times New Roman;sans-serif"/>
          <w:b w:val="false"/>
          <w:color w:val="000000"/>
          <w:sz w:val="20"/>
        </w:rPr>
        <w:t>fair value is generally established using a probability-weighted discounted income approach to convert future estimated cash flows to a single present value amount. The related inputs are classified as Level 3 in the valuation hierarchy defined above.</w:t>
      </w:r>
    </w:p>
    <w:p>
      <w:pPr>
        <w:pStyle w:val="TextBody"/>
        <w:bidi w:val="0"/>
        <w:spacing w:lineRule="auto" w:line="288"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recorded amounts and estimated fair values of total debt, excluding unamortized issuance costs and discounts, were as follows:</w:t>
      </w:r>
    </w:p>
    <w:tbl>
      <w:tblPr>
        <w:tblW w:w="6276" w:type="dxa"/>
        <w:jc w:val="left"/>
        <w:tblInd w:w="0" w:type="dxa"/>
        <w:tblLayout w:type="fixed"/>
        <w:tblCellMar>
          <w:top w:w="28" w:type="dxa"/>
          <w:left w:w="28" w:type="dxa"/>
          <w:bottom w:w="28" w:type="dxa"/>
          <w:right w:w="28" w:type="dxa"/>
        </w:tblCellMar>
      </w:tblPr>
      <w:tblGrid>
        <w:gridCol w:w="566"/>
        <w:gridCol w:w="495"/>
        <w:gridCol w:w="499"/>
        <w:gridCol w:w="211"/>
        <w:gridCol w:w="766"/>
        <w:gridCol w:w="109"/>
        <w:gridCol w:w="211"/>
        <w:gridCol w:w="766"/>
        <w:gridCol w:w="109"/>
        <w:gridCol w:w="109"/>
        <w:gridCol w:w="109"/>
        <w:gridCol w:w="109"/>
        <w:gridCol w:w="211"/>
        <w:gridCol w:w="766"/>
        <w:gridCol w:w="109"/>
        <w:gridCol w:w="211"/>
        <w:gridCol w:w="766"/>
        <w:gridCol w:w="154"/>
      </w:tblGrid>
      <w:tr>
        <w:trPr/>
        <w:tc>
          <w:tcPr>
            <w:tcW w:w="56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Recorded</w:t>
              <w:br/>
              <w:t>Amount</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Recorded</w:t>
              <w:br/>
              <w:t>Amount</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w:t>
              <w:br/>
              <w:t>Value</w:t>
            </w:r>
          </w:p>
        </w:tc>
      </w:tr>
      <w:tr>
        <w:trPr/>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rate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rate debt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120"/>
        <w:jc w:val="left"/>
        <w:rPr/>
      </w:pPr>
      <w:hyperlink w:anchor="i4f75556dbe42480088dae580e614fd1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(unaudited)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measured at fair value on a recurring and nonrecurring basis were as follows:</w:t>
      </w:r>
    </w:p>
    <w:tbl>
      <w:tblPr>
        <w:tblW w:w="7649" w:type="dxa"/>
        <w:jc w:val="left"/>
        <w:tblInd w:w="0" w:type="dxa"/>
        <w:tblLayout w:type="fixed"/>
        <w:tblCellMar>
          <w:top w:w="28" w:type="dxa"/>
          <w:left w:w="28" w:type="dxa"/>
          <w:bottom w:w="28" w:type="dxa"/>
          <w:right w:w="28" w:type="dxa"/>
        </w:tblCellMar>
      </w:tblPr>
      <w:tblGrid>
        <w:gridCol w:w="1206"/>
        <w:gridCol w:w="1057"/>
        <w:gridCol w:w="1066"/>
        <w:gridCol w:w="211"/>
        <w:gridCol w:w="511"/>
        <w:gridCol w:w="109"/>
        <w:gridCol w:w="211"/>
        <w:gridCol w:w="586"/>
        <w:gridCol w:w="109"/>
        <w:gridCol w:w="211"/>
        <w:gridCol w:w="481"/>
        <w:gridCol w:w="109"/>
        <w:gridCol w:w="211"/>
        <w:gridCol w:w="511"/>
        <w:gridCol w:w="109"/>
        <w:gridCol w:w="211"/>
        <w:gridCol w:w="586"/>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NAV</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Recurring fair value measurements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contract liabilities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 assets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liabilities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recurring fair value measurements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bl>
    <w:tbl>
      <w:tblPr>
        <w:tblW w:w="7469" w:type="dxa"/>
        <w:jc w:val="center"/>
        <w:tblInd w:w="0" w:type="dxa"/>
        <w:tblLayout w:type="fixed"/>
        <w:tblCellMar>
          <w:top w:w="28" w:type="dxa"/>
          <w:left w:w="28" w:type="dxa"/>
          <w:bottom w:w="28" w:type="dxa"/>
          <w:right w:w="28" w:type="dxa"/>
        </w:tblCellMar>
      </w:tblPr>
      <w:tblGrid>
        <w:gridCol w:w="1206"/>
        <w:gridCol w:w="1057"/>
        <w:gridCol w:w="1066"/>
        <w:gridCol w:w="211"/>
        <w:gridCol w:w="511"/>
        <w:gridCol w:w="109"/>
        <w:gridCol w:w="211"/>
        <w:gridCol w:w="586"/>
        <w:gridCol w:w="109"/>
        <w:gridCol w:w="211"/>
        <w:gridCol w:w="481"/>
        <w:gridCol w:w="109"/>
        <w:gridCol w:w="211"/>
        <w:gridCol w:w="511"/>
        <w:gridCol w:w="109"/>
        <w:gridCol w:w="211"/>
        <w:gridCol w:w="406"/>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NAV</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Recurring fair value measurements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contract assets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contract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compensation plan assets </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recurring fair value measurements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 2024, we completed the acquisition of G &amp; F Manufacturing, LLC (“G &amp; F Manufacturing”). In conjunction with the acquisition, we recorded an estimated fair value of $8.0 million of contingent earn-out liabilities, which are considered Level 3 under our fair value hierarchy. The recorded fair value of the associated contingent earn-out liabilities was reviewed as of March 31, 2025, with no further change in fair value. The fair value of the contingent earn-out liabilities will be re-measured for each reporting period until resolution of the contingent earn-out payments, and any resulting changes to fair value would be recorded in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11.    Income Taxes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manage our affairs so that we are centrally managed and controlled in the United Kingdom (“U.K.”) and therefore have our tax residency in the U.K. The provision for income taxes consists of provisions for the U.K. and international income taxes. We operate in an international environment with operations in various locations outside the U.K. Accordingly, the consolidated income tax rate is a composite rate reflecting the earnings in the various locations and the applicable rates.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income tax rate for the three months ended March 31, 2025 was 15.3%, compared to 13.0% for the three months ended March 31, 2024. We continue to actively pursue initiatives to reduce our effective tax rate. The tax rate in any quarter can be affected positively or negatively by the mix of global earnings or adjustments that are required to be reported in the specific quarter of resolution. </w:t>
      </w:r>
    </w:p>
    <w:p>
      <w:pPr>
        <w:pStyle w:val="TextBody"/>
        <w:bidi w:val="0"/>
        <w:spacing w:lineRule="auto" w:line="288" w:before="180" w:after="200"/>
        <w:jc w:val="both"/>
        <w:rPr/>
      </w:pPr>
      <w:r>
        <w:rPr>
          <w:rFonts w:ascii="Times New Roman;sans-serif" w:hAnsi="Times New Roman;sans-serif"/>
          <w:b w:val="false"/>
          <w:color w:val="000000"/>
          <w:sz w:val="20"/>
        </w:rPr>
        <w:t xml:space="preserve">The total gross liability for uncertain tax positions was $6.0 million at both March 31, 2025 and December 31, 2024. We record penalties and interest related to unrecognized tax benefits in </w:t>
      </w:r>
      <w:r>
        <w:rPr>
          <w:rFonts w:ascii="Times New Roman;sans-serif" w:hAnsi="Times New Roman;sans-serif"/>
          <w:b w:val="false"/>
          <w:i/>
          <w:color w:val="000000"/>
          <w:sz w:val="20"/>
        </w:rPr>
        <w:t>Provision for income taxes</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Net interest expense</w:t>
      </w:r>
      <w:r>
        <w:rPr>
          <w:rFonts w:ascii="Times New Roman;sans-serif" w:hAnsi="Times New Roman;sans-serif"/>
          <w:b w:val="false"/>
          <w:color w:val="000000"/>
          <w:sz w:val="20"/>
        </w:rPr>
        <w:t>, respectively, on the Condensed Consolidated Statements of Operations and Comprehensive Income, which is consistent with our past practices.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Organization for Economic Co-operation and Development Pillar Two Model Rules (“Pillar Two”) for a global 15.0% minimum tax have been adopted by a number of jurisdictions in which we operate. For the three months ended March 31, 2025 and March 31, 2024, the impact of Pillar Two on our condensed consolidated financial statements was not material.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120"/>
        <w:jc w:val="left"/>
        <w:rPr/>
      </w:pPr>
      <w:hyperlink w:anchor="i4f75556dbe42480088dae580e614fd1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(unaudited)</w:t>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12.    Benefit Plans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net periodic benefit expense for our pension plans for the three months ended March 31, 2025 and 2024 were as follows:</w:t>
      </w:r>
    </w:p>
    <w:tbl>
      <w:tblPr>
        <w:tblW w:w="5630" w:type="dxa"/>
        <w:jc w:val="left"/>
        <w:tblInd w:w="0" w:type="dxa"/>
        <w:tblLayout w:type="fixed"/>
        <w:tblCellMar>
          <w:top w:w="28" w:type="dxa"/>
          <w:left w:w="28" w:type="dxa"/>
          <w:bottom w:w="28" w:type="dxa"/>
          <w:right w:w="28" w:type="dxa"/>
        </w:tblCellMar>
      </w:tblPr>
      <w:tblGrid>
        <w:gridCol w:w="936"/>
        <w:gridCol w:w="818"/>
        <w:gridCol w:w="825"/>
        <w:gridCol w:w="109"/>
        <w:gridCol w:w="109"/>
        <w:gridCol w:w="237"/>
        <w:gridCol w:w="458"/>
        <w:gridCol w:w="882"/>
        <w:gridCol w:w="237"/>
        <w:gridCol w:w="279"/>
        <w:gridCol w:w="537"/>
        <w:gridCol w:w="203"/>
      </w:tblGrid>
      <w:tr>
        <w:trPr/>
        <w:tc>
          <w:tcPr>
            <w:tcW w:w="93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19" w:type="dxa"/>
            <w:gridSpan w:val="3"/>
            <w:tcBorders/>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r>
      <w:tr>
        <w:trPr/>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net periodic benefit expense for our other post-retirement plans for the three months ended March 31, 2025 and 2024 were not material.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13.    Shareholders’ Equity</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Share repurchases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2020, the Board of Directors authorized the repurchase of our ordinary shares up to a maximum dollar limit of $750.0 million. The authorization expires on December 31, 2025. During the three months ended March 31, 2025, we repurchased 0.6 million of our ordinary shares for $50.0 million. As of March 31, 2025, we had $400.0 million available for share repurchases under this authorization.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Dividends payable</w:t>
      </w:r>
    </w:p>
    <w:p>
      <w:pPr>
        <w:pStyle w:val="TextBody"/>
        <w:bidi w:val="0"/>
        <w:spacing w:lineRule="auto" w:line="288" w:before="0" w:after="200"/>
        <w:jc w:val="both"/>
        <w:rPr/>
      </w:pPr>
      <w:r>
        <w:rPr>
          <w:rFonts w:ascii="Times New Roman;sans-serif" w:hAnsi="Times New Roman;sans-serif"/>
          <w:b w:val="false"/>
          <w:color w:val="000000"/>
          <w:sz w:val="20"/>
        </w:rPr>
        <w:t xml:space="preserve">On February 24, 2025, the Board of Directors declared a quarterly cash dividend of $0.25 per share, payable on May 2, 2025 to shareholders of record at the close of business on April 18, 2025. As a result, the balance of dividends payable included in </w:t>
      </w:r>
      <w:r>
        <w:rPr>
          <w:rFonts w:ascii="Times New Roman;sans-serif" w:hAnsi="Times New Roman;sans-serif"/>
          <w:b w:val="false"/>
          <w:i/>
          <w:color w:val="000000"/>
          <w:sz w:val="20"/>
        </w:rPr>
        <w:t xml:space="preserve">Other current liabilities </w:t>
      </w:r>
      <w:r>
        <w:rPr>
          <w:rFonts w:ascii="Times New Roman;sans-serif" w:hAnsi="Times New Roman;sans-serif"/>
          <w:b w:val="false"/>
          <w:color w:val="000000"/>
          <w:sz w:val="20"/>
        </w:rPr>
        <w:t>on our Condensed Consolidated Balance Sheets was $41.2 million at both March 31,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14.    Segment Information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comprised of three reportable segments: Flow, Water Solutions and Pool. We evaluate performance based on net sales and reportable segment income and use certain ratios, particularly return on sales, to measure performance of our reportable segments. These results are not necessarily indicative of the results of operations that would have occurred had each segment been an independent, stand-alone entity during the periods presented. Reportable segment income represents operating income of each reportable segment inclusive of equity income of unconsolidated subsidiaries and exclusive of intangible amortization, certain acquisition related expenses, costs of restructuring and transformation activities, impairments, legal accrual adjustments and settlements and other unusual non-operating items. “Corporate and other” activity primarily consists of corporate expenses not allocated to the segments, including executive office, board of directors, and centrally-managed corporate functional or shared service costs related to finance, human resources, communications and corporate development. These activities do not meet the criteria for a stand-alone reportable segment under accounting standards codification (“ASC”) 280.</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information by reportable segment as well as a reconciliation of reportable segment income to consolidated income from continuing operations before income taxes is as follows:</w:t>
      </w:r>
    </w:p>
    <w:tbl>
      <w:tblPr>
        <w:tblW w:w="4550" w:type="dxa"/>
        <w:jc w:val="left"/>
        <w:tblInd w:w="0" w:type="dxa"/>
        <w:tblLayout w:type="fixed"/>
        <w:tblCellMar>
          <w:top w:w="28" w:type="dxa"/>
          <w:left w:w="28" w:type="dxa"/>
          <w:bottom w:w="28" w:type="dxa"/>
          <w:right w:w="28" w:type="dxa"/>
        </w:tblCellMar>
      </w:tblPr>
      <w:tblGrid>
        <w:gridCol w:w="784"/>
        <w:gridCol w:w="685"/>
        <w:gridCol w:w="691"/>
        <w:gridCol w:w="211"/>
        <w:gridCol w:w="766"/>
        <w:gridCol w:w="109"/>
        <w:gridCol w:w="243"/>
        <w:gridCol w:w="884"/>
        <w:gridCol w:w="177"/>
      </w:tblGrid>
      <w:tr>
        <w:trPr/>
        <w:tc>
          <w:tcPr>
            <w:tcW w:w="78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13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239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Identifiable assets </w:t>
            </w:r>
            <w:r>
              <w:rPr>
                <w:rFonts w:ascii="Times New Roman;sans-serif" w:hAnsi="Times New Roman;sans-serif"/>
                <w:b/>
                <w:color w:val="000000"/>
                <w:sz w:val="13"/>
              </w:rPr>
              <w:t>(1)</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Water Solutions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Pool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Reportable segment total</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6,005.5 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6,446.5 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8"/>
        </w:rPr>
        <w:t>All cash and cash equivalents are included in “Corporate and other.”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120"/>
        <w:jc w:val="left"/>
        <w:rPr/>
      </w:pPr>
      <w:hyperlink w:anchor="i4f75556dbe42480088dae580e614fd1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(unaudited)</w:t>
      </w:r>
    </w:p>
    <w:tbl>
      <w:tblPr>
        <w:tblW w:w="9411" w:type="dxa"/>
        <w:jc w:val="left"/>
        <w:tblInd w:w="0" w:type="dxa"/>
        <w:tblLayout w:type="fixed"/>
        <w:tblCellMar>
          <w:top w:w="28" w:type="dxa"/>
          <w:left w:w="28" w:type="dxa"/>
          <w:bottom w:w="28" w:type="dxa"/>
          <w:right w:w="28" w:type="dxa"/>
        </w:tblCellMar>
      </w:tblPr>
      <w:tblGrid>
        <w:gridCol w:w="784"/>
        <w:gridCol w:w="685"/>
        <w:gridCol w:w="691"/>
        <w:gridCol w:w="109"/>
        <w:gridCol w:w="109"/>
        <w:gridCol w:w="210"/>
        <w:gridCol w:w="407"/>
        <w:gridCol w:w="987"/>
        <w:gridCol w:w="210"/>
        <w:gridCol w:w="247"/>
        <w:gridCol w:w="600"/>
        <w:gridCol w:w="128"/>
        <w:gridCol w:w="109"/>
        <w:gridCol w:w="109"/>
        <w:gridCol w:w="109"/>
        <w:gridCol w:w="109"/>
        <w:gridCol w:w="906"/>
        <w:gridCol w:w="908"/>
        <w:gridCol w:w="247"/>
        <w:gridCol w:w="600"/>
        <w:gridCol w:w="128"/>
        <w:gridCol w:w="245"/>
        <w:gridCol w:w="595"/>
        <w:gridCol w:w="179"/>
      </w:tblGrid>
      <w:tr>
        <w:trPr/>
        <w:tc>
          <w:tcPr>
            <w:tcW w:w="78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994" w:type="dxa"/>
            <w:gridSpan w:val="6"/>
            <w:tcBorders/>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9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10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57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Capital expenditures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99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Depreciation</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Pool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Reportable segment 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122" w:type="dxa"/>
        <w:jc w:val="left"/>
        <w:tblInd w:w="0" w:type="dxa"/>
        <w:tblLayout w:type="fixed"/>
        <w:tblCellMar>
          <w:top w:w="28" w:type="dxa"/>
          <w:left w:w="28" w:type="dxa"/>
          <w:bottom w:w="28" w:type="dxa"/>
          <w:right w:w="28" w:type="dxa"/>
        </w:tblCellMar>
      </w:tblPr>
      <w:tblGrid>
        <w:gridCol w:w="1684"/>
        <w:gridCol w:w="1475"/>
        <w:gridCol w:w="1490"/>
        <w:gridCol w:w="211"/>
        <w:gridCol w:w="616"/>
        <w:gridCol w:w="109"/>
        <w:gridCol w:w="331"/>
        <w:gridCol w:w="968"/>
        <w:gridCol w:w="171"/>
        <w:gridCol w:w="211"/>
        <w:gridCol w:w="616"/>
        <w:gridCol w:w="109"/>
        <w:gridCol w:w="211"/>
        <w:gridCol w:w="766"/>
        <w:gridCol w:w="154"/>
      </w:tblGrid>
      <w:tr>
        <w:trPr/>
        <w:tc>
          <w:tcPr>
            <w:tcW w:w="1684"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91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4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Flow</w:t>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Water Solutions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Pool</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Reconciliation of consolidated net sales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net sales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Cost of goods sold </w:t>
            </w:r>
            <w:r>
              <w:rPr>
                <w:rFonts w:ascii="Times New Roman;sans-serif" w:hAnsi="Times New Roman;sans-serif"/>
                <w:b w:val="false"/>
                <w:color w:val="000000"/>
                <w:sz w:val="13"/>
              </w:rPr>
              <w:t>(1)(3)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expenses</w:t>
            </w:r>
            <w:r>
              <w:rPr>
                <w:color w:val="000000"/>
              </w:rPr>
              <w:t xml:space="preserve"> </w:t>
            </w:r>
            <w:r>
              <w:rPr>
                <w:rFonts w:ascii="Times New Roman;sans-serif" w:hAnsi="Times New Roman;sans-serif"/>
                <w:b w:val="false"/>
                <w:color w:val="000000"/>
                <w:sz w:val="13"/>
              </w:rPr>
              <w:t>(1)(2)(3)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Reportable segment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Transformation costs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 and write-offs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amortization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continuing operations before income taxes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18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8"/>
        </w:rPr>
        <w:t>The significant expense categories and amounts align with the segment-level information that is regularly provided to the chief operating decision maker (“CODM”), which includes certain corporate overhead allocations directly attributable to each of the segments.</w:t>
      </w:r>
    </w:p>
    <w:p>
      <w:pPr>
        <w:pStyle w:val="TextBody"/>
        <w:bidi w:val="0"/>
        <w:spacing w:lineRule="auto" w:line="288" w:before="40" w:after="283"/>
        <w:ind w:left="0" w:right="0" w:hanging="180"/>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O</w:t>
      </w:r>
      <w:r>
        <w:rPr>
          <w:rFonts w:ascii="Times New Roman;sans-serif" w:hAnsi="Times New Roman;sans-serif"/>
          <w:b w:val="false"/>
          <w:color w:val="000000"/>
          <w:sz w:val="18"/>
        </w:rPr>
        <w:t>perating expenses include selling, general, administrative, research and development costs which primarily consist of non-manufacturing employee compensation, non-manufacturing overhead and professional service costs as well as depreciation expense.</w:t>
      </w:r>
    </w:p>
    <w:p>
      <w:pPr>
        <w:pStyle w:val="TextBody"/>
        <w:bidi w:val="0"/>
        <w:spacing w:lineRule="auto" w:line="288" w:before="40" w:after="283"/>
        <w:ind w:left="0" w:right="0" w:hanging="180"/>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18"/>
        </w:rPr>
        <w:t>These costs exclude certain expenses reported in the Condensed Consolidated Statements of Operations and Comprehensive Income, including costs that are reflected in "Corporate and other,” and expenses excluded from reportable segment income as defined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120"/>
        <w:jc w:val="left"/>
        <w:rPr/>
      </w:pPr>
      <w:hyperlink w:anchor="i4f75556dbe42480088dae580e614fd1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Pentair plc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(unaudited)</w:t>
      </w:r>
    </w:p>
    <w:tbl>
      <w:tblPr>
        <w:tblW w:w="9122" w:type="dxa"/>
        <w:jc w:val="left"/>
        <w:tblInd w:w="0" w:type="dxa"/>
        <w:tblLayout w:type="fixed"/>
        <w:tblCellMar>
          <w:top w:w="28" w:type="dxa"/>
          <w:left w:w="28" w:type="dxa"/>
          <w:bottom w:w="28" w:type="dxa"/>
          <w:right w:w="28" w:type="dxa"/>
        </w:tblCellMar>
      </w:tblPr>
      <w:tblGrid>
        <w:gridCol w:w="1684"/>
        <w:gridCol w:w="1475"/>
        <w:gridCol w:w="1490"/>
        <w:gridCol w:w="211"/>
        <w:gridCol w:w="616"/>
        <w:gridCol w:w="109"/>
        <w:gridCol w:w="331"/>
        <w:gridCol w:w="968"/>
        <w:gridCol w:w="171"/>
        <w:gridCol w:w="211"/>
        <w:gridCol w:w="616"/>
        <w:gridCol w:w="109"/>
        <w:gridCol w:w="211"/>
        <w:gridCol w:w="766"/>
        <w:gridCol w:w="154"/>
      </w:tblGrid>
      <w:tr>
        <w:trPr/>
        <w:tc>
          <w:tcPr>
            <w:tcW w:w="1684"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91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r>
      <w:tr>
        <w:trPr/>
        <w:tc>
          <w:tcPr>
            <w:tcW w:w="4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Flow</w:t>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Water Solutions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Pool</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Reconciliation of consolidated net sales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net sales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Cost of goods sold </w:t>
            </w:r>
            <w:r>
              <w:rPr>
                <w:rFonts w:ascii="Times New Roman;sans-serif" w:hAnsi="Times New Roman;sans-serif"/>
                <w:b w:val="false"/>
                <w:color w:val="000000"/>
                <w:sz w:val="13"/>
              </w:rPr>
              <w:t>(1)(3)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expenses</w:t>
            </w:r>
            <w:r>
              <w:rPr>
                <w:color w:val="000000"/>
              </w:rPr>
              <w:t xml:space="preserve"> </w:t>
            </w:r>
            <w:r>
              <w:rPr>
                <w:rFonts w:ascii="Times New Roman;sans-serif" w:hAnsi="Times New Roman;sans-serif"/>
                <w:b w:val="false"/>
                <w:color w:val="000000"/>
                <w:sz w:val="13"/>
              </w:rPr>
              <w:t>(1)(2)(3)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Reportable segment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Transformation costs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 and write-offs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Legal accrual adjustments and settlements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amortization</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continuing operations before income taxes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18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8"/>
        </w:rPr>
        <w:t>The significant expense categories and amounts align with the segment-level information that is regularly provided to the CODM, which includes certain corporate overhead allocations directly attributable to each of the segments.</w:t>
      </w:r>
    </w:p>
    <w:p>
      <w:pPr>
        <w:pStyle w:val="TextBody"/>
        <w:bidi w:val="0"/>
        <w:spacing w:lineRule="auto" w:line="288" w:before="40" w:after="283"/>
        <w:ind w:left="0" w:right="0" w:hanging="180"/>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18"/>
        </w:rPr>
        <w:t>Operating expenses include selling, general, administrative, research and development costs which primarily consist of non-manufacturing employee compensation, non-manufacturing overhead and professional service costs as well as depreciation expense.</w:t>
      </w:r>
    </w:p>
    <w:p>
      <w:pPr>
        <w:pStyle w:val="TextBody"/>
        <w:bidi w:val="0"/>
        <w:spacing w:lineRule="auto" w:line="288" w:before="40" w:after="283"/>
        <w:ind w:left="0" w:right="0" w:hanging="180"/>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18"/>
        </w:rPr>
        <w:t>These costs exclude certain expenses reported in the Condensed Consolidated Statements of Operations and Comprehensive Income, including costs that are reflected in "Corporate and other,” and expenses excluded from reportable segment income as defined above.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15.    Commitments and Contingencies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Warranties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service and warranty policies on our products. Liability under service and warranty policies is based upon a review of historical warranty and service claim experience. Adjustments are made to accruals as claim data and historical experience warrant.</w:t>
      </w:r>
    </w:p>
    <w:p>
      <w:pPr>
        <w:pStyle w:val="TextBody"/>
        <w:bidi w:val="0"/>
        <w:spacing w:lineRule="auto" w:line="288" w:before="180" w:after="10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service and product warranties from continuing operations for the three months ended March 31, 2025 were as follows:</w:t>
      </w:r>
    </w:p>
    <w:tbl>
      <w:tblPr>
        <w:tblW w:w="4334" w:type="dxa"/>
        <w:jc w:val="left"/>
        <w:tblInd w:w="0" w:type="dxa"/>
        <w:tblLayout w:type="fixed"/>
        <w:tblCellMar>
          <w:top w:w="28" w:type="dxa"/>
          <w:left w:w="28" w:type="dxa"/>
          <w:bottom w:w="28" w:type="dxa"/>
          <w:right w:w="28" w:type="dxa"/>
        </w:tblCellMar>
      </w:tblPr>
      <w:tblGrid>
        <w:gridCol w:w="1201"/>
        <w:gridCol w:w="1050"/>
        <w:gridCol w:w="1064"/>
        <w:gridCol w:w="245"/>
        <w:gridCol w:w="595"/>
        <w:gridCol w:w="179"/>
      </w:tblGrid>
      <w:tr>
        <w:trPr/>
        <w:tc>
          <w:tcPr>
            <w:tcW w:w="120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r>
      <w:tr>
        <w:trPr/>
        <w:tc>
          <w:tcPr>
            <w:tcW w:w="3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and product warranty provision</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Stand-by letters of credit, bank guarantees and bonds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pStyle w:val="TextBody"/>
        <w:bidi w:val="0"/>
        <w:spacing w:lineRule="auto" w:line="288" w:before="18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the outstanding value of bonds, letters of credit and bank guarantees totaled $102.8 million and $102.1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f75556dbe42480088dae580e614fd1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Forward-looking statements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“could,” “positioned,” “strategy,” or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the overall global economic and business conditions impacting our business, including the strength of housing and related markets and conditions relating to international hostilities; supply, demand, logistics, competition and pricing pressures related to and in the markets we serve; the ability to achieve the benefits of our restructuring plans, cost reduction initiatives and Transformation Program; the impact of raw material, logistics and labor costs and other inflation; volatility in currency exchange rates and interest rates; failure of markets to accept new product introductions and enhancements; the ability to successfully identify, finance, complete and integrate acquisitions; risks associated with operating foreign businesses; the impact of seasonality of sales and weather conditions; our ability to comply with laws and regulations; the impact of changes in laws, regulations and administrative policy, including those that limit U.S. tax benefits or impact trade agreements and tariffs; the outcome of litigation and governmental proceedings; and the ability to achieve our long-term strategic operating and sustainability goals and targets. Additional information concerning these and other factors is contained in our filings with the U.S. Securities and Exchange Commission, including this Form 10-Q and our Annual Report on Form 10-K for the year ended December 31, 2024. All forward-looking statements speak only as of the date of this report. Pentair assumes no obligation, and disclaims any obligation, to update the information contained in this report.</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terms “us,” “we,” “our” or “Pentair” refer to Pentair plc and its consolidated subsidiaries. At Pentair, we believe the health of our world depends on reliable access to clean water. We deliver a comprehensive range of smart, sustainable water solutions to homes, businesses and industries around the world. Our industry-leading and proven portfolio of solutions enables our customers to access clean, safe water; reduce water consumption; and recover and reuse water. Whether it’s moving, improving or helping people enjoy water, we help manage life’s most essential resource. We are comprised of three reportable segments: Flow, Water Solutions and Pool. For the first three months of 2025, the Flow, Water Solutions and Pool reportable segments represented approximately 36%, 26% and 38% of total consolidated net sales, respectively. We classify our operations into reportable segments based primarily on types of products offered and markets served:</w:t>
      </w:r>
    </w:p>
    <w:p>
      <w:pPr>
        <w:pStyle w:val="TextBody"/>
        <w:bidi w:val="0"/>
        <w:spacing w:lineRule="auto" w:line="288" w:before="0" w:after="180"/>
        <w:ind w:left="0" w:right="0" w:hanging="360"/>
        <w:jc w:val="both"/>
        <w:rPr/>
      </w:pPr>
      <w:r>
        <w:rPr>
          <w:color w:val="000000"/>
        </w:rPr>
        <w:t>•</w:t>
      </w:r>
      <w:r>
        <w:rPr>
          <w:rFonts w:ascii="Times New Roman;sans-serif" w:hAnsi="Times New Roman;sans-serif"/>
          <w:b/>
          <w:i/>
          <w:color w:val="000000"/>
          <w:sz w:val="20"/>
        </w:rPr>
        <w:t xml:space="preserve">Flow </w:t>
      </w:r>
      <w:r>
        <w:rPr>
          <w:color w:val="000000"/>
        </w:rPr>
        <w:t xml:space="preserve">— </w:t>
      </w:r>
      <w:r>
        <w:rPr>
          <w:rFonts w:ascii="Times New Roman;sans-serif" w:hAnsi="Times New Roman;sans-serif"/>
          <w:b w:val="false"/>
          <w:color w:val="000000"/>
          <w:sz w:val="20"/>
        </w:rPr>
        <w:t>The focus of this segment is to deliver water where it is needed, when it is needed, more efficiently and to transform waste into value. This segment designs, manufactures and sells a variety of fluid treatment and pump products and systems, including pressure vessels, gas recovery solutions, membrane bioreactors, wastewater reuse systems and advanced membrane filtration, separation systems, water disposal pumps, water supply pumps, fluid transfer pumps, turbine pumps, solid handling pumps and agricultural spray nozzles, while serving the global residential, commercial and industrial markets. These products and systems are used in a range of applications, including fluid delivery, ion exchange, desalination, food and beverage, separation technologies for the oil and gas industry, residential and municipal wells, water treatment, wastewater solids handling, pressure boosting, circulation and transfer, fire suppression, flood control, agricultural irrigation and crop spray.</w:t>
      </w:r>
    </w:p>
    <w:p>
      <w:pPr>
        <w:pStyle w:val="TextBody"/>
        <w:bidi w:val="0"/>
        <w:spacing w:lineRule="auto" w:line="288" w:before="0" w:after="180"/>
        <w:ind w:left="0" w:right="0" w:hanging="360"/>
        <w:jc w:val="both"/>
        <w:rPr/>
      </w:pPr>
      <w:r>
        <w:rPr>
          <w:color w:val="000000"/>
        </w:rPr>
        <w:t>•</w:t>
      </w:r>
      <w:r>
        <w:rPr>
          <w:rFonts w:ascii="Times New Roman;sans-serif" w:hAnsi="Times New Roman;sans-serif"/>
          <w:b/>
          <w:i/>
          <w:color w:val="000000"/>
          <w:sz w:val="20"/>
        </w:rPr>
        <w:t xml:space="preserve">Water Solutions </w:t>
      </w:r>
      <w:r>
        <w:rPr>
          <w:color w:val="000000"/>
        </w:rPr>
        <w:t xml:space="preserve">— </w:t>
      </w:r>
      <w:r>
        <w:rPr>
          <w:rFonts w:ascii="Times New Roman;sans-serif" w:hAnsi="Times New Roman;sans-serif"/>
          <w:b w:val="false"/>
          <w:color w:val="000000"/>
          <w:sz w:val="20"/>
        </w:rPr>
        <w:t>The focus of this segment is to provide great-tasting, higher-quality water and ice while helping people use water more productively. This segment designs, manufactures and sells commercial and residential water treatment products and systems including pressure tanks, control valves, activated carbon products, commercial ice machines, conventional filtration products, and point-of-entry and point-of-use water treatment systems. These water treatment products and systems are used in residential whole home water filtration, drinking water filtration and water softening solutions in addition to commercial total water management and filtration in foodservice operations. In addition, our water solutions business also provides installation and preventative services for water management solutions for commercial operators.</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f75556dbe42480088dae580e614fd1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ans-serif" w:hAnsi="Times New Roman;sans-serif"/>
          <w:b/>
          <w:i/>
          <w:color w:val="000000"/>
          <w:sz w:val="20"/>
        </w:rPr>
        <w:t xml:space="preserve">Pool </w:t>
      </w:r>
      <w:r>
        <w:rPr>
          <w:color w:val="000000"/>
        </w:rPr>
        <w:t xml:space="preserve">— </w:t>
      </w:r>
      <w:r>
        <w:rPr>
          <w:rFonts w:ascii="Times New Roman;sans-serif" w:hAnsi="Times New Roman;sans-serif"/>
          <w:b w:val="false"/>
          <w:color w:val="000000"/>
          <w:sz w:val="20"/>
        </w:rPr>
        <w:t>The focus of this segment is to provide innovative, energy-efficient pool solutions to help people more sustainably enjoy water. This segment designs, manufactures and sells a complete line of energy-efficient residential and commercial pool equipment and accessories including pumps, filters, heaters, lights, automatic controls, automatic cleaners, maintenance equipment and pool accessories. Applications for our pool products include residential and commercial pool maintenance, pool repair, renovation, service, construction and aquaculture solutions.</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 2024, as part of our Pool reportable segment, we completed the acquisition of G &amp; F Manufacturing, LLC (“G &amp; F Manufacturing”) for $116.0 million in cash, net of cash acquired and subject to customary adjustments. The net purchase price is comprised of an upfront cash payment of $108.0 million, subject to customary adjustments, and the estimated fair value at the acquisition date of a contingent earn-out liability based upon the achievement of certain defined operating results in the two years following the acquisition. G &amp; F Manufacturing manufactures and services pool heat pumps.</w:t>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Key trends and uncertainties regarding our existing business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trends and uncertainties affected our financial performance in the first three months of 2025 and are reasonably likely to impact our results in the future: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We have a Transformation Program designed to accelerate growth and drive margin expansion by driving operational excellence, reducing complexity and streamlining our processes. During 2024 and the first three months of 2025, we made strategic progress on our Transformation Program initiatives with a focus on our four key themes of pricing excellence, strategic sourcing, operations excellence and organizational effectiveness. We expect to continue to execute on our key Transformation Program initiatives to drive margin expansion and to continue to incur transformation costs throughout the remainder of 2025 and beyond.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During 2024 and the first three months of 2025, we implemented 80/20 guiding principles to enable our Transformation Program. This 80/20 analysis is expected to create value by focusing on key customers and products through quadrant-based strategies. We expect the analysis to result in actions to improve operating performance by driving growth with our highest value customers, reducing lower margin sales and removing complexity in the future.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During 2024 and the first three months of 2025, we executed certain business restructuring initiatives aimed at reducing our fixed cost structure and realigning our business. We expect these actions to continue throughout the remainder of 2025 and to drive margin growth.</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During 2024 and the first three months of 2025, we experienced inflationary cost increases for certain raw materials as well as logistics and transportation costs. The ongoing volatile market for commodities has the potential to continue to drive price increases in our supply chain. In addition, the current U.S. administration has recently implemented tariffs and has announced the possibility of implementing additional, or increasing current, tariffs. We expect these actions and reactionary tariff adjustments by other countries to impact our business and contribute to inflationary cost increases. As a result, we have taken actions to mitigate the impact of tariffs such as pricing increases, inventory pre-buys and capping orders to manage supply chain, inventory and production, which may continue going forward. In addition, our Transformation Program initiatives are intended to improve productivity and offset cost increases. We anticipate supply chain pressures as well as inflationary cost increases due to these tariffs and any resulting impact on macroeconomic conditions and our business to continue throughout the remainder of 2025.</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Organization for Economic Co-operation and Development Pillar Two Model Rules (“Pillar Two”) for a global 15.0% minimum tax have been adopted by a number of jurisdictions in which we operate. Pillar Two has negatively impacted our effective tax rate in 2025 and is likely to continue to impact our effective tax rate in the future. We continue to evaluate the enacted legislative changes and new guidance as it becomes available.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We have identified specific product and geographic market opportunities that we find attractive and continue to pursue, both within and outside the U.S. We expect to continue investing in our businesses to drive these opportunities through research and development and additional sales and marketing resources. Unless we successfully penetrate these markets, our core sales growth will likely be limited or may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f75556dbe42480088dae580e614fd1d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2025, our operating objectives focus on delivering our core and building our future. We expect to execute these objectives by: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Delivering profitable revenue growth and productivity for customers and shareholders;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Continuing to focus on capital allocation through:</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Committing to maintain our investment grade rating;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Focusing on reducing our long-term debt;</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Returning cash to shareholders through dividends and share repurchases;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Accelerating our performance with strategically aligned mergers and acquisitions;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Focusing growth initiatives that accelerate our investments in digital, innovation, technology and sustainability;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Continuing to implement our Transformation Program initiatives that will drive operational excellence, reduce complexity and improve our organizational structure, which includes the focus on 80/20 actions to drive profitable growth;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Building a high performance growth culture and delivering on our commitments while living our Win Right values.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CONSOLIDATED RESULTS OF OPERATIONS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results of operations for the three months ended March 31, 2025 and 2024 were as follows: </w:t>
      </w:r>
    </w:p>
    <w:tbl>
      <w:tblPr>
        <w:tblW w:w="9200" w:type="dxa"/>
        <w:jc w:val="left"/>
        <w:tblInd w:w="0" w:type="dxa"/>
        <w:tblLayout w:type="fixed"/>
        <w:tblCellMar>
          <w:top w:w="28" w:type="dxa"/>
          <w:left w:w="28" w:type="dxa"/>
          <w:bottom w:w="28" w:type="dxa"/>
          <w:right w:w="28" w:type="dxa"/>
        </w:tblCellMar>
      </w:tblPr>
      <w:tblGrid>
        <w:gridCol w:w="1687"/>
        <w:gridCol w:w="1474"/>
        <w:gridCol w:w="1488"/>
        <w:gridCol w:w="211"/>
        <w:gridCol w:w="766"/>
        <w:gridCol w:w="271"/>
        <w:gridCol w:w="211"/>
        <w:gridCol w:w="766"/>
        <w:gridCol w:w="271"/>
        <w:gridCol w:w="211"/>
        <w:gridCol w:w="481"/>
        <w:gridCol w:w="109"/>
        <w:gridCol w:w="290"/>
        <w:gridCol w:w="295"/>
        <w:gridCol w:w="669"/>
      </w:tblGrid>
      <w:tr>
        <w:trPr/>
        <w:tc>
          <w:tcPr>
            <w:tcW w:w="1687"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w:t>
              <w:br/>
              <w:t>Change</w:t>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 Point </w:t>
              <w:br/>
              <w:t>Change</w:t>
            </w:r>
          </w:p>
        </w:tc>
      </w:tr>
      <w:tr>
        <w:trPr/>
        <w:tc>
          <w:tcPr>
            <w:tcW w:w="4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390.1 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6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i/>
                <w:color w:val="000000"/>
                <w:sz w:val="20"/>
              </w:rPr>
              <w:t>% of net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39.9 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38.4 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1.5 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i/>
                <w:color w:val="000000"/>
                <w:sz w:val="20"/>
              </w:rPr>
              <w:t>pts</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i/>
                <w:color w:val="000000"/>
                <w:sz w:val="20"/>
              </w:rPr>
              <w:t>% of net sales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18.2 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(0.7)</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i/>
                <w:color w:val="000000"/>
                <w:sz w:val="20"/>
              </w:rPr>
              <w:t>pts</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i/>
                <w:color w:val="000000"/>
                <w:sz w:val="20"/>
              </w:rPr>
              <w:t>% of net sales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(0.1)</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i/>
                <w:color w:val="000000"/>
                <w:sz w:val="20"/>
              </w:rPr>
              <w:t>pts</w:t>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i/>
                <w:color w:val="000000"/>
                <w:sz w:val="20"/>
              </w:rPr>
              <w:t>% of net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17.8 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2.3 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i/>
                <w:color w:val="000000"/>
                <w:sz w:val="20"/>
              </w:rPr>
              <w:t>pts</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continuing operations before income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i/>
                <w:color w:val="000000"/>
                <w:sz w:val="20"/>
              </w:rPr>
              <w:t>Effective tax rate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15.3 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2.3 </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i/>
                <w:color w:val="000000"/>
                <w:sz w:val="20"/>
              </w:rPr>
              <w:t>pts</w:t>
            </w:r>
          </w:p>
        </w:tc>
      </w:tr>
    </w:tbl>
    <w:p>
      <w:pPr>
        <w:pStyle w:val="TextBody"/>
        <w:bidi w:val="0"/>
        <w:spacing w:lineRule="auto" w:line="288" w:before="100" w:after="180"/>
        <w:jc w:val="left"/>
        <w:rPr>
          <w:rFonts w:ascii="Times New Roman;sans-serif" w:hAnsi="Times New Roman;sans-serif"/>
          <w:b w:val="false"/>
          <w:color w:val="000000"/>
          <w:sz w:val="18"/>
        </w:rPr>
      </w:pPr>
      <w:r>
        <w:rPr>
          <w:rFonts w:ascii="Times New Roman;sans-serif" w:hAnsi="Times New Roman;sans-serif"/>
          <w:b w:val="false"/>
          <w:color w:val="000000"/>
          <w:sz w:val="18"/>
        </w:rPr>
        <w:t>N.M. =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f75556dbe42480088dae580e614fd1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 sales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consolidated net sales change from the prior period were as follows:</w:t>
      </w:r>
    </w:p>
    <w:tbl>
      <w:tblPr>
        <w:tblW w:w="5464" w:type="dxa"/>
        <w:jc w:val="left"/>
        <w:tblInd w:w="0" w:type="dxa"/>
        <w:tblLayout w:type="fixed"/>
        <w:tblCellMar>
          <w:top w:w="28" w:type="dxa"/>
          <w:left w:w="28" w:type="dxa"/>
          <w:bottom w:w="28" w:type="dxa"/>
          <w:right w:w="28" w:type="dxa"/>
        </w:tblCellMar>
      </w:tblPr>
      <w:tblGrid>
        <w:gridCol w:w="764"/>
        <w:gridCol w:w="673"/>
        <w:gridCol w:w="678"/>
        <w:gridCol w:w="109"/>
        <w:gridCol w:w="660"/>
        <w:gridCol w:w="660"/>
        <w:gridCol w:w="1920"/>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over the prior year period </w:t>
            </w:r>
          </w:p>
        </w:tc>
      </w:tr>
      <w:tr>
        <w:trPr/>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w:t>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w:t>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growth</w:t>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9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Acquisition/Divestitures</w:t>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w:t>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9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92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0.7 percent decrease in net sales in the first quarter of 2025 from 2024 was primarily driven by: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decreased sales volume in our residential flow and industrial solutions businesses within our Flow segment compared to the same period of the prior year;</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decreased sales volume within our Water Solutions segment compared to the same period of the prior year;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unfavorable foreign currency effects compared to the first quarter of the prior year;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 business exit in our residential business in our Water Solutions segment that occurred in the fourth quarter of 2024.</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This decrease was partially offset by: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selling prices across all of our segments to mitigate inflationary cost increases;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sales due to the acquisition of G &amp; F Manufacturing completed in the fourth quarter of 2024;</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sales volume in our commercial flow business within our Flow segment compared to the same period of the prior year;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sales volume within our Pool segment due to higher demand compared to the same period of the prior year.</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Gross profit</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The 1.5 percentage point increase in gross profit as a percentage of net sales in the first quarter of 2025 from 2024 was primarily driven by: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selling prices across all our segments to mitigate inflationary cost increases;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productivity mainly driven by transformation initiatives across all segments.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This increase was partially offset by: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inflationary cost increases related to labor costs and certain raw materials;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asset impairment and write-offs of $5.2 million recorded in the first quarter of 2025, compared to $0.8 million in the first quarter of 2024.</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 (“SG&amp;A”)</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0.7 percentage point decrease in SG&amp;A as a percentage of net sales in the first quarter of 2025 from 2024 was primarily driven by: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transformation costs of $9.1 million in the first quarter of 2025, compared to $17.0 million in the first quarter of 2024;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decreased employee compensation expense compared to the same period of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f75556dbe42480088dae580e614fd1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This decrease was partially offset by: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restructuring and other costs of $9.7 million in the first quarter of 2025, compared to $4.6 million in the first quarter of 2024;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share-based stock compensation expense driven by the accelerated vesting of retirement eligible employee awards granted in the first quarter of 2025.</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Net interest expense</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27.8 percent decrease in net interest expense in the first quarter of 2025 from 2024 was primarily driven by: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lower debt levels compared to the same period of the prior year.</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88" w:before="0" w:after="180"/>
        <w:jc w:val="both"/>
        <w:rPr/>
      </w:pPr>
      <w:r>
        <w:rPr>
          <w:rFonts w:ascii="Times New Roman;sans-serif" w:hAnsi="Times New Roman;sans-serif"/>
          <w:b w:val="false"/>
          <w:i/>
          <w:color w:val="000000"/>
          <w:sz w:val="20"/>
        </w:rPr>
        <w:t>The</w:t>
      </w:r>
      <w:r>
        <w:rPr>
          <w:color w:val="000000"/>
        </w:rPr>
        <w:t xml:space="preserve"> </w:t>
      </w:r>
      <w:r>
        <w:rPr>
          <w:rFonts w:ascii="Times New Roman;sans-serif" w:hAnsi="Times New Roman;sans-serif"/>
          <w:b w:val="false"/>
          <w:i/>
          <w:color w:val="000000"/>
          <w:sz w:val="20"/>
        </w:rPr>
        <w:t>2.3 percentage point</w:t>
      </w:r>
      <w:r>
        <w:rPr>
          <w:color w:val="000000"/>
        </w:rPr>
        <w:t xml:space="preserve"> </w:t>
      </w:r>
      <w:r>
        <w:rPr>
          <w:rFonts w:ascii="Times New Roman;sans-serif" w:hAnsi="Times New Roman;sans-serif"/>
          <w:b w:val="false"/>
          <w:i/>
          <w:color w:val="000000"/>
          <w:sz w:val="20"/>
        </w:rPr>
        <w:t>increase</w:t>
      </w:r>
      <w:r>
        <w:rPr>
          <w:color w:val="000000"/>
        </w:rPr>
        <w:t xml:space="preserve"> </w:t>
      </w:r>
      <w:r>
        <w:rPr>
          <w:rFonts w:ascii="Times New Roman;sans-serif" w:hAnsi="Times New Roman;sans-serif"/>
          <w:b w:val="false"/>
          <w:i/>
          <w:color w:val="000000"/>
          <w:sz w:val="20"/>
        </w:rPr>
        <w:t>in the effective tax rate in the first quarter of 2025 from 2024 was primarily driven by:</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the unfavorable mix of global earnings; and</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decrease in the amount of favorable discrete items in 2025 compared to 2024.</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SEGMENT RESULTS OF OPERATIONS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summary that follows provides a discussion of the results of operations of our three reportable segments (Flow, Water Solutions and Pool). Each of these segments comprises various product offerings that serve multiple end users.</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evaluate performance based on net sales and reportable segment income (“segment income”) and use certain ratios, particularly return on sales, to measure performance of our reportable segments. Segment income represents operating income of each reportable segment inclusive of equity income of unconsolidated subsidiaries and exclusive of intangible amortization, costs of restructuring and transformation activities, impairments, legal accrual adjustments and settlements and other unusual non-operating items.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Flow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net sales and segment income for Flow were as follows:</w:t>
      </w:r>
    </w:p>
    <w:tbl>
      <w:tblPr>
        <w:tblW w:w="6914" w:type="dxa"/>
        <w:jc w:val="left"/>
        <w:tblInd w:w="0" w:type="dxa"/>
        <w:tblLayout w:type="fixed"/>
        <w:tblCellMar>
          <w:top w:w="28" w:type="dxa"/>
          <w:left w:w="28" w:type="dxa"/>
          <w:bottom w:w="28" w:type="dxa"/>
          <w:right w:w="28" w:type="dxa"/>
        </w:tblCellMar>
      </w:tblPr>
      <w:tblGrid>
        <w:gridCol w:w="582"/>
        <w:gridCol w:w="509"/>
        <w:gridCol w:w="514"/>
        <w:gridCol w:w="109"/>
        <w:gridCol w:w="109"/>
        <w:gridCol w:w="109"/>
        <w:gridCol w:w="109"/>
        <w:gridCol w:w="163"/>
        <w:gridCol w:w="317"/>
        <w:gridCol w:w="926"/>
        <w:gridCol w:w="407"/>
        <w:gridCol w:w="211"/>
        <w:gridCol w:w="616"/>
        <w:gridCol w:w="271"/>
        <w:gridCol w:w="109"/>
        <w:gridCol w:w="109"/>
        <w:gridCol w:w="109"/>
        <w:gridCol w:w="266"/>
        <w:gridCol w:w="266"/>
        <w:gridCol w:w="1103"/>
      </w:tblGrid>
      <w:tr>
        <w:trPr/>
        <w:tc>
          <w:tcPr>
            <w:tcW w:w="58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3"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 Point Change</w:t>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367.9 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i/>
                <w:color w:val="000000"/>
                <w:sz w:val="20"/>
              </w:rPr>
              <w:t>% of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22.7 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2.6 </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i/>
                <w:color w:val="000000"/>
                <w:sz w:val="20"/>
              </w:rPr>
              <w:t>pts</w:t>
            </w:r>
          </w:p>
        </w:tc>
      </w:tr>
    </w:tbl>
    <w:p>
      <w:pPr>
        <w:pStyle w:val="TextBody"/>
        <w:bidi w:val="0"/>
        <w:spacing w:lineRule="auto" w:line="288" w:before="18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Net sales</w:t>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The components of the change in </w:t>
      </w:r>
      <w:r>
        <w:rPr>
          <w:rFonts w:ascii="Times New Roman;sans-serif" w:hAnsi="Times New Roman;sans-serif"/>
          <w:b w:val="false"/>
          <w:color w:val="000000"/>
          <w:sz w:val="20"/>
        </w:rPr>
        <w:t>Flow</w:t>
      </w:r>
      <w:r>
        <w:rPr>
          <w:color w:val="000000"/>
          <w:shd w:fill="FFFFFF" w:val="clear"/>
        </w:rPr>
        <w:t xml:space="preserve"> </w:t>
      </w:r>
      <w:r>
        <w:rPr>
          <w:rFonts w:ascii="Times New Roman;sans-serif" w:hAnsi="Times New Roman;sans-serif"/>
          <w:b w:val="false"/>
          <w:color w:val="000000"/>
          <w:sz w:val="20"/>
          <w:shd w:fill="FFFFFF" w:val="clear"/>
        </w:rPr>
        <w:t>net sales from the prior period were as follows:</w:t>
      </w:r>
    </w:p>
    <w:tbl>
      <w:tblPr>
        <w:tblW w:w="4474" w:type="dxa"/>
        <w:jc w:val="left"/>
        <w:tblInd w:w="0" w:type="dxa"/>
        <w:tblLayout w:type="fixed"/>
        <w:tblCellMar>
          <w:top w:w="28" w:type="dxa"/>
          <w:left w:w="28" w:type="dxa"/>
          <w:bottom w:w="28" w:type="dxa"/>
          <w:right w:w="28" w:type="dxa"/>
        </w:tblCellMar>
      </w:tblPr>
      <w:tblGrid>
        <w:gridCol w:w="407"/>
        <w:gridCol w:w="358"/>
        <w:gridCol w:w="360"/>
        <w:gridCol w:w="109"/>
        <w:gridCol w:w="660"/>
        <w:gridCol w:w="660"/>
        <w:gridCol w:w="1920"/>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over the prior year period</w:t>
            </w:r>
          </w:p>
        </w:tc>
      </w:tr>
      <w:tr>
        <w:trPr/>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w:t>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w:t>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growth</w:t>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9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0" w:type="dxa"/>
            <w:gridSpan w:val="3"/>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w:t>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92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4.3 percent decrease in net sales for Flow in the first quarter of 2025 from 2024 was primarily driven by: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decreased sales volume in our residential flow and industrial solutions businesses compared to the same period of the prior year;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unfavorable foreign currency effects compared to the first quarter of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f75556dbe42480088dae580e614fd1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283"/>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This decrease was partially offset by: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sales volume in our commercial flow business compared to the same period of the prior year;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selling prices to mitigate inflationary cost increases.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Segment income</w:t>
      </w:r>
    </w:p>
    <w:p>
      <w:pPr>
        <w:pStyle w:val="TextBody"/>
        <w:bidi w:val="0"/>
        <w:spacing w:lineRule="auto" w:line="288" w:before="0" w:after="0"/>
        <w:jc w:val="both"/>
        <w:rPr/>
      </w:pPr>
      <w:r>
        <w:rPr>
          <w:rFonts w:ascii="Times New Roman;sans-serif" w:hAnsi="Times New Roman;sans-serif"/>
          <w:b w:val="false"/>
          <w:color w:val="000000"/>
          <w:sz w:val="20"/>
        </w:rPr>
        <w:t>The components of the change in Flow segment income as</w:t>
      </w:r>
      <w:r>
        <w:rPr>
          <w:color w:val="000000"/>
          <w:shd w:fill="FFFFFF" w:val="clear"/>
        </w:rPr>
        <w:t xml:space="preserve"> </w:t>
      </w:r>
      <w:r>
        <w:rPr>
          <w:rFonts w:ascii="Times New Roman;sans-serif" w:hAnsi="Times New Roman;sans-serif"/>
          <w:b w:val="false"/>
          <w:color w:val="000000"/>
          <w:sz w:val="20"/>
          <w:shd w:fill="FFFFFF" w:val="clear"/>
        </w:rPr>
        <w:t>a percentage of net sales from the prior period were as follows:</w:t>
      </w:r>
      <w:r>
        <w:rPr>
          <w:color w:val="000000"/>
        </w:rPr>
        <w:t xml:space="preserve"> </w:t>
      </w:r>
    </w:p>
    <w:tbl>
      <w:tblPr>
        <w:tblW w:w="4577" w:type="dxa"/>
        <w:jc w:val="center"/>
        <w:tblInd w:w="0" w:type="dxa"/>
        <w:tblLayout w:type="fixed"/>
        <w:tblCellMar>
          <w:top w:w="28" w:type="dxa"/>
          <w:left w:w="28" w:type="dxa"/>
          <w:bottom w:w="28" w:type="dxa"/>
          <w:right w:w="28" w:type="dxa"/>
        </w:tblCellMar>
      </w:tblPr>
      <w:tblGrid>
        <w:gridCol w:w="445"/>
        <w:gridCol w:w="391"/>
        <w:gridCol w:w="393"/>
        <w:gridCol w:w="109"/>
        <w:gridCol w:w="524"/>
        <w:gridCol w:w="524"/>
        <w:gridCol w:w="2191"/>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over the prior year period</w:t>
            </w:r>
          </w:p>
        </w:tc>
      </w:tr>
      <w:tr>
        <w:trPr/>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Volume/Price</w:t>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pts</w:t>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w:t>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Inflation</w:t>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Productivity</w:t>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1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pts</w:t>
            </w:r>
          </w:p>
        </w:tc>
      </w:tr>
    </w:tbl>
    <w:p>
      <w:pPr>
        <w:pStyle w:val="TextBody"/>
        <w:bidi w:val="0"/>
        <w:spacing w:lineRule="auto" w:line="288" w:before="80" w:after="283"/>
        <w:jc w:val="both"/>
        <w:rPr/>
      </w:pPr>
      <w:r>
        <w:rPr>
          <w:rFonts w:ascii="Times New Roman;sans-serif" w:hAnsi="Times New Roman;sans-serif"/>
          <w:b w:val="false"/>
          <w:i/>
          <w:color w:val="000000"/>
          <w:sz w:val="20"/>
        </w:rPr>
        <w:t>The 2.6 percentage point increase in segment income for Flow as a percentage of net sales in the first quarter of 2025 from 2024 was primarily driven by:</w:t>
      </w:r>
      <w:r>
        <w:rPr>
          <w:color w:val="000000"/>
        </w:rPr>
        <w:t xml:space="preserve">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selling prices to mitigate impacts of inflation and favorable mix;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productivity mainly driven by transformation initiatives.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This increase was partially offset by:</w:t>
      </w:r>
    </w:p>
    <w:p>
      <w:pPr>
        <w:pStyle w:val="TextBody"/>
        <w:bidi w:val="0"/>
        <w:spacing w:lineRule="auto" w:line="288" w:before="180" w:after="200"/>
        <w:ind w:left="0" w:right="0" w:hanging="360"/>
        <w:jc w:val="both"/>
        <w:rPr/>
      </w:pPr>
      <w:r>
        <w:rPr>
          <w:color w:val="000000"/>
        </w:rPr>
        <w:t>•</w:t>
      </w:r>
      <w:r>
        <w:rPr>
          <w:rFonts w:ascii="Times New Roman;sans-serif" w:hAnsi="Times New Roman;sans-serif"/>
          <w:b w:val="false"/>
          <w:color w:val="000000"/>
          <w:sz w:val="20"/>
        </w:rPr>
        <w:t>inflationary cost increases related to certain raw materials.</w:t>
      </w:r>
    </w:p>
    <w:p>
      <w:pPr>
        <w:pStyle w:val="TextBody"/>
        <w:bidi w:val="0"/>
        <w:spacing w:lineRule="auto" w:line="288" w:before="180" w:after="200"/>
        <w:jc w:val="both"/>
        <w:rPr>
          <w:rFonts w:ascii="Times New Roman;sans-serif" w:hAnsi="Times New Roman;sans-serif"/>
          <w:b/>
          <w:color w:val="000000"/>
          <w:sz w:val="20"/>
        </w:rPr>
      </w:pPr>
      <w:r>
        <w:rPr>
          <w:rFonts w:ascii="Times New Roman;sans-serif" w:hAnsi="Times New Roman;sans-serif"/>
          <w:b/>
          <w:color w:val="000000"/>
          <w:sz w:val="20"/>
        </w:rPr>
        <w:t>Water Solutions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net sales and segment income for Water Solutions were as follows:</w:t>
      </w:r>
    </w:p>
    <w:tbl>
      <w:tblPr>
        <w:tblW w:w="6914" w:type="dxa"/>
        <w:jc w:val="left"/>
        <w:tblInd w:w="0" w:type="dxa"/>
        <w:tblLayout w:type="fixed"/>
        <w:tblCellMar>
          <w:top w:w="28" w:type="dxa"/>
          <w:left w:w="28" w:type="dxa"/>
          <w:bottom w:w="28" w:type="dxa"/>
          <w:right w:w="28" w:type="dxa"/>
        </w:tblCellMar>
      </w:tblPr>
      <w:tblGrid>
        <w:gridCol w:w="582"/>
        <w:gridCol w:w="509"/>
        <w:gridCol w:w="514"/>
        <w:gridCol w:w="109"/>
        <w:gridCol w:w="109"/>
        <w:gridCol w:w="109"/>
        <w:gridCol w:w="109"/>
        <w:gridCol w:w="163"/>
        <w:gridCol w:w="317"/>
        <w:gridCol w:w="926"/>
        <w:gridCol w:w="407"/>
        <w:gridCol w:w="211"/>
        <w:gridCol w:w="616"/>
        <w:gridCol w:w="271"/>
        <w:gridCol w:w="109"/>
        <w:gridCol w:w="109"/>
        <w:gridCol w:w="109"/>
        <w:gridCol w:w="266"/>
        <w:gridCol w:w="266"/>
        <w:gridCol w:w="1103"/>
      </w:tblGrid>
      <w:tr>
        <w:trPr/>
        <w:tc>
          <w:tcPr>
            <w:tcW w:w="58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3"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 Point Change</w:t>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i/>
                <w:color w:val="000000"/>
                <w:sz w:val="20"/>
              </w:rPr>
              <w:t>% of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23.5 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3.1 </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i/>
                <w:color w:val="000000"/>
                <w:sz w:val="20"/>
              </w:rPr>
              <w:t>pts</w:t>
            </w:r>
          </w:p>
        </w:tc>
      </w:tr>
    </w:tbl>
    <w:p>
      <w:pPr>
        <w:pStyle w:val="TextBody"/>
        <w:bidi w:val="0"/>
        <w:spacing w:lineRule="auto" w:line="288" w:before="18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Net sales</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components of the change in Water Solutions net sales from the prior period were as follows:</w:t>
      </w:r>
    </w:p>
    <w:tbl>
      <w:tblPr>
        <w:tblW w:w="5388" w:type="dxa"/>
        <w:jc w:val="center"/>
        <w:tblInd w:w="0" w:type="dxa"/>
        <w:tblLayout w:type="fixed"/>
        <w:tblCellMar>
          <w:top w:w="28" w:type="dxa"/>
          <w:left w:w="28" w:type="dxa"/>
          <w:bottom w:w="28" w:type="dxa"/>
          <w:right w:w="28" w:type="dxa"/>
        </w:tblCellMar>
      </w:tblPr>
      <w:tblGrid>
        <w:gridCol w:w="736"/>
        <w:gridCol w:w="649"/>
        <w:gridCol w:w="654"/>
        <w:gridCol w:w="109"/>
        <w:gridCol w:w="660"/>
        <w:gridCol w:w="660"/>
        <w:gridCol w:w="1920"/>
      </w:tblGrid>
      <w:tr>
        <w:trPr/>
        <w:tc>
          <w:tcPr>
            <w:tcW w:w="73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over the prior year period</w:t>
            </w:r>
          </w:p>
        </w:tc>
      </w:tr>
      <w:tr>
        <w:trPr/>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w:t>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w:t>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growth</w:t>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9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Acquisition/Divestiture</w:t>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w:t>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9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92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5.5 percent decrease in net sales for Water Solutions in the first quarter of 2025 from 2024 was primarily driven by: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decreased sales volume compared to the same period of the prior year;</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 business exit in our residential business that occurred in the fourth quarter of 2024;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f75556dbe42480088dae580e614fd1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unfavorable foreign currency effects compared to the same period of the prior year.</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This decrease was partially offset by: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selling prices to mitigate inflationary cost increases.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Segment income</w:t>
      </w:r>
    </w:p>
    <w:p>
      <w:pPr>
        <w:pStyle w:val="TextBody"/>
        <w:bidi w:val="0"/>
        <w:spacing w:lineRule="auto" w:line="288" w:before="0" w:after="0"/>
        <w:jc w:val="both"/>
        <w:rPr/>
      </w:pPr>
      <w:r>
        <w:rPr>
          <w:rFonts w:ascii="Times New Roman;sans-serif" w:hAnsi="Times New Roman;sans-serif"/>
          <w:b w:val="false"/>
          <w:color w:val="000000"/>
          <w:sz w:val="20"/>
          <w:shd w:fill="FFFFFF" w:val="clear"/>
        </w:rPr>
        <w:t>The components of the change in Water Solutions segment income as a percentage of net sales from the prior period were as follows:</w:t>
      </w:r>
      <w:r>
        <w:rPr>
          <w:color w:val="000000"/>
        </w:rPr>
        <w:t xml:space="preserve"> </w:t>
      </w:r>
    </w:p>
    <w:tbl>
      <w:tblPr>
        <w:tblW w:w="6559" w:type="dxa"/>
        <w:jc w:val="center"/>
        <w:tblInd w:w="0" w:type="dxa"/>
        <w:tblLayout w:type="fixed"/>
        <w:tblCellMar>
          <w:top w:w="28" w:type="dxa"/>
          <w:left w:w="28" w:type="dxa"/>
          <w:bottom w:w="28" w:type="dxa"/>
          <w:right w:w="28" w:type="dxa"/>
        </w:tblCellMar>
      </w:tblPr>
      <w:tblGrid>
        <w:gridCol w:w="1162"/>
        <w:gridCol w:w="1021"/>
        <w:gridCol w:w="1027"/>
        <w:gridCol w:w="109"/>
        <w:gridCol w:w="482"/>
        <w:gridCol w:w="482"/>
        <w:gridCol w:w="2276"/>
      </w:tblGrid>
      <w:tr>
        <w:trPr/>
        <w:tc>
          <w:tcPr>
            <w:tcW w:w="116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over the prior year period</w:t>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Volume/Price/Acquisition/Divestiture</w:t>
            </w:r>
          </w:p>
        </w:tc>
        <w:tc>
          <w:tcPr>
            <w:tcW w:w="109" w:type="dxa"/>
            <w:tcBorders/>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pts</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w:t>
            </w:r>
          </w:p>
        </w:tc>
        <w:tc>
          <w:tcPr>
            <w:tcW w:w="109" w:type="dxa"/>
            <w:tcBorders/>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Inflation</w:t>
            </w:r>
          </w:p>
        </w:tc>
        <w:tc>
          <w:tcPr>
            <w:tcW w:w="109" w:type="dxa"/>
            <w:tcBorders/>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Productivity</w:t>
            </w:r>
          </w:p>
        </w:tc>
        <w:tc>
          <w:tcPr>
            <w:tcW w:w="109" w:type="dxa"/>
            <w:tcBorders/>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964"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2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pts</w:t>
            </w:r>
          </w:p>
        </w:tc>
      </w:tr>
    </w:tbl>
    <w:p>
      <w:pPr>
        <w:pStyle w:val="TextBody"/>
        <w:bidi w:val="0"/>
        <w:spacing w:lineRule="auto" w:line="288" w:before="100" w:after="283"/>
        <w:jc w:val="both"/>
        <w:rPr/>
      </w:pPr>
      <w:r>
        <w:rPr>
          <w:rFonts w:ascii="Times New Roman;sans-serif" w:hAnsi="Times New Roman;sans-serif"/>
          <w:b w:val="false"/>
          <w:i/>
          <w:color w:val="000000"/>
          <w:sz w:val="20"/>
        </w:rPr>
        <w:t>The 3.1 percentage point increase</w:t>
      </w:r>
      <w:r>
        <w:rPr>
          <w:color w:val="000000"/>
        </w:rPr>
        <w:t xml:space="preserve"> </w:t>
      </w:r>
      <w:r>
        <w:rPr>
          <w:rFonts w:ascii="Times New Roman;sans-serif" w:hAnsi="Times New Roman;sans-serif"/>
          <w:b w:val="false"/>
          <w:i/>
          <w:color w:val="000000"/>
          <w:sz w:val="20"/>
        </w:rPr>
        <w:t>in segment income for Water Solutions as a percentage of net sales in the first quarter of 2025 from 2024 was primarily driven by: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increased productivity mainly driven by transformation initiatives;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favorable foreign currency effects compared to the first quarter of the prior year;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selling prices to mitigate impacts of inflation.</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This increase was partially offset by: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inflationary cost increases related to certain raw materials.</w:t>
      </w: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Pool</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net sales and segment income for Pool were as follows:</w:t>
      </w:r>
    </w:p>
    <w:tbl>
      <w:tblPr>
        <w:tblW w:w="6914" w:type="dxa"/>
        <w:jc w:val="left"/>
        <w:tblInd w:w="0" w:type="dxa"/>
        <w:tblLayout w:type="fixed"/>
        <w:tblCellMar>
          <w:top w:w="28" w:type="dxa"/>
          <w:left w:w="28" w:type="dxa"/>
          <w:bottom w:w="28" w:type="dxa"/>
          <w:right w:w="28" w:type="dxa"/>
        </w:tblCellMar>
      </w:tblPr>
      <w:tblGrid>
        <w:gridCol w:w="582"/>
        <w:gridCol w:w="509"/>
        <w:gridCol w:w="514"/>
        <w:gridCol w:w="109"/>
        <w:gridCol w:w="109"/>
        <w:gridCol w:w="109"/>
        <w:gridCol w:w="109"/>
        <w:gridCol w:w="163"/>
        <w:gridCol w:w="317"/>
        <w:gridCol w:w="926"/>
        <w:gridCol w:w="407"/>
        <w:gridCol w:w="211"/>
        <w:gridCol w:w="616"/>
        <w:gridCol w:w="271"/>
        <w:gridCol w:w="109"/>
        <w:gridCol w:w="109"/>
        <w:gridCol w:w="109"/>
        <w:gridCol w:w="266"/>
        <w:gridCol w:w="266"/>
        <w:gridCol w:w="1103"/>
      </w:tblGrid>
      <w:tr>
        <w:trPr/>
        <w:tc>
          <w:tcPr>
            <w:tcW w:w="58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3"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 Point Change</w:t>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383.9 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i/>
                <w:color w:val="000000"/>
                <w:sz w:val="20"/>
              </w:rPr>
              <w:t>% of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32.8 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2.0 </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i/>
                <w:color w:val="000000"/>
                <w:sz w:val="20"/>
              </w:rPr>
              <w:t>pts</w:t>
            </w:r>
          </w:p>
        </w:tc>
      </w:tr>
    </w:tbl>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Net sales</w:t>
      </w:r>
    </w:p>
    <w:p>
      <w:pPr>
        <w:pStyle w:val="TextBody"/>
        <w:bidi w:val="0"/>
        <w:spacing w:lineRule="auto" w:line="288" w:before="0" w:after="180"/>
        <w:jc w:val="both"/>
        <w:rPr/>
      </w:pPr>
      <w:r>
        <w:rPr>
          <w:rFonts w:ascii="Times New Roman;sans-serif" w:hAnsi="Times New Roman;sans-serif"/>
          <w:b w:val="false"/>
          <w:color w:val="000000"/>
          <w:sz w:val="20"/>
          <w:shd w:fill="FFFFFF" w:val="clear"/>
        </w:rPr>
        <w:t xml:space="preserve">The components of the change in </w:t>
      </w:r>
      <w:r>
        <w:rPr>
          <w:rFonts w:ascii="Times New Roman;sans-serif" w:hAnsi="Times New Roman;sans-serif"/>
          <w:b w:val="false"/>
          <w:color w:val="000000"/>
          <w:sz w:val="20"/>
        </w:rPr>
        <w:t>Pool</w:t>
      </w:r>
      <w:r>
        <w:rPr>
          <w:color w:val="000000"/>
          <w:shd w:fill="FFFFFF" w:val="clear"/>
        </w:rPr>
        <w:t xml:space="preserve"> </w:t>
      </w:r>
      <w:r>
        <w:rPr>
          <w:rFonts w:ascii="Times New Roman;sans-serif" w:hAnsi="Times New Roman;sans-serif"/>
          <w:b w:val="false"/>
          <w:color w:val="000000"/>
          <w:sz w:val="20"/>
          <w:shd w:fill="FFFFFF" w:val="clear"/>
        </w:rPr>
        <w:t>net sales from the prior period were as follows:</w:t>
      </w:r>
    </w:p>
    <w:tbl>
      <w:tblPr>
        <w:tblW w:w="5388" w:type="dxa"/>
        <w:jc w:val="left"/>
        <w:tblInd w:w="0" w:type="dxa"/>
        <w:tblLayout w:type="fixed"/>
        <w:tblCellMar>
          <w:top w:w="28" w:type="dxa"/>
          <w:left w:w="28" w:type="dxa"/>
          <w:bottom w:w="28" w:type="dxa"/>
          <w:right w:w="28" w:type="dxa"/>
        </w:tblCellMar>
      </w:tblPr>
      <w:tblGrid>
        <w:gridCol w:w="736"/>
        <w:gridCol w:w="649"/>
        <w:gridCol w:w="654"/>
        <w:gridCol w:w="109"/>
        <w:gridCol w:w="660"/>
        <w:gridCol w:w="660"/>
        <w:gridCol w:w="1920"/>
      </w:tblGrid>
      <w:tr>
        <w:trPr/>
        <w:tc>
          <w:tcPr>
            <w:tcW w:w="73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over the prior year period</w:t>
            </w:r>
          </w:p>
        </w:tc>
      </w:tr>
      <w:tr>
        <w:trPr/>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w:t>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w:t>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growth</w:t>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9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Acquisition/Divestiture</w:t>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w:t>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9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92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f75556dbe42480088dae580e614fd1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180"/>
        <w:jc w:val="both"/>
        <w:rPr/>
      </w:pPr>
      <w:r>
        <w:rPr>
          <w:rFonts w:ascii="Times New Roman;sans-serif" w:hAnsi="Times New Roman;sans-serif"/>
          <w:b w:val="false"/>
          <w:i/>
          <w:color w:val="000000"/>
          <w:sz w:val="20"/>
        </w:rPr>
        <w:t>The</w:t>
      </w:r>
      <w:r>
        <w:rPr>
          <w:color w:val="000000"/>
        </w:rPr>
        <w:t xml:space="preserve"> </w:t>
      </w:r>
      <w:r>
        <w:rPr>
          <w:rFonts w:ascii="Times New Roman;sans-serif" w:hAnsi="Times New Roman;sans-serif"/>
          <w:b w:val="false"/>
          <w:i/>
          <w:color w:val="000000"/>
          <w:sz w:val="20"/>
        </w:rPr>
        <w:t>6.8 percent increase in net sales for Pool in the first quarter of 2025 from 2024 was primarily driven by:</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increased sales due to the acquisition of G &amp; F Manufacturing completed in the fourth quarter of 2024;</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increased selling prices to mitigate inflationary cost increases; and</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increased sales volume due to higher demand compared to the same period of the prior year.</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Segment income</w:t>
      </w:r>
    </w:p>
    <w:p>
      <w:pPr>
        <w:pStyle w:val="TextBody"/>
        <w:bidi w:val="0"/>
        <w:spacing w:lineRule="auto" w:line="288" w:before="0" w:after="180"/>
        <w:jc w:val="both"/>
        <w:rPr/>
      </w:pPr>
      <w:r>
        <w:rPr>
          <w:rFonts w:ascii="Times New Roman;sans-serif" w:hAnsi="Times New Roman;sans-serif"/>
          <w:b w:val="false"/>
          <w:color w:val="000000"/>
          <w:sz w:val="20"/>
          <w:shd w:fill="FFFFFF" w:val="clear"/>
        </w:rPr>
        <w:t>The components of the change in Pool segment income as a percentage of net sales from the prior period were as follows:</w:t>
      </w:r>
      <w:r>
        <w:rPr>
          <w:color w:val="000000"/>
        </w:rPr>
        <w:t xml:space="preserve"> </w:t>
      </w:r>
    </w:p>
    <w:tbl>
      <w:tblPr>
        <w:tblW w:w="6559" w:type="dxa"/>
        <w:jc w:val="left"/>
        <w:tblInd w:w="0" w:type="dxa"/>
        <w:tblLayout w:type="fixed"/>
        <w:tblCellMar>
          <w:top w:w="28" w:type="dxa"/>
          <w:left w:w="28" w:type="dxa"/>
          <w:bottom w:w="28" w:type="dxa"/>
          <w:right w:w="28" w:type="dxa"/>
        </w:tblCellMar>
      </w:tblPr>
      <w:tblGrid>
        <w:gridCol w:w="1162"/>
        <w:gridCol w:w="1021"/>
        <w:gridCol w:w="1027"/>
        <w:gridCol w:w="109"/>
        <w:gridCol w:w="482"/>
        <w:gridCol w:w="482"/>
        <w:gridCol w:w="2276"/>
      </w:tblGrid>
      <w:tr>
        <w:trPr/>
        <w:tc>
          <w:tcPr>
            <w:tcW w:w="116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over the prior year period</w:t>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Volume/Price/Acquisition/Divestiture</w:t>
            </w:r>
          </w:p>
        </w:tc>
        <w:tc>
          <w:tcPr>
            <w:tcW w:w="109" w:type="dxa"/>
            <w:tcBorders/>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pts</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w:t>
            </w:r>
          </w:p>
        </w:tc>
        <w:tc>
          <w:tcPr>
            <w:tcW w:w="109" w:type="dxa"/>
            <w:tcBorders/>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Inflation</w:t>
            </w:r>
          </w:p>
        </w:tc>
        <w:tc>
          <w:tcPr>
            <w:tcW w:w="109" w:type="dxa"/>
            <w:tcBorders/>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Productivity</w:t>
            </w:r>
          </w:p>
        </w:tc>
        <w:tc>
          <w:tcPr>
            <w:tcW w:w="109" w:type="dxa"/>
            <w:tcBorders/>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964"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2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pts</w:t>
            </w:r>
          </w:p>
        </w:tc>
      </w:tr>
    </w:tbl>
    <w:p>
      <w:pPr>
        <w:pStyle w:val="TextBody"/>
        <w:bidi w:val="0"/>
        <w:spacing w:lineRule="auto" w:line="288" w:before="1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2.0 percentage point increase in segment income for Pool as a percentage of net sales in the first quarter of 2025 from 2024 was primarily driven by: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sales as a result of the acquisition of G &amp; F Manufacturing;</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selling prices to mitigate impacts of inflation;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productivity driven by transformation initiatives.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This increase was partially offset by:</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inflationary cost increases related to certain raw materials.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fund cash requirements for working capital, capital expenditures, equity investments, acquisitions, debt repayments, dividend payments and share repurchases from cash generated from operations, availability under existing committed revolving credit facilities and in certain instances, public and private debt and equity offerings. Our primary revolving credit facility has generally been adequate for these purposes, although we have negotiated additional credit facilities or completed debt and equity offerings as needed to allow us to complete acquisitions.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experience seasonal cash flows primarily due to seasonal demand in a number of markets. Consistent with historical trends, we experienced seasonal cash usage in the first quarter of 2025 and drew on our revolving credit facility to fund our operations. This cash usage typically reverses in the second quarter as the seasonality of our businesses peak. We expect historical seasonal patterns to continue and the second quarter of 2025 to generate significant cash to fund our operations.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End-user demand for pool equipment in the Pool segment, water solution products in the Water Solutions segment, and residential water supply and agricultural products within the Flow segment follows warm weather trends, with seasonal highs ranging from April to September. The magnitude of the sales spike has historically been partially mitigated by employing some advance sale “early buy” programs (generally including extended payment terms and/or additional discounts). Demand for residential and agricultural water systems is also impacted by weather patterns, particularly by temperature, heavy flooding and droughts.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continue to have sufficient cash and borrowing capacity to support working capital needs and capital expenditures, to pay interest and service debt and to pay dividends to shareholders quarterly. We believe our existing liquidity position, coupled with our currently anticipated operating cash flows, will be sufficient to meet our cash needs arising in the ordinary course of business for the next twelve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f75556dbe42480088dae580e614fd1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Summary of cash flows</w:t>
      </w:r>
    </w:p>
    <w:tbl>
      <w:tblPr>
        <w:tblW w:w="5991" w:type="dxa"/>
        <w:jc w:val="left"/>
        <w:tblInd w:w="0" w:type="dxa"/>
        <w:tblLayout w:type="fixed"/>
        <w:tblCellMar>
          <w:top w:w="28" w:type="dxa"/>
          <w:left w:w="28" w:type="dxa"/>
          <w:bottom w:w="28" w:type="dxa"/>
          <w:right w:w="28" w:type="dxa"/>
        </w:tblCellMar>
      </w:tblPr>
      <w:tblGrid>
        <w:gridCol w:w="1436"/>
        <w:gridCol w:w="1256"/>
        <w:gridCol w:w="1268"/>
        <w:gridCol w:w="227"/>
        <w:gridCol w:w="631"/>
        <w:gridCol w:w="117"/>
        <w:gridCol w:w="211"/>
        <w:gridCol w:w="691"/>
        <w:gridCol w:w="154"/>
      </w:tblGrid>
      <w:tr>
        <w:trPr/>
        <w:tc>
          <w:tcPr>
            <w:tcW w:w="143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r>
      <w:tr>
        <w:trPr/>
        <w:tc>
          <w:tcPr>
            <w:tcW w:w="3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provided by:</w:t>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Operating activities of continuing operations</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Investing activities</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Financing activities</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for operating activities of continuing operations in the first three months of 2025 primarily reflects a cash outflow of $255.5 million as a result of changes in net working capital, primarily due to an increase in accounts receivable largely related to certain advance sale programs in anticipation of our distributors’ peak sales season in the second and third quarters. The outflow related to net working capital was partially offset by net income from continuing operations, net of non-cash depreciation, definite-lived intangible amortization, share-based compensation and asset impairment, of $201.7 million.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for operating activities of continuing operations in the first three months of 2024 primarily reflects a cash outflow of $287.9 million as a result of changes in net working capital, primarily due to an increase in accounts receivable largely related to certain advance sale programs in anticipation of our distributors’ peak sales season in the second and third quarters. The outflow related to net working capital was partially offset by net income from continuing operations, net of non-cash depreciation, definite-lived intangible amortization and asset impairment, of $162.7 million.</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 in the first three months of 2025 reflects capital expenditures of $16.8 million.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 in the first three months of 2024 reflects capital expenditures of $19.3 million.</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in the first three months of 2025 primarily relates to net borrowings of revolving long-term debt of $196.2 million, partially offset by share repurchases of $50.0 million and dividend payments of $41.2 million.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in the first three months of 2024 primarily relates to net borrowings of revolving long-term debt of $101.4 million, partially offset by dividend payments of $38.0 million.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Free cash flow</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measuring our cash flow generation or usage based upon operating, investing and financing classifications included in the Condensed Consolidated Statements of Cash Flows, we also measure our free cash flow. We have a long-term goal to consistently generate free cash flow that is equal to 100 percent conversion of net income. Free cash flow is a non-U.S. GAAP financial measure that we use to assess our cash flow performance. We believe free cash flow is an important measure of liquidity because it provides us and our investors a measurement of cash generated from operations that is available to pay dividends, repurchase shares and repay debt. In addition, free cash flow is used as a criterion to measure and pay compensation-based incentives. Our measure of free cash flow may not be comparable to similarly titled measures reported by other companies.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reconciliation of free cash flow:</w:t>
      </w:r>
    </w:p>
    <w:tbl>
      <w:tblPr>
        <w:tblW w:w="8428" w:type="dxa"/>
        <w:jc w:val="left"/>
        <w:tblInd w:w="0" w:type="dxa"/>
        <w:tblLayout w:type="fixed"/>
        <w:tblCellMar>
          <w:top w:w="28" w:type="dxa"/>
          <w:left w:w="28" w:type="dxa"/>
          <w:bottom w:w="28" w:type="dxa"/>
          <w:right w:w="28" w:type="dxa"/>
        </w:tblCellMar>
      </w:tblPr>
      <w:tblGrid>
        <w:gridCol w:w="1930"/>
        <w:gridCol w:w="1694"/>
        <w:gridCol w:w="1715"/>
        <w:gridCol w:w="109"/>
        <w:gridCol w:w="109"/>
        <w:gridCol w:w="195"/>
        <w:gridCol w:w="377"/>
        <w:gridCol w:w="1048"/>
        <w:gridCol w:w="195"/>
        <w:gridCol w:w="211"/>
        <w:gridCol w:w="691"/>
        <w:gridCol w:w="154"/>
      </w:tblGrid>
      <w:tr>
        <w:trPr/>
        <w:tc>
          <w:tcPr>
            <w:tcW w:w="1930"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5"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56" w:type="dxa"/>
            <w:gridSpan w:val="3"/>
            <w:tcBorders/>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r>
      <w:tr>
        <w:trPr/>
        <w:tc>
          <w:tcPr>
            <w:tcW w:w="5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operating activities of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of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Free cash flow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operating activities of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4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f75556dbe42480088dae580e614fd1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80" w:after="283"/>
        <w:jc w:val="both"/>
        <w:rPr>
          <w:rFonts w:ascii="Times New Roman;sans-serif" w:hAnsi="Times New Roman;sans-serif"/>
          <w:b/>
          <w:i/>
          <w:color w:val="000000"/>
          <w:sz w:val="20"/>
        </w:rPr>
      </w:pPr>
      <w:r>
        <w:rPr>
          <w:rFonts w:ascii="Times New Roman;sans-serif" w:hAnsi="Times New Roman;sans-serif"/>
          <w:b/>
          <w:i/>
          <w:color w:val="000000"/>
          <w:sz w:val="20"/>
        </w:rPr>
        <w:t>Debt and capital</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Pentair, Pentair Finance S.à r.l (“PFSA”) and Pentair, Inc. are parties to a credit agreement (the “Senior Credit Facility”), with Pentair as guarantor and PFSA and Pentair, Inc. as borrowers, providing for a $900.0 million senior unsecured revolving credit facility. The revolving credit facility has a maturity date of December 16, 2026. Borrowings under the Senior Credit Facility bear interest at a rate equal to an alternate base rate, adjusted term secured overnight financing rate, adjusted euro interbank offered rate, adjusted daily simple secured overnight financing rate or central bank rate, plus, in each case, an applicable margin. The applicable margin is based on, at PFSA’s election, Pentair’s leverage level or PFSA’s public credit rating.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total availability under the Senior Credit Facility was $694.3 million. In addition, PFSA has the option to request to increase the revolving credit facility and/or to enter into one or more tranches of term loans in an aggregate amount of up to $300.0 million, subject to customary conditions, including the commitment of the participating lenders.</w:t>
      </w:r>
    </w:p>
    <w:p>
      <w:pPr>
        <w:pStyle w:val="TextBody"/>
        <w:bidi w:val="0"/>
        <w:spacing w:lineRule="auto" w:line="288" w:before="200" w:after="283"/>
        <w:jc w:val="both"/>
        <w:rPr/>
      </w:pPr>
      <w:r>
        <w:rPr>
          <w:rFonts w:ascii="Times New Roman;sans-serif" w:hAnsi="Times New Roman;sans-serif"/>
          <w:b w:val="false"/>
          <w:color w:val="000000"/>
          <w:sz w:val="20"/>
        </w:rPr>
        <w:t xml:space="preserve">In addition, Pentair and PFSA are parties to a senior unsecured term loan facility (the “Term Loan Facility”), with PFSA, as borrower, Pentair, as guarantor, providing for an aggregate principal amount of $1.0 billion. The Term Loan Facility has a maturity date of July 28, 2027, with required quarterly installment payments of $6.3 million which began on the last day of the third quarter of 2023 and increased to $12.5 million on the last day of the third quarter of 2024. During 2024, PFSA repaid the remaining $162.5 million of quarterly installments on the Term Loan Facility, such that PFSA is not required to make any further quarterly installment payments. As of March 31, 2025, the remaining obligation of $825.0 million matures on July 28, 2027. </w:t>
      </w:r>
      <w:r>
        <w:rPr>
          <w:rFonts w:ascii="Times New Roman;sans-serif" w:hAnsi="Times New Roman;sans-serif"/>
          <w:b w:val="false"/>
          <w:color w:val="000000"/>
          <w:sz w:val="20"/>
          <w:shd w:fill="FFFFFF" w:val="clear"/>
        </w:rPr>
        <w:t xml:space="preserve">The Term Loan Facility bears interest at a rate equal to an alternate base rate, adjusted term secured overnight financing rate, or adjusted daily simple secured overnight financing rate, plus, in each case, an applicable margin. </w:t>
      </w:r>
      <w:r>
        <w:rPr>
          <w:rFonts w:ascii="Times New Roman;sans-serif" w:hAnsi="Times New Roman;sans-serif"/>
          <w:b w:val="false"/>
          <w:color w:val="000000"/>
          <w:sz w:val="20"/>
        </w:rPr>
        <w:t>The applicable margin is based on, at PFSA’s election, Pentair’s leverage level or PFSA’s public credit rating.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debt agreements contain various financial covenants, but the most restrictive covenants are contained in the Senior Credit Facility and the Term Loan Facility. The Senior Credit Facility and the Term Loan Facility contain covenants requiring us not to permit (i) the ratio of our consolidated debt (net of our consolidated unrestricted cash and cash equivalents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interest expense, for the same period to be less than 3.00 to 1.00 as of the end of each fiscal quarter. For purposes of the Leverage Ratio, the Senior Credit Facility and the Term Loan Facility provide for the calculation of EBITDA giving pro forma effect to certain acquisitions, divestitures and liquidations during the period to which such calculation relates.</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Senior Credit Facility and the Term Loan Facility, we have various other credit facilities with an aggregate availability of $20.8 million, of which there were no outstanding borrowings at March 31, 2025. Borrowings under these credit facilities bear interest at variable rates.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$19.3 million of senior notes maturing in the next twelve months. We classified this debt as long-term as of March 31, 2025 as we have the intent and ability to refinance such obligation on a long-term basis under the Senior Credit Facility.</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$103.8 million of cash held in certain countries in which the ability to repatriate is limited due to local regulations or significant potential tax consequences.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Share repurchases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2020, the Board of Directors authorized the repurchase of our ordinary shares up to a maximum dollar limit of $750.0 million. This authorization expires on December 31, 2025. During the three months ended March 31, 2025, we repurchased 0.6 million of our ordinary shares for $50.0 million. As of March 31, 2025, we had $400.0 million available for share repurchases under this authorization.</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 payable</w:t>
      </w:r>
    </w:p>
    <w:p>
      <w:pPr>
        <w:pStyle w:val="TextBody"/>
        <w:bidi w:val="0"/>
        <w:spacing w:lineRule="auto" w:line="288" w:before="0" w:after="200"/>
        <w:jc w:val="both"/>
        <w:rPr/>
      </w:pPr>
      <w:r>
        <w:rPr>
          <w:rFonts w:ascii="Times New Roman;sans-serif" w:hAnsi="Times New Roman;sans-serif"/>
          <w:b w:val="false"/>
          <w:color w:val="000000"/>
          <w:sz w:val="20"/>
        </w:rPr>
        <w:t xml:space="preserve">On February 24, 2025, the Board of Directors declared a quarterly cash dividend of $0.25 per share, payable on May 2, 2025 to shareholders of record at the close of business on April 18, 2025. As a result, the balance of dividends payable included in </w:t>
      </w:r>
      <w:r>
        <w:rPr>
          <w:rFonts w:ascii="Times New Roman;sans-serif" w:hAnsi="Times New Roman;sans-serif"/>
          <w:b w:val="false"/>
          <w:i/>
          <w:color w:val="000000"/>
          <w:sz w:val="20"/>
        </w:rPr>
        <w:t xml:space="preserve">Other current liabilities </w:t>
      </w:r>
      <w:r>
        <w:rPr>
          <w:rFonts w:ascii="Times New Roman;sans-serif" w:hAnsi="Times New Roman;sans-serif"/>
          <w:b w:val="false"/>
          <w:color w:val="000000"/>
          <w:sz w:val="20"/>
        </w:rPr>
        <w:t>on our Condensed Consolidated Balance Sheets was $41.2 million at both March 31, 2025 and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f75556dbe42480088dae580e614fd1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paid dividends in the first three months of 2025 of $41.2 million, or $0.25 per ordinary share compared with $38.0 million, or $0.23 per ordinary share, in the prior year period. </w:t>
      </w:r>
    </w:p>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Under Irish law, the payment of future cash dividends and repurchases of shares may be paid only out of Pentair plc’s “distributable reserves” on its statutory balance sheet. Pentair plc is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U.S. generally accepted accounting principles (“GAAP”) reported amount (e.g., retained earnings). Our distributable reserve balance was $6.8 billion as of December 31, 2024.</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Supplemental guarantor information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Pentair plc (the “Parent Company Guarantor”), fully and unconditionally, guarantees the senior notes of PFSA (the “Subsidiary Issuer”). The Subsidiary Issuer is a Luxembourg private limited liability company and 100 percent-owned subsidiary of the Parent Company Guarantor.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Parent Company Guarantor is a holding company established to own directly and indirectly substantially all of its operating and other subsidiaries. The Subsidiary Issuer is a holding company formed to own directly and indirectly substantially all of its operating and other subsidiaries and to issue debt securities, including the senior notes. The Parent Company Guarantor’s principal source of cash flow, including cash flow to make payments on the senior notes pursuant to the guarantees, is dividends from its subsidiaries. The Subsidiary Issuer’s principal source of cash flow is interest income from its subsidiaries. None of the subsidiaries of the Parent Company Guarantor or the Subsidiary Issuer is under any direct obligation to pay or otherwise fund amounts due on the senior notes or the guarantees, whether in the form of dividends, distributions, loans or other payments. In addition, there may be statutory and regulatory limitations on the payment of dividends from certain subsidiaries of the Parent Company Guarantor or the Subsidiary Issuer. If such subsidiaries are unable to transfer funds to the Parent Company Guarantor or the Subsidiary Issuer and sufficient cash or liquidity is not otherwise available, the Parent Company Guarantor or the Subsidiary Issuer may not be able to make principal and interest payments on their outstanding debt, including the senior notes or the guarantees.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summarized financial information as of March 31, 2025 and December 31, 2024 for the Parent Company Guarantor and Subsidiary Issuer on a combined basis after elimination of (i) intercompany transactions and balances among the Parent Company Guarantor and the Subsidiary Issuer and (ii) equity in earnings from and investments in any subsidiary that is a non-guarantor or issuer.</w:t>
      </w:r>
    </w:p>
    <w:tbl>
      <w:tblPr>
        <w:tblW w:w="10205" w:type="dxa"/>
        <w:jc w:val="left"/>
        <w:tblInd w:w="0" w:type="dxa"/>
        <w:tblLayout w:type="fixed"/>
        <w:tblCellMar>
          <w:top w:w="28" w:type="dxa"/>
          <w:left w:w="28" w:type="dxa"/>
          <w:bottom w:w="28" w:type="dxa"/>
          <w:right w:w="28" w:type="dxa"/>
        </w:tblCellMar>
      </w:tblPr>
      <w:tblGrid>
        <w:gridCol w:w="1757"/>
        <w:gridCol w:w="1509"/>
        <w:gridCol w:w="1523"/>
        <w:gridCol w:w="673"/>
        <w:gridCol w:w="1287"/>
        <w:gridCol w:w="341"/>
        <w:gridCol w:w="859"/>
        <w:gridCol w:w="1652"/>
        <w:gridCol w:w="445"/>
        <w:gridCol w:w="159"/>
      </w:tblGrid>
      <w:tr>
        <w:trPr/>
        <w:tc>
          <w:tcPr>
            <w:tcW w:w="1757"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47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23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29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159" w:type="dxa"/>
            <w:tcBorders/>
          </w:tcPr>
          <w:p>
            <w:pPr>
              <w:pStyle w:val="TableContents"/>
              <w:bidi w:val="0"/>
              <w:spacing w:before="0" w:after="283"/>
              <w:jc w:val="left"/>
              <w:rPr>
                <w:sz w:val="4"/>
                <w:szCs w:val="4"/>
              </w:rPr>
            </w:pPr>
            <w:r>
              <w:rPr>
                <w:sz w:val="4"/>
                <w:szCs w:val="4"/>
              </w:rPr>
            </w:r>
          </w:p>
        </w:tc>
      </w:tr>
      <w:tr>
        <w:trPr/>
        <w:tc>
          <w:tcPr>
            <w:tcW w:w="4789" w:type="dxa"/>
            <w:gridSpan w:val="3"/>
            <w:vMerge w:val="continue"/>
            <w:tcBorders/>
            <w:tcMar>
              <w:top w:w="0" w:type="dxa"/>
              <w:left w:w="0" w:type="dxa"/>
              <w:bottom w:w="0" w:type="dxa"/>
              <w:right w:w="0" w:type="dxa"/>
            </w:tcMar>
            <w:vAlign w:val="center"/>
          </w:tcPr>
          <w:p>
            <w:pPr>
              <w:pStyle w:val="Normal"/>
              <w:bidi w:val="0"/>
              <w:jc w:val="left"/>
              <w:rPr/>
            </w:pPr>
            <w:r>
              <w:rPr/>
            </w:r>
          </w:p>
        </w:tc>
        <w:tc>
          <w:tcPr>
            <w:tcW w:w="2301" w:type="dxa"/>
            <w:gridSpan w:val="3"/>
            <w:vMerge w:val="continue"/>
            <w:tcBorders/>
            <w:tcMar>
              <w:top w:w="0" w:type="dxa"/>
              <w:left w:w="0" w:type="dxa"/>
              <w:bottom w:w="0" w:type="dxa"/>
              <w:right w:w="0" w:type="dxa"/>
            </w:tcMar>
            <w:vAlign w:val="center"/>
          </w:tcPr>
          <w:p>
            <w:pPr>
              <w:pStyle w:val="Normal"/>
              <w:bidi w:val="0"/>
              <w:jc w:val="left"/>
              <w:rPr/>
            </w:pPr>
            <w:r>
              <w:rPr/>
            </w:r>
          </w:p>
        </w:tc>
        <w:tc>
          <w:tcPr>
            <w:tcW w:w="2956" w:type="dxa"/>
            <w:gridSpan w:val="3"/>
            <w:vMerge w:val="continue"/>
            <w:tcBorders/>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Current assets </w:t>
            </w:r>
            <w:r>
              <w:rPr>
                <w:rFonts w:ascii="Times New Roman;sans-serif" w:hAnsi="Times New Roman;sans-serif"/>
                <w:b w:val="false"/>
                <w:color w:val="000000"/>
                <w:sz w:val="13"/>
              </w:rPr>
              <w:t>(1)</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4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Noncurrent assets </w:t>
            </w:r>
            <w:r>
              <w:rPr>
                <w:rFonts w:ascii="Times New Roman;sans-serif" w:hAnsi="Times New Roman;sans-serif"/>
                <w:b w:val="false"/>
                <w:color w:val="000000"/>
                <w:sz w:val="13"/>
              </w:rPr>
              <w:t>(2)</w:t>
            </w:r>
          </w:p>
        </w:tc>
        <w:tc>
          <w:tcPr>
            <w:tcW w:w="1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2,537.3 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2,551.7 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4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Current liabilities </w:t>
            </w:r>
            <w:r>
              <w:rPr>
                <w:rFonts w:ascii="Times New Roman;sans-serif" w:hAnsi="Times New Roman;sans-serif"/>
                <w:b w:val="false"/>
                <w:color w:val="000000"/>
                <w:sz w:val="13"/>
              </w:rPr>
              <w:t>(3)</w:t>
            </w:r>
          </w:p>
        </w:tc>
        <w:tc>
          <w:tcPr>
            <w:tcW w:w="1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1,812.3 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1,893.1 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4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Noncurrent liabilities </w:t>
            </w:r>
            <w:r>
              <w:rPr>
                <w:rFonts w:ascii="Times New Roman;sans-serif" w:hAnsi="Times New Roman;sans-serif"/>
                <w:b w:val="false"/>
                <w:color w:val="000000"/>
                <w:sz w:val="13"/>
              </w:rPr>
              <w:t>(4)</w:t>
            </w:r>
          </w:p>
        </w:tc>
        <w:tc>
          <w:tcPr>
            <w:tcW w:w="1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2,022.9 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1,828.6 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9"/>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7"/>
              </w:rPr>
              <w:t>No assets due from non-guarantor subsidiaries were included as of March 31, 2025 and December 31, 2024, respectively.</w:t>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9"/>
            <w:tcBorders/>
            <w:tcMar>
              <w:top w:w="0" w:type="dxa"/>
              <w:left w:w="0" w:type="dxa"/>
              <w:bottom w:w="0" w:type="dxa"/>
              <w:right w:w="0" w:type="dxa"/>
            </w:tcMar>
            <w:vAlign w:val="center"/>
          </w:tcPr>
          <w:p>
            <w:pPr>
              <w:pStyle w:val="TableContents"/>
              <w:bidi w:val="0"/>
              <w:spacing w:lineRule="auto" w:line="240" w:before="0" w:after="40"/>
              <w:ind w:left="0" w:right="0" w:hanging="180"/>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17"/>
              </w:rPr>
              <w:t xml:space="preserve">Includes assets due from non-guarantor subsidiaries of $2,536.9 million and </w:t>
            </w:r>
            <w:r>
              <w:rPr>
                <w:rFonts w:ascii="Times New Roman;sans-serif" w:hAnsi="Times New Roman;sans-serif"/>
                <w:b w:val="false"/>
                <w:color w:val="000000"/>
                <w:sz w:val="18"/>
              </w:rPr>
              <w:t>$2,547.3 million</w:t>
            </w:r>
            <w:r>
              <w:rPr>
                <w:color w:val="000000"/>
              </w:rPr>
              <w:t xml:space="preserve"> </w:t>
            </w:r>
            <w:r>
              <w:rPr>
                <w:rFonts w:ascii="Times New Roman;sans-serif" w:hAnsi="Times New Roman;sans-serif"/>
                <w:b w:val="false"/>
                <w:color w:val="000000"/>
                <w:sz w:val="17"/>
              </w:rPr>
              <w:t xml:space="preserve">as of March 31, 2025 and December 31, 2024, respectively. </w:t>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9"/>
            <w:tcBorders/>
            <w:tcMar>
              <w:top w:w="0" w:type="dxa"/>
              <w:left w:w="0" w:type="dxa"/>
              <w:bottom w:w="0" w:type="dxa"/>
              <w:right w:w="0" w:type="dxa"/>
            </w:tcMar>
            <w:vAlign w:val="center"/>
          </w:tcPr>
          <w:p>
            <w:pPr>
              <w:pStyle w:val="TableContents"/>
              <w:bidi w:val="0"/>
              <w:spacing w:lineRule="auto" w:line="240" w:before="0" w:after="40"/>
              <w:ind w:left="0" w:right="0" w:hanging="180"/>
              <w:jc w:val="both"/>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17"/>
              </w:rPr>
              <w:t xml:space="preserve">Includes liabilities due to non-guarantor subsidiaries of $1,750.8 million and </w:t>
            </w:r>
            <w:r>
              <w:rPr>
                <w:rFonts w:ascii="Times New Roman;sans-serif" w:hAnsi="Times New Roman;sans-serif"/>
                <w:b w:val="false"/>
                <w:color w:val="000000"/>
                <w:sz w:val="18"/>
              </w:rPr>
              <w:t>$1,843.0 million</w:t>
            </w:r>
            <w:r>
              <w:rPr>
                <w:color w:val="000000"/>
              </w:rPr>
              <w:t xml:space="preserve"> </w:t>
            </w:r>
            <w:r>
              <w:rPr>
                <w:rFonts w:ascii="Times New Roman;sans-serif" w:hAnsi="Times New Roman;sans-serif"/>
                <w:b w:val="false"/>
                <w:color w:val="000000"/>
                <w:sz w:val="17"/>
              </w:rPr>
              <w:t>as of March 31, 2025 and December 31, 2024, respectively.</w:t>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9"/>
            <w:tcBorders/>
            <w:tcMar>
              <w:top w:w="0" w:type="dxa"/>
              <w:left w:w="0" w:type="dxa"/>
              <w:bottom w:w="0" w:type="dxa"/>
              <w:right w:w="0" w:type="dxa"/>
            </w:tcMar>
            <w:vAlign w:val="center"/>
          </w:tcPr>
          <w:p>
            <w:pPr>
              <w:pStyle w:val="TableContents"/>
              <w:bidi w:val="0"/>
              <w:spacing w:lineRule="auto" w:line="240" w:before="0" w:after="40"/>
              <w:ind w:left="0" w:right="0" w:hanging="180"/>
              <w:jc w:val="both"/>
              <w:rPr/>
            </w:pPr>
            <w:r>
              <w:rPr>
                <w:rFonts w:ascii="Times New Roman;sans-serif" w:hAnsi="Times New Roman;sans-serif"/>
                <w:b w:val="false"/>
                <w:color w:val="000000"/>
                <w:sz w:val="13"/>
              </w:rPr>
              <w:t xml:space="preserve">(4) </w:t>
            </w:r>
            <w:r>
              <w:rPr>
                <w:rFonts w:ascii="Times New Roman;sans-serif" w:hAnsi="Times New Roman;sans-serif"/>
                <w:b w:val="false"/>
                <w:color w:val="000000"/>
                <w:sz w:val="17"/>
              </w:rPr>
              <w:t xml:space="preserve">Includes liabilities due to non-guarantor subsidiaries of $157.3 million and </w:t>
            </w:r>
            <w:r>
              <w:rPr>
                <w:rFonts w:ascii="Times New Roman;sans-serif" w:hAnsi="Times New Roman;sans-serif"/>
                <w:b w:val="false"/>
                <w:color w:val="000000"/>
                <w:sz w:val="18"/>
              </w:rPr>
              <w:t>$151.5 million</w:t>
            </w:r>
            <w:r>
              <w:rPr>
                <w:color w:val="000000"/>
              </w:rPr>
              <w:t xml:space="preserve"> </w:t>
            </w:r>
            <w:r>
              <w:rPr>
                <w:rFonts w:ascii="Times New Roman;sans-serif" w:hAnsi="Times New Roman;sans-serif"/>
                <w:b w:val="false"/>
                <w:color w:val="000000"/>
                <w:sz w:val="17"/>
              </w:rPr>
              <w:t>as of March 31, 2025 and December 31, 2024, respectively.</w:t>
            </w:r>
          </w:p>
        </w:tc>
        <w:tc>
          <w:tcPr>
            <w:tcW w:w="159"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Parent Company Guarantor and Subsidiary Issuer do not have material results of operations on a combined basis.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f75556dbe42480088dae580e614fd1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lineRule="auto" w:line="288" w:before="18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various accounting policies to prepare the consolidated financial statements in accordance with GAAP. Certain of our accounting policies require the application of significant judgment by management in selecting the appropriate assumptions for calculating financial estimates. In our Annual Report on Form 10-K for the year ended December 31, 2024, we identified the critical accounting policies that affect our more significant estimates and assumptions used in preparing our consolidated financial statements. There have been no material changes to our critical accounting policies and estimates from those disclosed in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8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market risk during the quarter ended March 31, 2025. For additional information refer to Item 7A of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(a)    Evaluation of Disclosure Controls and Procedures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March 31, 2025 pursuant to Rule 13a-15(b) of the Securities Exchange Act of 1934 (the “Exchange Act”). Based upon their evaluation, our Chief Executive Officer and our Chief Financial Officer concluded that our disclosure controls and procedures were effective, at the reasonable assurance level, as of the end of the quarter ended March 31, 2025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(b)    Changes in Internal Control over Financial Reporting</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2024, we began a multi-year implementation of our new global enterprise resource planning (“ERP”) system. Ultimately, this ERP system will modernize several of our existing operating and transactional financial systems. We believe this implementation will enhance our internal control over financial reporting due to improved operational functionality and further integration of related processes. During the first quarter of 2025, we made progress on our ERP implementation such that a majority of our sales transactions within our Pool reportable segment are now processed through the new ERP system. This progress resulted in material changes to our internal control over financial reporting. We have automated, modified or implemented certain internal controls as appropriate and will continue to monitor our internal control over financial reporting for effectiveness throughout the remainder of this implementation.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other changes in our internal control over financial reporting that occurred during the quarter ended March 31, 2025 that have materially affected, or are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been, and in the future may be, made parties to a number of actions filed, or have been, and in the future may be, given notice of potential claims relating to the conduct of our business, including those relating to commercial, regulatory or contractual disputes with suppliers, customers, authorities or parties to acquisitions and divestitures; intellectual property matters; environmental, asbestos, safety and health matters; product liability; the use or installation of our products; consumer matters; and employment and labor matters.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from the risk factors previously disclosed in Item 1A. of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f75556dbe42480088dae580e614fd1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hanging="135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with respect to purchases we made of our ordinary shares during the first quarter of 2025:</w:t>
      </w:r>
    </w:p>
    <w:tbl>
      <w:tblPr>
        <w:tblW w:w="8210" w:type="dxa"/>
        <w:jc w:val="left"/>
        <w:tblInd w:w="0" w:type="dxa"/>
        <w:tblLayout w:type="fixed"/>
        <w:tblCellMar>
          <w:top w:w="28" w:type="dxa"/>
          <w:left w:w="28" w:type="dxa"/>
          <w:bottom w:w="28" w:type="dxa"/>
          <w:right w:w="28" w:type="dxa"/>
        </w:tblCellMar>
      </w:tblPr>
      <w:tblGrid>
        <w:gridCol w:w="694"/>
        <w:gridCol w:w="611"/>
        <w:gridCol w:w="615"/>
        <w:gridCol w:w="425"/>
        <w:gridCol w:w="425"/>
        <w:gridCol w:w="426"/>
        <w:gridCol w:w="267"/>
        <w:gridCol w:w="914"/>
        <w:gridCol w:w="140"/>
        <w:gridCol w:w="594"/>
        <w:gridCol w:w="594"/>
        <w:gridCol w:w="596"/>
        <w:gridCol w:w="246"/>
        <w:gridCol w:w="1382"/>
        <w:gridCol w:w="127"/>
        <w:gridCol w:w="154"/>
      </w:tblGrid>
      <w:tr>
        <w:trPr/>
        <w:tc>
          <w:tcPr>
            <w:tcW w:w="69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w:t>
              <w:br/>
              <w:t>of shares</w:t>
              <w:br/>
              <w:t>purchased</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w:t>
              <w:br/>
              <w:t>paid per share</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 number of</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shares purchased as</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part of publicly</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announced plans or</w:t>
            </w:r>
          </w:p>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20"/>
              </w:rPr>
              <w:t>programs</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Dollar value of </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shares that may yet</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be purchased under</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plans or</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programs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January 1 - February 1</w:t>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26,647 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450,002,346 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2 - March 1</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30,539 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450,002,346 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2 - March 31</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609,005 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566,591 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400,002,380 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666,191 </w:t>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566,591 </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(a)The purchases in this column include 26,647 shares for the period January 1 - February 1, 30,539 shares for the period February 2 - March 1 and 42,414 shares for the period March 2 - March 31 deemed surrendered to us by participants in our equity incentive plans to satisfy the exercise price or withholding of tax obligations related to the exercise of stock options and vesting of restricted and performance shares.</w:t>
      </w:r>
    </w:p>
    <w:p>
      <w:pPr>
        <w:pStyle w:val="TextBody"/>
        <w:bidi w:val="0"/>
        <w:spacing w:lineRule="auto" w:line="288" w:before="18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(b)The average price paid in this column includes shares deemed surrendered to us by participants in our equity incentive plans to satisfy the exercise price for the exercise price of stock options and withholding tax obligations due upon stock option exercises and vesting of restricted and performance shares.</w:t>
      </w:r>
    </w:p>
    <w:p>
      <w:pPr>
        <w:pStyle w:val="TextBody"/>
        <w:bidi w:val="0"/>
        <w:spacing w:lineRule="auto" w:line="288" w:before="18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(c)The number of shares in this column represents the number of shares repurchased as part of our publicly announced plans to repurchase our ordinary shares up to the maximum dollar limit authorized by the Board of Directors, discussed below.</w:t>
      </w:r>
    </w:p>
    <w:p>
      <w:pPr>
        <w:pStyle w:val="TextBody"/>
        <w:bidi w:val="0"/>
        <w:spacing w:lineRule="auto" w:line="288" w:before="180" w:after="36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(d)In December 2020, the Board of Directors authorized the repurchase of our ordinary shares up to a maximum dollar limit of $750.0 million. This authorization expires on December 31, 2025. As of March 31, 2025, we had $400.0 million remaining availability for repurchases under this authorization. From time to time, we may enter into a Rule 10b5-1 trading plan for the purpose of repurchasing shares under this authorization.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(c)During the first quarter of 2025, none of our directors or Section 16 officers adopted or terminated a “Rule 10b5-1 trading arrangement” or “non-Rule 10b5-1 trading arrangement” (as each term is defined in Item 408(a) of Regulation S-K), except as set forth in the table below.</w:t>
      </w:r>
    </w:p>
    <w:tbl>
      <w:tblPr>
        <w:tblW w:w="10205" w:type="dxa"/>
        <w:jc w:val="left"/>
        <w:tblInd w:w="0" w:type="dxa"/>
        <w:tblLayout w:type="fixed"/>
        <w:tblCellMar>
          <w:top w:w="28" w:type="dxa"/>
          <w:left w:w="28" w:type="dxa"/>
          <w:bottom w:w="28" w:type="dxa"/>
          <w:right w:w="28" w:type="dxa"/>
        </w:tblCellMar>
      </w:tblPr>
      <w:tblGrid>
        <w:gridCol w:w="538"/>
        <w:gridCol w:w="365"/>
        <w:gridCol w:w="367"/>
        <w:gridCol w:w="414"/>
        <w:gridCol w:w="302"/>
        <w:gridCol w:w="282"/>
        <w:gridCol w:w="230"/>
        <w:gridCol w:w="230"/>
        <w:gridCol w:w="235"/>
        <w:gridCol w:w="579"/>
        <w:gridCol w:w="579"/>
        <w:gridCol w:w="581"/>
        <w:gridCol w:w="602"/>
        <w:gridCol w:w="602"/>
        <w:gridCol w:w="603"/>
        <w:gridCol w:w="1136"/>
        <w:gridCol w:w="1054"/>
        <w:gridCol w:w="1506"/>
      </w:tblGrid>
      <w:tr>
        <w:trPr/>
        <w:tc>
          <w:tcPr>
            <w:tcW w:w="53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w:t>
            </w:r>
          </w:p>
        </w:tc>
        <w:tc>
          <w:tcPr>
            <w:tcW w:w="18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w:t>
            </w:r>
          </w:p>
        </w:tc>
        <w:tc>
          <w:tcPr>
            <w:tcW w:w="3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Name and Title</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Action Taken</w:t>
            </w:r>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Date</w:t>
            </w:r>
          </w:p>
        </w:tc>
        <w:tc>
          <w:tcPr>
            <w:tcW w:w="17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Type of Trading Arrangement</w:t>
            </w:r>
          </w:p>
        </w:tc>
        <w:tc>
          <w:tcPr>
            <w:tcW w:w="18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Duration of Trading Arrangement</w:t>
            </w:r>
          </w:p>
        </w:tc>
        <w:tc>
          <w:tcPr>
            <w:tcW w:w="36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Aggregate Number of Shares to be Sold</w:t>
            </w:r>
          </w:p>
        </w:tc>
      </w:tr>
      <w:tr>
        <w:trPr/>
        <w:tc>
          <w:tcPr>
            <w:tcW w:w="12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 Michael Glenn, Director</w:t>
            </w:r>
          </w:p>
        </w:tc>
        <w:tc>
          <w:tcPr>
            <w:tcW w:w="9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02/10/2025</w:t>
            </w:r>
          </w:p>
        </w:tc>
        <w:tc>
          <w:tcPr>
            <w:tcW w:w="1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Rule 10b5-1 trading arrangement</w:t>
            </w:r>
          </w:p>
        </w:tc>
        <w:tc>
          <w:tcPr>
            <w:tcW w:w="18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12/31/2026</w:t>
            </w:r>
          </w:p>
        </w:tc>
        <w:tc>
          <w:tcPr>
            <w:tcW w:w="3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Up to 11,802 shares issuable upon the exercise of options to acquire shares pursuant to the trading arrangement</w:t>
            </w:r>
          </w:p>
        </w:tc>
      </w:tr>
    </w:tbl>
    <w:p>
      <w:pPr>
        <w:pStyle w:val="TextBody"/>
        <w:bidi w:val="0"/>
        <w:spacing w:lineRule="auto" w:line="288" w:before="18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(a)    Each trading arrangement marked as a Rule 10b5-1 trading arrangement is intended to satisfy the affirmative defense of Rule 10b5-1(c).</w:t>
      </w:r>
    </w:p>
    <w:p>
      <w:pPr>
        <w:pStyle w:val="TextBody"/>
        <w:bidi w:val="0"/>
        <w:spacing w:lineRule="auto" w:line="288" w:before="18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(b)    Each trading arrangement permits transactions through and including the earlier to occur of the completion of all sales under the trading arrangement or the date listed in the table.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f75556dbe42480088dae580e614fd1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exhibits listed in the following Exhibit Index are filed as part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 Index to Form 10-Q for the Period Ended March 31, 2025</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2866"/>
        <w:gridCol w:w="2705"/>
        <w:gridCol w:w="3826"/>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color w:val="0000FF"/>
                  <w:sz w:val="20"/>
                  <w:u w:val="single"/>
                </w:rPr>
                <w:t>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List of Guarantors and Subsidiary Issuers of Guaranteed Securities. (Incorporated by reference to Exhibit 22 to the Quarterly Report on Form 10-Q of Pentair plc for the quarter ended September 30, 2022 (File No. 001-11625)).</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ceocertificationq12025.htm">
              <w:r>
                <w:rPr>
                  <w:rStyle w:val="InternetLink"/>
                  <w:rFonts w:ascii="Times New Roman;sans-serif" w:hAnsi="Times New Roman;sans-serif"/>
                  <w:b/>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cfocertificationq12025.htm">
              <w:r>
                <w:rPr>
                  <w:rStyle w:val="InternetLink"/>
                  <w:rFonts w:ascii="Times New Roman;sans-serif" w:hAnsi="Times New Roman;sans-serif"/>
                  <w:b/>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ceocertificationq12025.htm">
              <w:r>
                <w:rPr>
                  <w:rStyle w:val="InternetLink"/>
                  <w:rFonts w:ascii="Times New Roman;sans-serif" w:hAnsi="Times New Roman;sans-serif"/>
                  <w:b/>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18 U.S.C. Section 1350, as Adopted Pursuant to Section 906 of the Sarbanes-Oxley Act of 2002.</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2cfocertificationq12025.htm">
              <w:r>
                <w:rPr>
                  <w:rStyle w:val="InternetLink"/>
                  <w:rFonts w:ascii="Times New Roman;sans-serif" w:hAnsi="Times New Roman;sans-serif"/>
                  <w:b/>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Pursuant to 18 U.S.C. Section 1350, as Adopted Pursuant to Section 906 of the Sarbanes-Oxley Act of 2002.</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Pentair plc’s Quarterly Report on Form 10-Q for the quarter ended March 31, 2025 are filed herewith, formatted in iXBRL (Inline Extensible Business Reporting Language): (i) the Condensed Consolidated Statements of Operations and Comprehensive Income for the three months ended March 31, 2025 and 2024, (ii) the Condensed Consolidated Balance Sheets as of March 31, 2025 and December 31, 2024, (iii) the Condensed Consolidated Statements of Cash Flows for the three months ended March 31, 2025 and 2024, (iv) the Condensed Consolidated Statements of Changes in Equity for the three months ended March 31, 2025 and 2024, (v) Notes to Condensed Consolidated Financial Statements, and (vi) the information included in Part II, Item 5(c). The instance document does not appear in the interactive data file because its XBRL tags are embedded within the Inline XBRL document.</w:t>
            </w:r>
          </w:p>
        </w:tc>
      </w:tr>
      <w:tr>
        <w:trPr/>
        <w:tc>
          <w:tcPr>
            <w:tcW w:w="4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104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before="80" w:after="283"/>
        <w:ind w:left="0" w:right="0" w:firstLine="18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f75556dbe42480088dae580e614fd1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 on April 22, 2025.</w:t>
      </w:r>
    </w:p>
    <w:p>
      <w:pPr>
        <w:pStyle w:val="TextBody"/>
        <w:bidi w:val="0"/>
        <w:spacing w:lineRule="auto" w:line="288" w:before="0" w:after="0"/>
        <w:jc w:val="left"/>
        <w:rPr>
          <w:color w:val="000000"/>
        </w:rPr>
      </w:pPr>
      <w:r>
        <w:rPr>
          <w:color w:val="000000"/>
        </w:rPr>
        <w:t> </w:t>
      </w:r>
    </w:p>
    <w:tbl>
      <w:tblPr>
        <w:tblW w:w="7400" w:type="dxa"/>
        <w:jc w:val="left"/>
        <w:tblInd w:w="0" w:type="dxa"/>
        <w:tblLayout w:type="fixed"/>
        <w:tblCellMar>
          <w:top w:w="28" w:type="dxa"/>
          <w:left w:w="28" w:type="dxa"/>
          <w:bottom w:w="28" w:type="dxa"/>
          <w:right w:w="28" w:type="dxa"/>
        </w:tblCellMar>
      </w:tblPr>
      <w:tblGrid>
        <w:gridCol w:w="124"/>
        <w:gridCol w:w="109"/>
        <w:gridCol w:w="109"/>
        <w:gridCol w:w="158"/>
        <w:gridCol w:w="158"/>
        <w:gridCol w:w="158"/>
        <w:gridCol w:w="2012"/>
        <w:gridCol w:w="2012"/>
        <w:gridCol w:w="25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Pentair plc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P. Fishman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P. Fishman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Chief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658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658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65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John L. Stauch, certify that: </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Pentair plc; </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5054" w:type="dxa"/>
        <w:jc w:val="left"/>
        <w:tblInd w:w="0" w:type="dxa"/>
        <w:tblLayout w:type="fixed"/>
        <w:tblCellMar>
          <w:top w:w="28" w:type="dxa"/>
          <w:left w:w="28" w:type="dxa"/>
          <w:bottom w:w="28" w:type="dxa"/>
          <w:right w:w="28" w:type="dxa"/>
        </w:tblCellMar>
      </w:tblPr>
      <w:tblGrid>
        <w:gridCol w:w="201"/>
        <w:gridCol w:w="177"/>
        <w:gridCol w:w="177"/>
        <w:gridCol w:w="429"/>
        <w:gridCol w:w="429"/>
        <w:gridCol w:w="431"/>
        <w:gridCol w:w="937"/>
        <w:gridCol w:w="937"/>
        <w:gridCol w:w="1336"/>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22, 2025</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L. Stauch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L. Stauch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ind w:left="0" w:right="0" w:hanging="27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Robert P. Fishman, certify that: </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Pentair plc; </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8428" w:type="dxa"/>
        <w:jc w:val="left"/>
        <w:tblInd w:w="0" w:type="dxa"/>
        <w:tblLayout w:type="fixed"/>
        <w:tblCellMar>
          <w:top w:w="28" w:type="dxa"/>
          <w:left w:w="28" w:type="dxa"/>
          <w:bottom w:w="28" w:type="dxa"/>
          <w:right w:w="28" w:type="dxa"/>
        </w:tblCellMar>
      </w:tblPr>
      <w:tblGrid>
        <w:gridCol w:w="201"/>
        <w:gridCol w:w="177"/>
        <w:gridCol w:w="177"/>
        <w:gridCol w:w="429"/>
        <w:gridCol w:w="429"/>
        <w:gridCol w:w="431"/>
        <w:gridCol w:w="1925"/>
        <w:gridCol w:w="1925"/>
        <w:gridCol w:w="2734"/>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22, 2025</w:t>
            </w:r>
          </w:p>
        </w:tc>
        <w:tc>
          <w:tcPr>
            <w:tcW w:w="6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P. Fishman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P. Fishman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Chief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CEO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righ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Pentair plc (the “Company”) on Form 10-Q for the period ended March 31, 2025 as filed with the Securities and Exchange Commission on the date hereof (the “Report”), I, John L. Stauch, President and Chief Executive Officer of the Company, certify, pursuant to 18 U.S.C. § 1350, as adopted pursuant to Section 906 of the Sarbanes-Oxley Act of 2002, that based on my knowledge:</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before="0" w:after="0"/>
        <w:ind w:left="0" w:right="0" w:hanging="36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 of operations of the Company.</w:t>
      </w:r>
    </w:p>
    <w:tbl>
      <w:tblPr>
        <w:tblW w:w="5054" w:type="dxa"/>
        <w:jc w:val="left"/>
        <w:tblInd w:w="0" w:type="dxa"/>
        <w:tblLayout w:type="fixed"/>
        <w:tblCellMar>
          <w:top w:w="28" w:type="dxa"/>
          <w:left w:w="28" w:type="dxa"/>
          <w:bottom w:w="28" w:type="dxa"/>
          <w:right w:w="28" w:type="dxa"/>
        </w:tblCellMar>
      </w:tblPr>
      <w:tblGrid>
        <w:gridCol w:w="201"/>
        <w:gridCol w:w="177"/>
        <w:gridCol w:w="177"/>
        <w:gridCol w:w="429"/>
        <w:gridCol w:w="429"/>
        <w:gridCol w:w="431"/>
        <w:gridCol w:w="937"/>
        <w:gridCol w:w="937"/>
        <w:gridCol w:w="1336"/>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22, 2025</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L. Stauch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L. Stauch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CFO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Pentair plc (the “Company”) on Form 10-Q for the period ended March 31, 2025 as filed with the Securities and Exchange Commission on the date hereof (the “Report”), I, Robert P. Fishman, Executive Vice President, Chief Financial Officer and Chief Accounting Officer of the Company, certify, pursuant to 18 U.S.C. § 1350, as adopted pursuant to Section 906 of the Sarbanes-Oxley Act of 2002, that based on my knowledge:</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before="0" w:after="0"/>
        <w:ind w:left="0" w:right="0" w:hanging="36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 of operations of the Company.</w:t>
      </w:r>
    </w:p>
    <w:tbl>
      <w:tblPr>
        <w:tblW w:w="8428" w:type="dxa"/>
        <w:jc w:val="left"/>
        <w:tblInd w:w="0" w:type="dxa"/>
        <w:tblLayout w:type="fixed"/>
        <w:tblCellMar>
          <w:top w:w="28" w:type="dxa"/>
          <w:left w:w="28" w:type="dxa"/>
          <w:bottom w:w="28" w:type="dxa"/>
          <w:right w:w="28" w:type="dxa"/>
        </w:tblCellMar>
      </w:tblPr>
      <w:tblGrid>
        <w:gridCol w:w="201"/>
        <w:gridCol w:w="177"/>
        <w:gridCol w:w="177"/>
        <w:gridCol w:w="429"/>
        <w:gridCol w:w="429"/>
        <w:gridCol w:w="431"/>
        <w:gridCol w:w="1925"/>
        <w:gridCol w:w="1925"/>
        <w:gridCol w:w="2734"/>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22, 2025</w:t>
            </w:r>
          </w:p>
        </w:tc>
        <w:tc>
          <w:tcPr>
            <w:tcW w:w="6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P. Fishman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P. Fishman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Chief Accounting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77360/000007736022000041/ex22guarantorsubsidiariesq.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15579</Words>
  <Characters>86552</Characters>
  <CharactersWithSpaces>100921</CharactersWithSpaces>
  <Paragraphs>2401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