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572135</wp:posOffset>
            </wp:positionV>
            <wp:extent cx="711517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148" w:lineRule="exact"/>
        <w:rPr>
          <w:sz w:val="24"/>
          <w:szCs w:val="24"/>
          <w:color w:val="auto"/>
        </w:rPr>
      </w:pPr>
    </w:p>
    <w:p>
      <w:pPr>
        <w:ind w:left="1120" w:hanging="1094"/>
        <w:spacing w:after="0"/>
        <w:tabs>
          <w:tab w:leader="none" w:pos="11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QUARTERLY REPORT PURSUANT TO SECTION 13 OR 15(d) OF THE SECURITIES EXCHANGE ACT OF 1934</w:t>
      </w:r>
    </w:p>
    <w:p>
      <w:pPr>
        <w:spacing w:after="0" w:line="126" w:lineRule="exact"/>
        <w:rPr>
          <w:rFonts w:ascii="MS PGothic" w:cs="MS PGothic" w:eastAsia="MS PGothic" w:hAnsi="MS PGothic"/>
          <w:sz w:val="18"/>
          <w:szCs w:val="18"/>
          <w:color w:val="auto"/>
        </w:rPr>
      </w:pPr>
    </w:p>
    <w:p>
      <w:pPr>
        <w:ind w:left="112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For the Quarterly Period Ended September 30, 2024</w:t>
      </w:r>
    </w:p>
    <w:p>
      <w:pPr>
        <w:spacing w:after="0" w:line="9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OR</w:t>
      </w:r>
    </w:p>
    <w:p>
      <w:pPr>
        <w:spacing w:after="0" w:line="144" w:lineRule="exact"/>
        <w:rPr>
          <w:sz w:val="24"/>
          <w:szCs w:val="24"/>
          <w:color w:val="auto"/>
        </w:rPr>
      </w:pPr>
    </w:p>
    <w:p>
      <w:pPr>
        <w:jc w:val="center"/>
        <w:ind w:left="4300" w:right="1420" w:hanging="4274"/>
        <w:spacing w:after="0" w:line="391" w:lineRule="auto"/>
        <w:tabs>
          <w:tab w:leader="none" w:pos="1122"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TRANSITION REPORT PURSUANT TO SECTION 13 OR 15(d) OF THE SECURITIES EXCHANGE ACT OF 1934 Commission file number: </w:t>
      </w:r>
      <w:r>
        <w:rPr>
          <w:rFonts w:ascii="Times New Roman" w:cs="Times New Roman" w:eastAsia="Times New Roman" w:hAnsi="Times New Roman"/>
          <w:sz w:val="18"/>
          <w:szCs w:val="18"/>
          <w:b w:val="1"/>
          <w:bCs w:val="1"/>
          <w:color w:val="auto"/>
        </w:rPr>
        <w:t>001-11625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2585085</wp:posOffset>
            </wp:positionH>
            <wp:positionV relativeFrom="paragraph">
              <wp:posOffset>-30480</wp:posOffset>
            </wp:positionV>
            <wp:extent cx="1971675" cy="4972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971675" cy="4972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Pentair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19685</wp:posOffset>
            </wp:positionV>
            <wp:extent cx="71151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13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080" w:type="dxa"/>
            <w:vAlign w:val="bottom"/>
            <w:tcBorders>
              <w:bottom w:val="single" w:sz="8" w:color="auto"/>
            </w:tcBorders>
          </w:tcPr>
          <w:p>
            <w:pPr>
              <w:jc w:val="center"/>
              <w:ind w:left="1470"/>
              <w:spacing w:after="0"/>
              <w:rPr>
                <w:sz w:val="20"/>
                <w:szCs w:val="20"/>
                <w:color w:val="auto"/>
              </w:rPr>
            </w:pPr>
            <w:r>
              <w:rPr>
                <w:rFonts w:ascii="Times New Roman" w:cs="Times New Roman" w:eastAsia="Times New Roman" w:hAnsi="Times New Roman"/>
                <w:sz w:val="18"/>
                <w:szCs w:val="18"/>
                <w:b w:val="1"/>
                <w:bCs w:val="1"/>
                <w:color w:val="auto"/>
                <w:w w:val="98"/>
              </w:rPr>
              <w:t>Ireland</w:t>
            </w:r>
          </w:p>
        </w:tc>
        <w:tc>
          <w:tcPr>
            <w:tcW w:w="16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3360" w:type="dxa"/>
            <w:vAlign w:val="bottom"/>
            <w:tcBorders>
              <w:bottom w:val="single" w:sz="8" w:color="auto"/>
            </w:tcBorders>
          </w:tcPr>
          <w:p>
            <w:pPr>
              <w:jc w:val="right"/>
              <w:ind w:right="2290"/>
              <w:spacing w:after="0"/>
              <w:rPr>
                <w:sz w:val="20"/>
                <w:szCs w:val="20"/>
                <w:color w:val="auto"/>
              </w:rPr>
            </w:pPr>
            <w:r>
              <w:rPr>
                <w:rFonts w:ascii="Times New Roman" w:cs="Times New Roman" w:eastAsia="Times New Roman" w:hAnsi="Times New Roman"/>
                <w:sz w:val="18"/>
                <w:szCs w:val="18"/>
                <w:b w:val="1"/>
                <w:bCs w:val="1"/>
                <w:color w:val="auto"/>
              </w:rPr>
              <w:t>98-1141328</w:t>
            </w:r>
          </w:p>
        </w:tc>
      </w:tr>
      <w:tr>
        <w:trPr>
          <w:trHeight w:val="228"/>
        </w:trPr>
        <w:tc>
          <w:tcPr>
            <w:tcW w:w="5740" w:type="dxa"/>
            <w:vAlign w:val="bottom"/>
            <w:gridSpan w:val="2"/>
          </w:tcPr>
          <w:p>
            <w:pPr>
              <w:jc w:val="center"/>
              <w:ind w:right="3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1100" w:type="dxa"/>
            <w:vAlign w:val="bottom"/>
          </w:tcPr>
          <w:p>
            <w:pPr>
              <w:spacing w:after="0"/>
              <w:rPr>
                <w:sz w:val="19"/>
                <w:szCs w:val="19"/>
                <w:color w:val="auto"/>
              </w:rPr>
            </w:pPr>
          </w:p>
        </w:tc>
        <w:tc>
          <w:tcPr>
            <w:tcW w:w="4400" w:type="dxa"/>
            <w:vAlign w:val="bottom"/>
            <w:gridSpan w:val="2"/>
          </w:tcPr>
          <w:p>
            <w:pPr>
              <w:jc w:val="right"/>
              <w:ind w:right="141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279"/>
        </w:trPr>
        <w:tc>
          <w:tcPr>
            <w:tcW w:w="4080" w:type="dxa"/>
            <w:vAlign w:val="bottom"/>
            <w:tcBorders>
              <w:bottom w:val="single" w:sz="8" w:color="auto"/>
            </w:tcBorders>
          </w:tcPr>
          <w:p>
            <w:pPr>
              <w:ind w:left="1580"/>
              <w:spacing w:after="0"/>
              <w:rPr>
                <w:sz w:val="20"/>
                <w:szCs w:val="20"/>
                <w:color w:val="auto"/>
              </w:rPr>
            </w:pPr>
            <w:r>
              <w:rPr>
                <w:rFonts w:ascii="Times New Roman" w:cs="Times New Roman" w:eastAsia="Times New Roman" w:hAnsi="Times New Roman"/>
                <w:sz w:val="18"/>
                <w:szCs w:val="18"/>
                <w:b w:val="1"/>
                <w:bCs w:val="1"/>
                <w:color w:val="auto"/>
              </w:rPr>
              <w:t>Regal House, 70 London Road,</w:t>
            </w:r>
          </w:p>
        </w:tc>
        <w:tc>
          <w:tcPr>
            <w:tcW w:w="16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Twickenham,</w:t>
            </w:r>
          </w:p>
        </w:tc>
        <w:tc>
          <w:tcPr>
            <w:tcW w:w="11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London,</w:t>
            </w:r>
          </w:p>
        </w:tc>
        <w:tc>
          <w:tcPr>
            <w:tcW w:w="10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TW13QS</w:t>
            </w:r>
          </w:p>
        </w:tc>
        <w:tc>
          <w:tcPr>
            <w:tcW w:w="3360" w:type="dxa"/>
            <w:vAlign w:val="bottom"/>
            <w:tcBorders>
              <w:bottom w:val="single" w:sz="8" w:color="auto"/>
            </w:tcBorders>
          </w:tcPr>
          <w:p>
            <w:pPr>
              <w:jc w:val="right"/>
              <w:ind w:right="1410"/>
              <w:spacing w:after="0"/>
              <w:rPr>
                <w:sz w:val="20"/>
                <w:szCs w:val="20"/>
                <w:color w:val="auto"/>
              </w:rPr>
            </w:pPr>
            <w:r>
              <w:rPr>
                <w:rFonts w:ascii="Times New Roman" w:cs="Times New Roman" w:eastAsia="Times New Roman" w:hAnsi="Times New Roman"/>
                <w:sz w:val="18"/>
                <w:szCs w:val="18"/>
                <w:b w:val="1"/>
                <w:bCs w:val="1"/>
                <w:color w:val="auto"/>
              </w:rPr>
              <w:t>United Kingdom</w:t>
            </w:r>
          </w:p>
        </w:tc>
      </w:tr>
      <w:tr>
        <w:trPr>
          <w:trHeight w:val="228"/>
        </w:trPr>
        <w:tc>
          <w:tcPr>
            <w:tcW w:w="4080" w:type="dxa"/>
            <w:vAlign w:val="bottom"/>
          </w:tcPr>
          <w:p>
            <w:pPr>
              <w:spacing w:after="0"/>
              <w:rPr>
                <w:sz w:val="19"/>
                <w:szCs w:val="19"/>
                <w:color w:val="auto"/>
              </w:rPr>
            </w:pPr>
          </w:p>
        </w:tc>
        <w:tc>
          <w:tcPr>
            <w:tcW w:w="38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360" w:type="dxa"/>
            <w:vAlign w:val="bottom"/>
          </w:tcPr>
          <w:p>
            <w:pPr>
              <w:spacing w:after="0"/>
              <w:rPr>
                <w:sz w:val="19"/>
                <w:szCs w:val="19"/>
                <w:color w:val="auto"/>
              </w:rPr>
            </w:pPr>
          </w:p>
        </w:tc>
      </w:tr>
    </w:tbl>
    <w:p>
      <w:pPr>
        <w:spacing w:after="0" w:line="1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44-74-9421-6154</w:t>
      </w:r>
    </w:p>
    <w:p>
      <w:pPr>
        <w:spacing w:after="0" w:line="256"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400" w:type="dxa"/>
            <w:vAlign w:val="bottom"/>
          </w:tcPr>
          <w:p>
            <w:pPr>
              <w:spacing w:after="0"/>
              <w:rPr>
                <w:sz w:val="20"/>
                <w:szCs w:val="20"/>
                <w:color w:val="auto"/>
              </w:rPr>
            </w:pPr>
          </w:p>
        </w:tc>
        <w:tc>
          <w:tcPr>
            <w:tcW w:w="4040" w:type="dxa"/>
            <w:vAlign w:val="bottom"/>
          </w:tcPr>
          <w:p>
            <w:pPr>
              <w:spacing w:after="0"/>
              <w:rPr>
                <w:sz w:val="20"/>
                <w:szCs w:val="20"/>
                <w:color w:val="auto"/>
              </w:rPr>
            </w:pPr>
          </w:p>
        </w:tc>
      </w:tr>
      <w:tr>
        <w:trPr>
          <w:trHeight w:val="351"/>
        </w:trPr>
        <w:tc>
          <w:tcPr>
            <w:tcW w:w="20" w:type="dxa"/>
            <w:vAlign w:val="bottom"/>
          </w:tcPr>
          <w:p>
            <w:pPr>
              <w:spacing w:after="0"/>
              <w:rPr>
                <w:sz w:val="24"/>
                <w:szCs w:val="24"/>
                <w:color w:val="auto"/>
              </w:rPr>
            </w:pPr>
          </w:p>
        </w:tc>
        <w:tc>
          <w:tcPr>
            <w:tcW w:w="4760" w:type="dxa"/>
            <w:vAlign w:val="bottom"/>
            <w:tcBorders>
              <w:bottom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400" w:type="dxa"/>
            <w:vAlign w:val="bottom"/>
            <w:tcBorders>
              <w:bottom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20" w:type="dxa"/>
            <w:vAlign w:val="bottom"/>
          </w:tcPr>
          <w:p>
            <w:pPr>
              <w:spacing w:after="0"/>
              <w:rPr>
                <w:sz w:val="19"/>
                <w:szCs w:val="19"/>
                <w:color w:val="auto"/>
              </w:rPr>
            </w:pPr>
          </w:p>
        </w:tc>
        <w:tc>
          <w:tcPr>
            <w:tcW w:w="47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Ordinary Shares, nominal value $0.01 per share</w:t>
            </w:r>
          </w:p>
        </w:tc>
        <w:tc>
          <w:tcPr>
            <w:tcW w:w="24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PNR</w:t>
            </w:r>
          </w:p>
        </w:tc>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139"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68" w:lineRule="exact"/>
        <w:rPr>
          <w:sz w:val="24"/>
          <w:szCs w:val="24"/>
          <w:color w:val="auto"/>
        </w:rPr>
      </w:pPr>
    </w:p>
    <w:tbl>
      <w:tblPr>
        <w:tblLayout w:type="fixed"/>
        <w:tblInd w:w="20" w:type="dxa"/>
        <w:tblCellMar>
          <w:top w:w="0" w:type="dxa"/>
          <w:left w:w="0" w:type="dxa"/>
          <w:bottom w:w="0" w:type="dxa"/>
          <w:right w:w="0" w:type="dxa"/>
        </w:tblCellMar>
      </w:tblPr>
      <w:tr>
        <w:trPr>
          <w:trHeight w:val="207"/>
        </w:trPr>
        <w:tc>
          <w:tcPr>
            <w:tcW w:w="1840" w:type="dxa"/>
            <w:vAlign w:val="bottom"/>
          </w:tcPr>
          <w:p>
            <w:pPr>
              <w:spacing w:after="0"/>
              <w:rPr>
                <w:sz w:val="18"/>
                <w:szCs w:val="18"/>
                <w:color w:val="auto"/>
              </w:rPr>
            </w:pPr>
          </w:p>
        </w:tc>
        <w:tc>
          <w:tcPr>
            <w:tcW w:w="540" w:type="dxa"/>
            <w:vAlign w:val="bottom"/>
            <w:vMerge w:val="restart"/>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1960" w:type="dxa"/>
            <w:vAlign w:val="bottom"/>
            <w:vMerge w:val="restart"/>
          </w:tcPr>
          <w:p>
            <w:pPr>
              <w:ind w:left="180"/>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tc>
        <w:tc>
          <w:tcPr>
            <w:tcW w:w="1840" w:type="dxa"/>
            <w:vAlign w:val="bottom"/>
          </w:tcPr>
          <w:p>
            <w:pPr>
              <w:spacing w:after="0"/>
              <w:rPr>
                <w:sz w:val="18"/>
                <w:szCs w:val="18"/>
                <w:color w:val="auto"/>
              </w:rPr>
            </w:pPr>
          </w:p>
        </w:tc>
        <w:tc>
          <w:tcPr>
            <w:tcW w:w="580" w:type="dxa"/>
            <w:vAlign w:val="bottom"/>
            <w:vMerge w:val="restart"/>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Smaller reporting</w:t>
            </w:r>
          </w:p>
        </w:tc>
        <w:tc>
          <w:tcPr>
            <w:tcW w:w="600" w:type="dxa"/>
            <w:vAlign w:val="bottom"/>
            <w:vMerge w:val="restart"/>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Emerging growth</w:t>
            </w:r>
          </w:p>
        </w:tc>
        <w:tc>
          <w:tcPr>
            <w:tcW w:w="360" w:type="dxa"/>
            <w:vAlign w:val="bottom"/>
            <w:vMerge w:val="restart"/>
          </w:tcPr>
          <w:p>
            <w:pPr>
              <w:ind w:left="20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71"/>
        </w:trPr>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540" w:type="dxa"/>
            <w:vAlign w:val="bottom"/>
            <w:vMerge w:val="continue"/>
          </w:tcPr>
          <w:p>
            <w:pPr>
              <w:spacing w:after="0"/>
              <w:rPr>
                <w:sz w:val="23"/>
                <w:szCs w:val="23"/>
                <w:color w:val="auto"/>
              </w:rPr>
            </w:pPr>
          </w:p>
        </w:tc>
        <w:tc>
          <w:tcPr>
            <w:tcW w:w="1960" w:type="dxa"/>
            <w:vAlign w:val="bottom"/>
            <w:vMerge w:val="continue"/>
          </w:tcPr>
          <w:p>
            <w:pPr>
              <w:spacing w:after="0"/>
              <w:rPr>
                <w:sz w:val="23"/>
                <w:szCs w:val="23"/>
                <w:color w:val="auto"/>
              </w:rPr>
            </w:pPr>
          </w:p>
        </w:tc>
        <w:tc>
          <w:tcPr>
            <w:tcW w:w="1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Non-accelerated filer</w:t>
            </w:r>
          </w:p>
        </w:tc>
        <w:tc>
          <w:tcPr>
            <w:tcW w:w="580" w:type="dxa"/>
            <w:vAlign w:val="bottom"/>
            <w:vMerge w:val="continue"/>
          </w:tcPr>
          <w:p>
            <w:pPr>
              <w:spacing w:after="0"/>
              <w:rPr>
                <w:sz w:val="23"/>
                <w:szCs w:val="23"/>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company</w:t>
            </w:r>
          </w:p>
        </w:tc>
        <w:tc>
          <w:tcPr>
            <w:tcW w:w="600" w:type="dxa"/>
            <w:vAlign w:val="bottom"/>
            <w:vMerge w:val="continue"/>
          </w:tcPr>
          <w:p>
            <w:pPr>
              <w:spacing w:after="0"/>
              <w:rPr>
                <w:sz w:val="23"/>
                <w:szCs w:val="23"/>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company</w:t>
            </w:r>
          </w:p>
        </w:tc>
        <w:tc>
          <w:tcPr>
            <w:tcW w:w="36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116"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right="2080"/>
        <w:spacing w:after="0" w:line="28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On September 30, 2024, 165,231,158 shares of registrant’s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596900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20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80" w:type="dxa"/>
            <w:vAlign w:val="bottom"/>
            <w:gridSpan w:val="8"/>
          </w:tcPr>
          <w:p>
            <w:pPr>
              <w:ind w:left="120"/>
              <w:spacing w:after="0"/>
              <w:rPr>
                <w:sz w:val="20"/>
                <w:szCs w:val="20"/>
                <w:color w:val="auto"/>
              </w:rPr>
            </w:pPr>
            <w:r>
              <w:rPr>
                <w:rFonts w:ascii="Times New Roman" w:cs="Times New Roman" w:eastAsia="Times New Roman" w:hAnsi="Times New Roman"/>
                <w:sz w:val="18"/>
                <w:szCs w:val="18"/>
                <w:b w:val="1"/>
                <w:bCs w:val="1"/>
                <w:color w:val="auto"/>
              </w:rPr>
              <w:t>Pentair plc and Subsidiaries</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540"/>
        </w:trPr>
        <w:tc>
          <w:tcPr>
            <w:tcW w:w="20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940" w:type="dxa"/>
            <w:vAlign w:val="bottom"/>
            <w:tcBorders>
              <w:bottom w:val="single" w:sz="8" w:color="auto"/>
            </w:tcBorders>
            <w:gridSpan w:val="3"/>
          </w:tcPr>
          <w:p>
            <w:pPr>
              <w:ind w:left="28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439"/>
        </w:trPr>
        <w:tc>
          <w:tcPr>
            <w:tcW w:w="10280" w:type="dxa"/>
            <w:vAlign w:val="bottom"/>
            <w:gridSpan w:val="17"/>
          </w:tcPr>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0"/>
        </w:trPr>
        <w:tc>
          <w:tcPr>
            <w:tcW w:w="20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64"/>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82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r>
      <w:tr>
        <w:trPr>
          <w:trHeight w:val="20"/>
        </w:trPr>
        <w:tc>
          <w:tcPr>
            <w:tcW w:w="20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63"/>
        </w:trPr>
        <w:tc>
          <w:tcPr>
            <w:tcW w:w="2040" w:type="dxa"/>
            <w:vAlign w:val="bottom"/>
          </w:tcPr>
          <w:p>
            <w:pPr>
              <w:spacing w:after="0"/>
              <w:rPr>
                <w:sz w:val="22"/>
                <w:szCs w:val="22"/>
                <w:color w:val="auto"/>
              </w:rPr>
            </w:pPr>
          </w:p>
        </w:tc>
        <w:tc>
          <w:tcPr>
            <w:tcW w:w="572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Operations and Comprehensive Income</w:t>
            </w:r>
          </w:p>
        </w:tc>
        <w:tc>
          <w:tcPr>
            <w:tcW w:w="2520" w:type="dxa"/>
            <w:vAlign w:val="bottom"/>
            <w:gridSpan w:val="2"/>
          </w:tcPr>
          <w:p>
            <w:pPr>
              <w:spacing w:after="0"/>
              <w:rPr>
                <w:sz w:val="22"/>
                <w:szCs w:val="22"/>
                <w:color w:val="auto"/>
              </w:rPr>
            </w:pPr>
          </w:p>
        </w:tc>
        <w:tc>
          <w:tcPr>
            <w:tcW w:w="420" w:type="dxa"/>
            <w:vAlign w:val="bottom"/>
          </w:tcPr>
          <w:p>
            <w:pPr>
              <w:spacing w:after="0"/>
              <w:rPr>
                <w:sz w:val="22"/>
                <w:szCs w:val="22"/>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3</w:t>
            </w:r>
          </w:p>
        </w:tc>
        <w:tc>
          <w:tcPr>
            <w:tcW w:w="420" w:type="dxa"/>
            <w:vAlign w:val="bottom"/>
          </w:tcPr>
          <w:p>
            <w:pPr>
              <w:spacing w:after="0"/>
              <w:rPr>
                <w:sz w:val="22"/>
                <w:szCs w:val="22"/>
                <w:color w:val="auto"/>
              </w:rPr>
            </w:pPr>
          </w:p>
        </w:tc>
      </w:tr>
      <w:tr>
        <w:trPr>
          <w:trHeight w:val="264"/>
        </w:trPr>
        <w:tc>
          <w:tcPr>
            <w:tcW w:w="2040" w:type="dxa"/>
            <w:vAlign w:val="bottom"/>
          </w:tcPr>
          <w:p>
            <w:pPr>
              <w:spacing w:after="0"/>
              <w:rPr>
                <w:sz w:val="22"/>
                <w:szCs w:val="22"/>
                <w:color w:val="auto"/>
              </w:rPr>
            </w:pPr>
          </w:p>
        </w:tc>
        <w:tc>
          <w:tcPr>
            <w:tcW w:w="82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Condensed Consolidated Balance Sheets</w:t>
            </w:r>
          </w:p>
        </w:tc>
        <w:tc>
          <w:tcPr>
            <w:tcW w:w="520" w:type="dxa"/>
            <w:vAlign w:val="bottom"/>
            <w:gridSpan w:val="2"/>
          </w:tcPr>
          <w:p>
            <w:pPr>
              <w:jc w:val="center"/>
              <w:ind w:left="330"/>
              <w:spacing w:after="0"/>
              <w:rPr>
                <w:sz w:val="20"/>
                <w:szCs w:val="20"/>
                <w:color w:val="auto"/>
              </w:rPr>
            </w:pPr>
            <w:r>
              <w:rPr>
                <w:rFonts w:ascii="Times New Roman" w:cs="Times New Roman" w:eastAsia="Times New Roman" w:hAnsi="Times New Roman"/>
                <w:sz w:val="18"/>
                <w:szCs w:val="18"/>
                <w:color w:val="0000FF"/>
              </w:rPr>
              <w:t>4</w:t>
            </w:r>
          </w:p>
        </w:tc>
        <w:tc>
          <w:tcPr>
            <w:tcW w:w="420" w:type="dxa"/>
            <w:vAlign w:val="bottom"/>
          </w:tcPr>
          <w:p>
            <w:pPr>
              <w:spacing w:after="0"/>
              <w:rPr>
                <w:sz w:val="22"/>
                <w:szCs w:val="22"/>
                <w:color w:val="auto"/>
              </w:rPr>
            </w:pPr>
          </w:p>
        </w:tc>
      </w:tr>
      <w:tr>
        <w:trPr>
          <w:trHeight w:val="20"/>
        </w:trPr>
        <w:tc>
          <w:tcPr>
            <w:tcW w:w="20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63"/>
        </w:trPr>
        <w:tc>
          <w:tcPr>
            <w:tcW w:w="2040" w:type="dxa"/>
            <w:vAlign w:val="bottom"/>
          </w:tcPr>
          <w:p>
            <w:pPr>
              <w:spacing w:after="0"/>
              <w:rPr>
                <w:sz w:val="22"/>
                <w:szCs w:val="22"/>
                <w:color w:val="auto"/>
              </w:rPr>
            </w:pPr>
          </w:p>
        </w:tc>
        <w:tc>
          <w:tcPr>
            <w:tcW w:w="82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520" w:type="dxa"/>
            <w:vAlign w:val="bottom"/>
            <w:gridSpan w:val="2"/>
          </w:tcPr>
          <w:p>
            <w:pPr>
              <w:jc w:val="center"/>
              <w:ind w:left="330"/>
              <w:spacing w:after="0"/>
              <w:rPr>
                <w:sz w:val="20"/>
                <w:szCs w:val="20"/>
                <w:color w:val="auto"/>
              </w:rPr>
            </w:pPr>
            <w:r>
              <w:rPr>
                <w:rFonts w:ascii="Times New Roman" w:cs="Times New Roman" w:eastAsia="Times New Roman" w:hAnsi="Times New Roman"/>
                <w:sz w:val="18"/>
                <w:szCs w:val="18"/>
                <w:color w:val="0000FF"/>
              </w:rPr>
              <w:t>5</w:t>
            </w:r>
          </w:p>
        </w:tc>
        <w:tc>
          <w:tcPr>
            <w:tcW w:w="420" w:type="dxa"/>
            <w:vAlign w:val="bottom"/>
          </w:tcPr>
          <w:p>
            <w:pPr>
              <w:spacing w:after="0"/>
              <w:rPr>
                <w:sz w:val="22"/>
                <w:szCs w:val="22"/>
                <w:color w:val="auto"/>
              </w:rPr>
            </w:pPr>
          </w:p>
        </w:tc>
      </w:tr>
      <w:tr>
        <w:trPr>
          <w:trHeight w:val="20"/>
        </w:trPr>
        <w:tc>
          <w:tcPr>
            <w:tcW w:w="20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94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63"/>
        </w:trPr>
        <w:tc>
          <w:tcPr>
            <w:tcW w:w="2040" w:type="dxa"/>
            <w:vAlign w:val="bottom"/>
          </w:tcPr>
          <w:p>
            <w:pPr>
              <w:spacing w:after="0"/>
              <w:rPr>
                <w:sz w:val="22"/>
                <w:szCs w:val="22"/>
                <w:color w:val="auto"/>
              </w:rPr>
            </w:pPr>
          </w:p>
        </w:tc>
        <w:tc>
          <w:tcPr>
            <w:tcW w:w="82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Condensed Consolidated Statements of Changes in Equity</w:t>
            </w:r>
          </w:p>
        </w:tc>
        <w:tc>
          <w:tcPr>
            <w:tcW w:w="520" w:type="dxa"/>
            <w:vAlign w:val="bottom"/>
            <w:gridSpan w:val="2"/>
          </w:tcPr>
          <w:p>
            <w:pPr>
              <w:jc w:val="center"/>
              <w:ind w:left="330"/>
              <w:spacing w:after="0"/>
              <w:rPr>
                <w:sz w:val="20"/>
                <w:szCs w:val="20"/>
                <w:color w:val="auto"/>
              </w:rPr>
            </w:pPr>
            <w:r>
              <w:rPr>
                <w:rFonts w:ascii="Times New Roman" w:cs="Times New Roman" w:eastAsia="Times New Roman" w:hAnsi="Times New Roman"/>
                <w:sz w:val="18"/>
                <w:szCs w:val="18"/>
                <w:color w:val="0000FF"/>
              </w:rPr>
              <w:t>6</w:t>
            </w:r>
          </w:p>
        </w:tc>
        <w:tc>
          <w:tcPr>
            <w:tcW w:w="420" w:type="dxa"/>
            <w:vAlign w:val="bottom"/>
          </w:tcPr>
          <w:p>
            <w:pPr>
              <w:spacing w:after="0"/>
              <w:rPr>
                <w:sz w:val="22"/>
                <w:szCs w:val="22"/>
                <w:color w:val="auto"/>
              </w:rPr>
            </w:pPr>
          </w:p>
        </w:tc>
      </w:tr>
      <w:tr>
        <w:trPr>
          <w:trHeight w:val="263"/>
        </w:trPr>
        <w:tc>
          <w:tcPr>
            <w:tcW w:w="2040" w:type="dxa"/>
            <w:vAlign w:val="bottom"/>
          </w:tcPr>
          <w:p>
            <w:pPr>
              <w:spacing w:after="0"/>
              <w:rPr>
                <w:sz w:val="22"/>
                <w:szCs w:val="22"/>
                <w:color w:val="auto"/>
              </w:rPr>
            </w:pPr>
          </w:p>
        </w:tc>
        <w:tc>
          <w:tcPr>
            <w:tcW w:w="4180" w:type="dxa"/>
            <w:vAlign w:val="bottom"/>
            <w:tcBorders>
              <w:top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4060" w:type="dxa"/>
            <w:vAlign w:val="bottom"/>
            <w:gridSpan w:val="4"/>
          </w:tcPr>
          <w:p>
            <w:pPr>
              <w:spacing w:after="0"/>
              <w:rPr>
                <w:sz w:val="22"/>
                <w:szCs w:val="22"/>
                <w:color w:val="auto"/>
              </w:rPr>
            </w:pPr>
          </w:p>
        </w:tc>
        <w:tc>
          <w:tcPr>
            <w:tcW w:w="420" w:type="dxa"/>
            <w:vAlign w:val="bottom"/>
          </w:tcPr>
          <w:p>
            <w:pPr>
              <w:spacing w:after="0"/>
              <w:rPr>
                <w:sz w:val="22"/>
                <w:szCs w:val="22"/>
                <w:color w:val="auto"/>
              </w:rPr>
            </w:pPr>
          </w:p>
        </w:tc>
        <w:tc>
          <w:tcPr>
            <w:tcW w:w="100" w:type="dxa"/>
            <w:vAlign w:val="bottom"/>
            <w:tcBorders>
              <w:top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8</w:t>
            </w:r>
          </w:p>
        </w:tc>
        <w:tc>
          <w:tcPr>
            <w:tcW w:w="420" w:type="dxa"/>
            <w:vAlign w:val="bottom"/>
          </w:tcPr>
          <w:p>
            <w:pPr>
              <w:spacing w:after="0"/>
              <w:rPr>
                <w:sz w:val="22"/>
                <w:szCs w:val="22"/>
                <w:color w:val="auto"/>
              </w:rPr>
            </w:pPr>
          </w:p>
        </w:tc>
      </w:tr>
      <w:tr>
        <w:trPr>
          <w:trHeight w:val="20"/>
        </w:trPr>
        <w:tc>
          <w:tcPr>
            <w:tcW w:w="20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220" w:type="dxa"/>
            <w:vAlign w:val="bottom"/>
            <w:gridSpan w:val="4"/>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63"/>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82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9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20</w:t>
            </w:r>
          </w:p>
        </w:tc>
      </w:tr>
      <w:tr>
        <w:trPr>
          <w:trHeight w:val="20"/>
        </w:trPr>
        <w:tc>
          <w:tcPr>
            <w:tcW w:w="20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20" w:type="dxa"/>
            <w:vAlign w:val="bottom"/>
            <w:tcBorders>
              <w:lef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r>
      <w:tr>
        <w:trPr>
          <w:trHeight w:val="264"/>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430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w w:val="98"/>
              </w:rPr>
              <w:t>Quantitative and Qualitative Disclosures about Market Risk</w:t>
            </w:r>
          </w:p>
        </w:tc>
        <w:tc>
          <w:tcPr>
            <w:tcW w:w="2140" w:type="dxa"/>
            <w:vAlign w:val="bottom"/>
            <w:gridSpan w:val="2"/>
          </w:tcPr>
          <w:p>
            <w:pPr>
              <w:spacing w:after="0"/>
              <w:rPr>
                <w:sz w:val="22"/>
                <w:szCs w:val="22"/>
                <w:color w:val="auto"/>
              </w:rPr>
            </w:pPr>
          </w:p>
        </w:tc>
        <w:tc>
          <w:tcPr>
            <w:tcW w:w="1800" w:type="dxa"/>
            <w:vAlign w:val="bottom"/>
          </w:tcPr>
          <w:p>
            <w:pPr>
              <w:spacing w:after="0"/>
              <w:rPr>
                <w:sz w:val="22"/>
                <w:szCs w:val="22"/>
                <w:color w:val="auto"/>
              </w:rPr>
            </w:pPr>
          </w:p>
        </w:tc>
        <w:tc>
          <w:tcPr>
            <w:tcW w:w="9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33</w:t>
            </w:r>
          </w:p>
        </w:tc>
      </w:tr>
      <w:tr>
        <w:trPr>
          <w:trHeight w:val="20"/>
        </w:trPr>
        <w:tc>
          <w:tcPr>
            <w:tcW w:w="20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r>
      <w:tr>
        <w:trPr>
          <w:trHeight w:val="263"/>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17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8"/>
              </w:rPr>
              <w:t>Controls and Procedures</w:t>
            </w:r>
          </w:p>
        </w:tc>
        <w:tc>
          <w:tcPr>
            <w:tcW w:w="2540" w:type="dxa"/>
            <w:vAlign w:val="bottom"/>
            <w:gridSpan w:val="6"/>
          </w:tcPr>
          <w:p>
            <w:pPr>
              <w:spacing w:after="0"/>
              <w:rPr>
                <w:sz w:val="22"/>
                <w:szCs w:val="22"/>
                <w:color w:val="auto"/>
              </w:rPr>
            </w:pPr>
          </w:p>
        </w:tc>
        <w:tc>
          <w:tcPr>
            <w:tcW w:w="3940" w:type="dxa"/>
            <w:vAlign w:val="bottom"/>
            <w:gridSpan w:val="3"/>
          </w:tcPr>
          <w:p>
            <w:pPr>
              <w:spacing w:after="0"/>
              <w:rPr>
                <w:sz w:val="22"/>
                <w:szCs w:val="22"/>
                <w:color w:val="auto"/>
              </w:rPr>
            </w:pPr>
          </w:p>
        </w:tc>
        <w:tc>
          <w:tcPr>
            <w:tcW w:w="9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33</w:t>
            </w:r>
          </w:p>
        </w:tc>
      </w:tr>
      <w:tr>
        <w:trPr>
          <w:trHeight w:val="20"/>
        </w:trPr>
        <w:tc>
          <w:tcPr>
            <w:tcW w:w="20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540" w:type="dxa"/>
            <w:vAlign w:val="bottom"/>
            <w:gridSpan w:val="6"/>
          </w:tcPr>
          <w:p>
            <w:pPr>
              <w:spacing w:after="0" w:line="20" w:lineRule="exact"/>
              <w:rPr>
                <w:sz w:val="1"/>
                <w:szCs w:val="1"/>
                <w:color w:val="auto"/>
              </w:rPr>
            </w:pPr>
          </w:p>
        </w:tc>
        <w:tc>
          <w:tcPr>
            <w:tcW w:w="3940" w:type="dxa"/>
            <w:vAlign w:val="bottom"/>
            <w:gridSpan w:val="3"/>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r>
      <w:tr>
        <w:trPr>
          <w:trHeight w:val="263"/>
        </w:trPr>
        <w:tc>
          <w:tcPr>
            <w:tcW w:w="10280" w:type="dxa"/>
            <w:vAlign w:val="bottom"/>
            <w:gridSpan w:val="17"/>
          </w:tcPr>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r>
      <w:tr>
        <w:trPr>
          <w:trHeight w:val="20"/>
        </w:trPr>
        <w:tc>
          <w:tcPr>
            <w:tcW w:w="20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000" w:type="dxa"/>
            <w:vAlign w:val="bottom"/>
            <w:gridSpan w:val="7"/>
          </w:tcPr>
          <w:p>
            <w:pPr>
              <w:spacing w:after="0" w:line="20" w:lineRule="exact"/>
              <w:rPr>
                <w:sz w:val="1"/>
                <w:szCs w:val="1"/>
                <w:color w:val="auto"/>
              </w:rPr>
            </w:pPr>
          </w:p>
        </w:tc>
        <w:tc>
          <w:tcPr>
            <w:tcW w:w="3940" w:type="dxa"/>
            <w:vAlign w:val="bottom"/>
            <w:gridSpan w:val="3"/>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r>
      <w:tr>
        <w:trPr>
          <w:trHeight w:val="263"/>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82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9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34</w:t>
            </w:r>
          </w:p>
        </w:tc>
      </w:tr>
      <w:tr>
        <w:trPr>
          <w:trHeight w:val="20"/>
        </w:trPr>
        <w:tc>
          <w:tcPr>
            <w:tcW w:w="20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r>
      <w:tr>
        <w:trPr>
          <w:trHeight w:val="264"/>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400" w:type="dxa"/>
            <w:vAlign w:val="bottom"/>
            <w:gridSpan w:val="2"/>
          </w:tcPr>
          <w:p>
            <w:pPr>
              <w:spacing w:after="0"/>
              <w:rPr>
                <w:sz w:val="22"/>
                <w:szCs w:val="22"/>
                <w:color w:val="auto"/>
              </w:rPr>
            </w:pPr>
          </w:p>
        </w:tc>
        <w:tc>
          <w:tcPr>
            <w:tcW w:w="6940" w:type="dxa"/>
            <w:vAlign w:val="bottom"/>
            <w:gridSpan w:val="10"/>
          </w:tcPr>
          <w:p>
            <w:pPr>
              <w:spacing w:after="0"/>
              <w:rPr>
                <w:sz w:val="22"/>
                <w:szCs w:val="22"/>
                <w:color w:val="auto"/>
              </w:rPr>
            </w:pPr>
          </w:p>
        </w:tc>
        <w:tc>
          <w:tcPr>
            <w:tcW w:w="9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34</w:t>
            </w:r>
          </w:p>
        </w:tc>
      </w:tr>
      <w:tr>
        <w:trPr>
          <w:trHeight w:val="20"/>
        </w:trPr>
        <w:tc>
          <w:tcPr>
            <w:tcW w:w="20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000" w:type="dxa"/>
            <w:vAlign w:val="bottom"/>
            <w:gridSpan w:val="7"/>
          </w:tcPr>
          <w:p>
            <w:pPr>
              <w:spacing w:after="0" w:line="20" w:lineRule="exact"/>
              <w:rPr>
                <w:sz w:val="1"/>
                <w:szCs w:val="1"/>
                <w:color w:val="auto"/>
              </w:rPr>
            </w:pPr>
          </w:p>
        </w:tc>
        <w:tc>
          <w:tcPr>
            <w:tcW w:w="3940" w:type="dxa"/>
            <w:vAlign w:val="bottom"/>
            <w:gridSpan w:val="3"/>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r>
      <w:tr>
        <w:trPr>
          <w:trHeight w:val="264"/>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430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w w:val="97"/>
              </w:rPr>
              <w:t>Unregistered Sales of Equity Securities and Use of Proceeds</w:t>
            </w:r>
          </w:p>
        </w:tc>
        <w:tc>
          <w:tcPr>
            <w:tcW w:w="3940" w:type="dxa"/>
            <w:vAlign w:val="bottom"/>
            <w:gridSpan w:val="3"/>
          </w:tcPr>
          <w:p>
            <w:pPr>
              <w:spacing w:after="0"/>
              <w:rPr>
                <w:sz w:val="22"/>
                <w:szCs w:val="22"/>
                <w:color w:val="auto"/>
              </w:rPr>
            </w:pPr>
          </w:p>
        </w:tc>
        <w:tc>
          <w:tcPr>
            <w:tcW w:w="9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35</w:t>
            </w:r>
          </w:p>
        </w:tc>
      </w:tr>
      <w:tr>
        <w:trPr>
          <w:trHeight w:val="20"/>
        </w:trPr>
        <w:tc>
          <w:tcPr>
            <w:tcW w:w="20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20" w:type="dxa"/>
            <w:vAlign w:val="bottom"/>
            <w:tcBorders>
              <w:left w:val="single" w:sz="8" w:color="0000FF"/>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r>
      <w:tr>
        <w:trPr>
          <w:trHeight w:val="263"/>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430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3940" w:type="dxa"/>
            <w:vAlign w:val="bottom"/>
            <w:gridSpan w:val="3"/>
          </w:tcPr>
          <w:p>
            <w:pPr>
              <w:spacing w:after="0"/>
              <w:rPr>
                <w:sz w:val="22"/>
                <w:szCs w:val="22"/>
                <w:color w:val="auto"/>
              </w:rPr>
            </w:pPr>
          </w:p>
        </w:tc>
        <w:tc>
          <w:tcPr>
            <w:tcW w:w="9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35</w:t>
            </w:r>
          </w:p>
        </w:tc>
      </w:tr>
      <w:tr>
        <w:trPr>
          <w:trHeight w:val="20"/>
        </w:trPr>
        <w:tc>
          <w:tcPr>
            <w:tcW w:w="20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6940" w:type="dxa"/>
            <w:vAlign w:val="bottom"/>
            <w:gridSpan w:val="10"/>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r>
      <w:tr>
        <w:trPr>
          <w:trHeight w:val="263"/>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600" w:type="dxa"/>
            <w:vAlign w:val="bottom"/>
          </w:tcPr>
          <w:p>
            <w:pPr>
              <w:spacing w:after="0"/>
              <w:rPr>
                <w:sz w:val="20"/>
                <w:szCs w:val="20"/>
                <w:color w:val="auto"/>
              </w:rPr>
            </w:pPr>
            <w:r>
              <w:rPr>
                <w:rFonts w:ascii="Times New Roman" w:cs="Times New Roman" w:eastAsia="Times New Roman" w:hAnsi="Times New Roman"/>
                <w:sz w:val="18"/>
                <w:szCs w:val="18"/>
                <w:color w:val="0000FF"/>
                <w:w w:val="96"/>
              </w:rPr>
              <w:t>Exhibits</w:t>
            </w:r>
          </w:p>
        </w:tc>
        <w:tc>
          <w:tcPr>
            <w:tcW w:w="700" w:type="dxa"/>
            <w:vAlign w:val="bottom"/>
            <w:gridSpan w:val="5"/>
          </w:tcPr>
          <w:p>
            <w:pPr>
              <w:spacing w:after="0"/>
              <w:rPr>
                <w:sz w:val="22"/>
                <w:szCs w:val="22"/>
                <w:color w:val="auto"/>
              </w:rPr>
            </w:pPr>
          </w:p>
        </w:tc>
        <w:tc>
          <w:tcPr>
            <w:tcW w:w="6940" w:type="dxa"/>
            <w:vAlign w:val="bottom"/>
            <w:gridSpan w:val="10"/>
          </w:tcPr>
          <w:p>
            <w:pPr>
              <w:spacing w:after="0"/>
              <w:rPr>
                <w:sz w:val="22"/>
                <w:szCs w:val="22"/>
                <w:color w:val="auto"/>
              </w:rPr>
            </w:pPr>
          </w:p>
        </w:tc>
        <w:tc>
          <w:tcPr>
            <w:tcW w:w="9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36</w:t>
            </w:r>
          </w:p>
        </w:tc>
      </w:tr>
      <w:tr>
        <w:trPr>
          <w:trHeight w:val="20"/>
        </w:trPr>
        <w:tc>
          <w:tcPr>
            <w:tcW w:w="20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480" w:type="dxa"/>
            <w:vAlign w:val="bottom"/>
            <w:gridSpan w:val="13"/>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r>
      <w:tr>
        <w:trPr>
          <w:trHeight w:val="263"/>
        </w:trPr>
        <w:tc>
          <w:tcPr>
            <w:tcW w:w="2040" w:type="dxa"/>
            <w:vAlign w:val="bottom"/>
          </w:tcPr>
          <w:p>
            <w:pPr>
              <w:spacing w:after="0"/>
              <w:rPr>
                <w:sz w:val="22"/>
                <w:szCs w:val="22"/>
                <w:color w:val="auto"/>
              </w:rPr>
            </w:pPr>
          </w:p>
        </w:tc>
        <w:tc>
          <w:tcPr>
            <w:tcW w:w="7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7"/>
              </w:rPr>
              <w:t>Signatures</w:t>
            </w:r>
          </w:p>
        </w:tc>
        <w:tc>
          <w:tcPr>
            <w:tcW w:w="7480" w:type="dxa"/>
            <w:vAlign w:val="bottom"/>
            <w:gridSpan w:val="13"/>
          </w:tcPr>
          <w:p>
            <w:pPr>
              <w:spacing w:after="0"/>
              <w:rPr>
                <w:sz w:val="22"/>
                <w:szCs w:val="22"/>
                <w:color w:val="auto"/>
              </w:rPr>
            </w:pPr>
          </w:p>
        </w:tc>
        <w:tc>
          <w:tcPr>
            <w:tcW w:w="9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37</w:t>
            </w:r>
          </w:p>
        </w:tc>
      </w:tr>
      <w:tr>
        <w:trPr>
          <w:trHeight w:val="20"/>
        </w:trPr>
        <w:tc>
          <w:tcPr>
            <w:tcW w:w="20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300" w:type="dxa"/>
            <w:vAlign w:val="bottom"/>
            <w:gridSpan w:val="6"/>
          </w:tcPr>
          <w:p>
            <w:pPr>
              <w:jc w:val="center"/>
              <w:ind w:left="2870"/>
              <w:spacing w:after="0"/>
              <w:rPr>
                <w:sz w:val="20"/>
                <w:szCs w:val="20"/>
                <w:color w:val="auto"/>
              </w:rPr>
            </w:pPr>
            <w:r>
              <w:rPr>
                <w:rFonts w:ascii="Times New Roman" w:cs="Times New Roman" w:eastAsia="Times New Roman" w:hAnsi="Times New Roman"/>
                <w:sz w:val="18"/>
                <w:szCs w:val="18"/>
                <w:b w:val="1"/>
                <w:bCs w:val="1"/>
                <w:color w:val="auto"/>
                <w:w w:val="98"/>
              </w:rPr>
              <w:t>PART I FINANCIAL INFORMATION</w:t>
            </w: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5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6720" w:type="dxa"/>
            <w:vAlign w:val="bottom"/>
            <w:gridSpan w:val="3"/>
          </w:tcPr>
          <w:p>
            <w:pPr>
              <w:jc w:val="center"/>
              <w:ind w:left="4430"/>
              <w:spacing w:after="0"/>
              <w:rPr>
                <w:sz w:val="20"/>
                <w:szCs w:val="20"/>
                <w:color w:val="auto"/>
              </w:rPr>
            </w:pPr>
            <w:r>
              <w:rPr>
                <w:rFonts w:ascii="Times New Roman" w:cs="Times New Roman" w:eastAsia="Times New Roman" w:hAnsi="Times New Roman"/>
                <w:sz w:val="18"/>
                <w:szCs w:val="18"/>
                <w:b w:val="1"/>
                <w:bCs w:val="1"/>
                <w:color w:val="auto"/>
                <w:w w:val="99"/>
              </w:rPr>
              <w:t>Pentair plc and Subsidiaries</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9760" w:type="dxa"/>
            <w:vAlign w:val="bottom"/>
            <w:gridSpan w:val="8"/>
          </w:tcPr>
          <w:p>
            <w:pPr>
              <w:jc w:val="center"/>
              <w:ind w:left="141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Operations and Comprehensive Income (Unaudited)</w:t>
            </w: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5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900" w:type="dxa"/>
            <w:vAlign w:val="bottom"/>
            <w:gridSpan w:val="4"/>
          </w:tcPr>
          <w:p>
            <w:pPr>
              <w:ind w:left="5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40" w:type="dxa"/>
            <w:vAlign w:val="bottom"/>
          </w:tcPr>
          <w:p>
            <w:pPr>
              <w:spacing w:after="0"/>
              <w:rPr>
                <w:sz w:val="24"/>
                <w:szCs w:val="24"/>
                <w:color w:val="auto"/>
              </w:rPr>
            </w:pPr>
          </w:p>
        </w:tc>
        <w:tc>
          <w:tcPr>
            <w:tcW w:w="2800" w:type="dxa"/>
            <w:vAlign w:val="bottom"/>
            <w:gridSpan w:val="3"/>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169"/>
        </w:trPr>
        <w:tc>
          <w:tcPr>
            <w:tcW w:w="52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 except per-share data</w:t>
            </w:r>
          </w:p>
        </w:tc>
        <w:tc>
          <w:tcPr>
            <w:tcW w:w="14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jc w:val="right"/>
              <w:ind w:right="90"/>
              <w:spacing w:after="0" w:line="169"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6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jc w:val="right"/>
              <w:ind w:right="90"/>
              <w:spacing w:after="0" w:line="169"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jc w:val="right"/>
              <w:ind w:right="90"/>
              <w:spacing w:after="0" w:line="169"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6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jc w:val="right"/>
              <w:ind w:right="90"/>
              <w:spacing w:after="0" w:line="169"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43"/>
        </w:trPr>
        <w:tc>
          <w:tcPr>
            <w:tcW w:w="5260" w:type="dxa"/>
            <w:vAlign w:val="bottom"/>
            <w:tcBorders>
              <w:bottom w:val="single" w:sz="8" w:color="auto"/>
            </w:tcBorders>
            <w:vMerge w:val="continue"/>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23"/>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3,109.9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3,119.9</w:t>
            </w:r>
          </w:p>
        </w:tc>
        <w:tc>
          <w:tcPr>
            <w:tcW w:w="0" w:type="dxa"/>
            <w:vAlign w:val="bottom"/>
          </w:tcPr>
          <w:p>
            <w:pPr>
              <w:spacing w:after="0"/>
              <w:rPr>
                <w:sz w:val="1"/>
                <w:szCs w:val="1"/>
                <w:color w:val="auto"/>
              </w:rPr>
            </w:pPr>
          </w:p>
        </w:tc>
      </w:tr>
      <w:tr>
        <w:trPr>
          <w:trHeight w:val="229"/>
        </w:trPr>
        <w:tc>
          <w:tcPr>
            <w:tcW w:w="5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600.2</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637.0</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1,888.7</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1,966.8</w:t>
            </w:r>
          </w:p>
        </w:tc>
        <w:tc>
          <w:tcPr>
            <w:tcW w:w="0" w:type="dxa"/>
            <w:vAlign w:val="bottom"/>
          </w:tcPr>
          <w:p>
            <w:pPr>
              <w:spacing w:after="0"/>
              <w:rPr>
                <w:sz w:val="1"/>
                <w:szCs w:val="1"/>
                <w:color w:val="auto"/>
              </w:rPr>
            </w:pPr>
          </w:p>
        </w:tc>
      </w:tr>
      <w:tr>
        <w:trPr>
          <w:trHeight w:val="223"/>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393.2</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1,221.2</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1,153.1</w:t>
            </w:r>
          </w:p>
        </w:tc>
        <w:tc>
          <w:tcPr>
            <w:tcW w:w="0" w:type="dxa"/>
            <w:vAlign w:val="bottom"/>
          </w:tcPr>
          <w:p>
            <w:pPr>
              <w:spacing w:after="0"/>
              <w:rPr>
                <w:sz w:val="1"/>
                <w:szCs w:val="1"/>
                <w:color w:val="auto"/>
              </w:rPr>
            </w:pPr>
          </w:p>
        </w:tc>
      </w:tr>
      <w:tr>
        <w:trPr>
          <w:trHeight w:val="230"/>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190.4</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540.7</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504.6</w:t>
            </w:r>
          </w:p>
        </w:tc>
        <w:tc>
          <w:tcPr>
            <w:tcW w:w="0" w:type="dxa"/>
            <w:vAlign w:val="bottom"/>
          </w:tcPr>
          <w:p>
            <w:pPr>
              <w:spacing w:after="0"/>
              <w:rPr>
                <w:sz w:val="1"/>
                <w:szCs w:val="1"/>
                <w:color w:val="auto"/>
              </w:rPr>
            </w:pPr>
          </w:p>
        </w:tc>
      </w:tr>
      <w:tr>
        <w:trPr>
          <w:trHeight w:val="229"/>
        </w:trPr>
        <w:tc>
          <w:tcPr>
            <w:tcW w:w="5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0" w:type="dxa"/>
            <w:vAlign w:val="bottom"/>
          </w:tcPr>
          <w:p>
            <w:pPr>
              <w:spacing w:after="0"/>
              <w:rPr>
                <w:sz w:val="1"/>
                <w:szCs w:val="1"/>
                <w:color w:val="auto"/>
              </w:rPr>
            </w:pPr>
          </w:p>
        </w:tc>
      </w:tr>
      <w:tr>
        <w:trPr>
          <w:trHeight w:val="223"/>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179.9</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608.7</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572.2</w:t>
            </w:r>
          </w:p>
        </w:tc>
        <w:tc>
          <w:tcPr>
            <w:tcW w:w="0" w:type="dxa"/>
            <w:vAlign w:val="bottom"/>
          </w:tcPr>
          <w:p>
            <w:pPr>
              <w:spacing w:after="0"/>
              <w:rPr>
                <w:sz w:val="1"/>
                <w:szCs w:val="1"/>
                <w:color w:val="auto"/>
              </w:rPr>
            </w:pPr>
          </w:p>
        </w:tc>
      </w:tr>
      <w:tr>
        <w:trPr>
          <w:trHeight w:val="229"/>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expense (income)</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interest expense</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w:t>
            </w:r>
          </w:p>
        </w:tc>
        <w:tc>
          <w:tcPr>
            <w:tcW w:w="0" w:type="dxa"/>
            <w:vAlign w:val="bottom"/>
          </w:tcPr>
          <w:p>
            <w:pPr>
              <w:spacing w:after="0"/>
              <w:rPr>
                <w:sz w:val="1"/>
                <w:szCs w:val="1"/>
                <w:color w:val="auto"/>
              </w:rPr>
            </w:pPr>
          </w:p>
        </w:tc>
      </w:tr>
      <w:tr>
        <w:trPr>
          <w:trHeight w:val="229"/>
        </w:trPr>
        <w:tc>
          <w:tcPr>
            <w:tcW w:w="5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23"/>
        </w:trPr>
        <w:tc>
          <w:tcPr>
            <w:tcW w:w="5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from continuing operations before income taxes</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160.2</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534.5</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484.9</w:t>
            </w:r>
          </w:p>
        </w:tc>
        <w:tc>
          <w:tcPr>
            <w:tcW w:w="0" w:type="dxa"/>
            <w:vAlign w:val="bottom"/>
          </w:tcPr>
          <w:p>
            <w:pPr>
              <w:spacing w:after="0"/>
              <w:rPr>
                <w:sz w:val="1"/>
                <w:szCs w:val="1"/>
                <w:color w:val="auto"/>
              </w:rPr>
            </w:pPr>
          </w:p>
        </w:tc>
      </w:tr>
      <w:tr>
        <w:trPr>
          <w:trHeight w:val="229"/>
        </w:trPr>
        <w:tc>
          <w:tcPr>
            <w:tcW w:w="5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0" w:type="dxa"/>
            <w:vAlign w:val="bottom"/>
          </w:tcPr>
          <w:p>
            <w:pPr>
              <w:spacing w:after="0"/>
              <w:rPr>
                <w:sz w:val="1"/>
                <w:szCs w:val="1"/>
                <w:color w:val="auto"/>
              </w:rPr>
            </w:pPr>
          </w:p>
        </w:tc>
      </w:tr>
      <w:tr>
        <w:trPr>
          <w:trHeight w:val="223"/>
        </w:trPr>
        <w:tc>
          <w:tcPr>
            <w:tcW w:w="52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Net income from continuing operations</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139.6</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459.2</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414.8</w:t>
            </w:r>
          </w:p>
        </w:tc>
        <w:tc>
          <w:tcPr>
            <w:tcW w:w="0" w:type="dxa"/>
            <w:vAlign w:val="bottom"/>
          </w:tcPr>
          <w:p>
            <w:pPr>
              <w:spacing w:after="0"/>
              <w:rPr>
                <w:sz w:val="1"/>
                <w:szCs w:val="1"/>
                <w:color w:val="auto"/>
              </w:rPr>
            </w:pPr>
          </w:p>
        </w:tc>
      </w:tr>
      <w:tr>
        <w:trPr>
          <w:trHeight w:val="229"/>
        </w:trPr>
        <w:tc>
          <w:tcPr>
            <w:tcW w:w="5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discontinued operations, net of tax</w:t>
            </w: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196"/>
        </w:trPr>
        <w:tc>
          <w:tcPr>
            <w:tcW w:w="5260" w:type="dxa"/>
            <w:vAlign w:val="bottom"/>
            <w:tcBorders>
              <w:bottom w:val="single" w:sz="8" w:color="auto"/>
            </w:tcBorders>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Net income</w:t>
            </w:r>
          </w:p>
        </w:tc>
        <w:tc>
          <w:tcPr>
            <w:tcW w:w="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139.6</w:t>
            </w:r>
          </w:p>
        </w:tc>
        <w:tc>
          <w:tcPr>
            <w:tcW w:w="1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132.1</w:t>
            </w: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459.0</w:t>
            </w:r>
          </w:p>
        </w:tc>
        <w:tc>
          <w:tcPr>
            <w:tcW w:w="1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414.7</w:t>
            </w:r>
          </w:p>
        </w:tc>
        <w:tc>
          <w:tcPr>
            <w:tcW w:w="0" w:type="dxa"/>
            <w:vAlign w:val="bottom"/>
          </w:tcPr>
          <w:p>
            <w:pPr>
              <w:spacing w:after="0"/>
              <w:rPr>
                <w:sz w:val="1"/>
                <w:szCs w:val="1"/>
                <w:color w:val="auto"/>
              </w:rPr>
            </w:pPr>
          </w:p>
        </w:tc>
      </w:tr>
      <w:tr>
        <w:trPr>
          <w:trHeight w:val="20"/>
        </w:trPr>
        <w:tc>
          <w:tcPr>
            <w:tcW w:w="5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 net of tax</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139.6</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414.7</w:t>
            </w:r>
          </w:p>
        </w:tc>
        <w:tc>
          <w:tcPr>
            <w:tcW w:w="0" w:type="dxa"/>
            <w:vAlign w:val="bottom"/>
          </w:tcPr>
          <w:p>
            <w:pPr>
              <w:spacing w:after="0"/>
              <w:rPr>
                <w:sz w:val="1"/>
                <w:szCs w:val="1"/>
                <w:color w:val="auto"/>
              </w:rPr>
            </w:pPr>
          </w:p>
        </w:tc>
      </w:tr>
      <w:tr>
        <w:trPr>
          <w:trHeight w:val="230"/>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cumulative translation adjustment</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30"/>
        </w:trPr>
        <w:tc>
          <w:tcPr>
            <w:tcW w:w="5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Changes in market value of derivative financial instruments, net of tax</w:t>
            </w: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48"/>
        </w:trPr>
        <w:tc>
          <w:tcPr>
            <w:tcW w:w="5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w:t>
            </w:r>
          </w:p>
        </w:tc>
        <w:tc>
          <w:tcPr>
            <w:tcW w:w="10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452.9</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411.6</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26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Earnings per ordinary share</w:t>
            </w: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Basic</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Continuing operations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0" w:type="dxa"/>
            <w:vAlign w:val="bottom"/>
          </w:tcPr>
          <w:p>
            <w:pPr>
              <w:spacing w:after="0"/>
              <w:rPr>
                <w:sz w:val="1"/>
                <w:szCs w:val="1"/>
                <w:color w:val="auto"/>
              </w:rPr>
            </w:pPr>
          </w:p>
        </w:tc>
      </w:tr>
      <w:tr>
        <w:trPr>
          <w:trHeight w:val="230"/>
        </w:trPr>
        <w:tc>
          <w:tcPr>
            <w:tcW w:w="5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Discontinued operations</w:t>
            </w: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Basic earnings per ordinary share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0.84</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0.80</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0" w:type="dxa"/>
            <w:vAlign w:val="bottom"/>
          </w:tcPr>
          <w:p>
            <w:pPr>
              <w:spacing w:after="0"/>
              <w:rPr>
                <w:sz w:val="1"/>
                <w:szCs w:val="1"/>
                <w:color w:val="auto"/>
              </w:rPr>
            </w:pPr>
          </w:p>
        </w:tc>
      </w:tr>
      <w:tr>
        <w:trPr>
          <w:trHeight w:val="20"/>
        </w:trPr>
        <w:tc>
          <w:tcPr>
            <w:tcW w:w="5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Diluted</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Continuing operations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30"/>
        </w:trPr>
        <w:tc>
          <w:tcPr>
            <w:tcW w:w="5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Discontinued operations</w:t>
            </w: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Diluted earnings per ordinary share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0.84</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0.79</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0"/>
        </w:trPr>
        <w:tc>
          <w:tcPr>
            <w:tcW w:w="5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ordinary shares outstanding</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165.6</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165.7</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w:t>
            </w:r>
          </w:p>
        </w:tc>
        <w:tc>
          <w:tcPr>
            <w:tcW w:w="0" w:type="dxa"/>
            <w:vAlign w:val="bottom"/>
          </w:tcPr>
          <w:p>
            <w:pPr>
              <w:spacing w:after="0"/>
              <w:rPr>
                <w:sz w:val="1"/>
                <w:szCs w:val="1"/>
                <w:color w:val="auto"/>
              </w:rPr>
            </w:pPr>
          </w:p>
        </w:tc>
      </w:tr>
      <w:tr>
        <w:trPr>
          <w:trHeight w:val="230"/>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167.2</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166.2</w:t>
            </w:r>
          </w:p>
        </w:tc>
        <w:tc>
          <w:tcPr>
            <w:tcW w:w="0" w:type="dxa"/>
            <w:vAlign w:val="bottom"/>
          </w:tcPr>
          <w:p>
            <w:pPr>
              <w:spacing w:after="0"/>
              <w:rPr>
                <w:sz w:val="1"/>
                <w:szCs w:val="1"/>
                <w:color w:val="auto"/>
              </w:rPr>
            </w:pPr>
          </w:p>
        </w:tc>
      </w:tr>
    </w:tbl>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Pentair plc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(Unaudited)</w:t>
      </w:r>
    </w:p>
    <w:p>
      <w:pPr>
        <w:spacing w:after="0" w:line="180"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76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 except per-share data</w:t>
            </w:r>
          </w:p>
        </w:tc>
        <w:tc>
          <w:tcPr>
            <w:tcW w:w="520" w:type="dxa"/>
            <w:vAlign w:val="bottom"/>
          </w:tcPr>
          <w:p>
            <w:pPr>
              <w:spacing w:after="0"/>
              <w:rPr>
                <w:sz w:val="17"/>
                <w:szCs w:val="17"/>
                <w:color w:val="auto"/>
              </w:rPr>
            </w:pPr>
          </w:p>
        </w:tc>
        <w:tc>
          <w:tcPr>
            <w:tcW w:w="14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00" w:type="dxa"/>
            <w:vAlign w:val="bottom"/>
          </w:tcPr>
          <w:p>
            <w:pPr>
              <w:spacing w:after="0"/>
              <w:rPr>
                <w:sz w:val="17"/>
                <w:szCs w:val="17"/>
                <w:color w:val="auto"/>
              </w:rPr>
            </w:pPr>
          </w:p>
        </w:tc>
        <w:tc>
          <w:tcPr>
            <w:tcW w:w="14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3"/>
        </w:trPr>
        <w:tc>
          <w:tcPr>
            <w:tcW w:w="7680" w:type="dxa"/>
            <w:vAlign w:val="bottom"/>
            <w:tcBorders>
              <w:bottom w:val="single" w:sz="8" w:color="auto"/>
            </w:tcBorders>
            <w:vMerge w:val="continue"/>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23"/>
        </w:trPr>
        <w:tc>
          <w:tcPr>
            <w:tcW w:w="7680" w:type="dxa"/>
            <w:vAlign w:val="bottom"/>
            <w:shd w:val="clear" w:color="auto" w:fill="CCEEFF"/>
          </w:tcPr>
          <w:p>
            <w:pPr>
              <w:ind w:left="536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5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5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170.3</w:t>
            </w:r>
          </w:p>
        </w:tc>
        <w:tc>
          <w:tcPr>
            <w:tcW w:w="0" w:type="dxa"/>
            <w:vAlign w:val="bottom"/>
          </w:tcPr>
          <w:p>
            <w:pPr>
              <w:spacing w:after="0"/>
              <w:rPr>
                <w:sz w:val="1"/>
                <w:szCs w:val="1"/>
                <w:color w:val="auto"/>
              </w:rPr>
            </w:pPr>
          </w:p>
        </w:tc>
      </w:tr>
      <w:tr>
        <w:trPr>
          <w:trHeight w:val="22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 net of allowances of $9.9 and $11.2, respectively</w:t>
            </w:r>
          </w:p>
        </w:tc>
        <w:tc>
          <w:tcPr>
            <w:tcW w:w="5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497.1</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561.7</w:t>
            </w:r>
          </w:p>
        </w:tc>
        <w:tc>
          <w:tcPr>
            <w:tcW w:w="0" w:type="dxa"/>
            <w:vAlign w:val="bottom"/>
          </w:tcPr>
          <w:p>
            <w:pPr>
              <w:spacing w:after="0"/>
              <w:rPr>
                <w:sz w:val="1"/>
                <w:szCs w:val="1"/>
                <w:color w:val="auto"/>
              </w:rPr>
            </w:pPr>
          </w:p>
        </w:tc>
      </w:tr>
      <w:tr>
        <w:trPr>
          <w:trHeight w:val="229"/>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5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645.9</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677.7</w:t>
            </w:r>
          </w:p>
        </w:tc>
        <w:tc>
          <w:tcPr>
            <w:tcW w:w="0" w:type="dxa"/>
            <w:vAlign w:val="bottom"/>
          </w:tcPr>
          <w:p>
            <w:pPr>
              <w:spacing w:after="0"/>
              <w:rPr>
                <w:sz w:val="1"/>
                <w:szCs w:val="1"/>
                <w:color w:val="auto"/>
              </w:rPr>
            </w:pPr>
          </w:p>
        </w:tc>
      </w:tr>
      <w:tr>
        <w:trPr>
          <w:trHeight w:val="230"/>
        </w:trPr>
        <w:tc>
          <w:tcPr>
            <w:tcW w:w="7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5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128.0</w:t>
            </w: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159.3</w:t>
            </w:r>
          </w:p>
        </w:tc>
        <w:tc>
          <w:tcPr>
            <w:tcW w:w="0" w:type="dxa"/>
            <w:vAlign w:val="bottom"/>
          </w:tcPr>
          <w:p>
            <w:pPr>
              <w:spacing w:after="0"/>
              <w:rPr>
                <w:sz w:val="1"/>
                <w:szCs w:val="1"/>
                <w:color w:val="auto"/>
              </w:rPr>
            </w:pPr>
          </w:p>
        </w:tc>
      </w:tr>
      <w:tr>
        <w:trPr>
          <w:trHeight w:val="223"/>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5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1,489.1</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1,569.0</w:t>
            </w:r>
          </w:p>
        </w:tc>
        <w:tc>
          <w:tcPr>
            <w:tcW w:w="0" w:type="dxa"/>
            <w:vAlign w:val="bottom"/>
          </w:tcPr>
          <w:p>
            <w:pPr>
              <w:spacing w:after="0"/>
              <w:rPr>
                <w:sz w:val="1"/>
                <w:szCs w:val="1"/>
                <w:color w:val="auto"/>
              </w:rPr>
            </w:pPr>
          </w:p>
        </w:tc>
      </w:tr>
      <w:tr>
        <w:trPr>
          <w:trHeight w:val="230"/>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Property, plant and equipment, net</w:t>
            </w:r>
          </w:p>
        </w:tc>
        <w:tc>
          <w:tcPr>
            <w:tcW w:w="5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358.5</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362.0</w:t>
            </w:r>
          </w:p>
        </w:tc>
        <w:tc>
          <w:tcPr>
            <w:tcW w:w="0" w:type="dxa"/>
            <w:vAlign w:val="bottom"/>
          </w:tcPr>
          <w:p>
            <w:pPr>
              <w:spacing w:after="0"/>
              <w:rPr>
                <w:sz w:val="1"/>
                <w:szCs w:val="1"/>
                <w:color w:val="auto"/>
              </w:rPr>
            </w:pPr>
          </w:p>
        </w:tc>
      </w:tr>
      <w:tr>
        <w:trPr>
          <w:trHeight w:val="229"/>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assets</w:t>
            </w:r>
          </w:p>
        </w:tc>
        <w:tc>
          <w:tcPr>
            <w:tcW w:w="5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5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3,280.8</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3,274.6</w:t>
            </w:r>
          </w:p>
        </w:tc>
        <w:tc>
          <w:tcPr>
            <w:tcW w:w="0" w:type="dxa"/>
            <w:vAlign w:val="bottom"/>
          </w:tcPr>
          <w:p>
            <w:pPr>
              <w:spacing w:after="0"/>
              <w:rPr>
                <w:sz w:val="1"/>
                <w:szCs w:val="1"/>
                <w:color w:val="auto"/>
              </w:rPr>
            </w:pPr>
          </w:p>
        </w:tc>
      </w:tr>
      <w:tr>
        <w:trPr>
          <w:trHeight w:val="230"/>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Intangibles, net</w:t>
            </w:r>
          </w:p>
        </w:tc>
        <w:tc>
          <w:tcPr>
            <w:tcW w:w="5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1,002.8</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1,042.4</w:t>
            </w:r>
          </w:p>
        </w:tc>
        <w:tc>
          <w:tcPr>
            <w:tcW w:w="0" w:type="dxa"/>
            <w:vAlign w:val="bottom"/>
          </w:tcPr>
          <w:p>
            <w:pPr>
              <w:spacing w:after="0"/>
              <w:rPr>
                <w:sz w:val="1"/>
                <w:szCs w:val="1"/>
                <w:color w:val="auto"/>
              </w:rPr>
            </w:pPr>
          </w:p>
        </w:tc>
      </w:tr>
      <w:tr>
        <w:trPr>
          <w:trHeight w:val="229"/>
        </w:trPr>
        <w:tc>
          <w:tcPr>
            <w:tcW w:w="7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5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341.4</w:t>
            </w: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315.3</w:t>
            </w:r>
          </w:p>
        </w:tc>
        <w:tc>
          <w:tcPr>
            <w:tcW w:w="0" w:type="dxa"/>
            <w:vAlign w:val="bottom"/>
          </w:tcPr>
          <w:p>
            <w:pPr>
              <w:spacing w:after="0"/>
              <w:rPr>
                <w:sz w:val="1"/>
                <w:szCs w:val="1"/>
                <w:color w:val="auto"/>
              </w:rPr>
            </w:pPr>
          </w:p>
        </w:tc>
      </w:tr>
      <w:tr>
        <w:trPr>
          <w:trHeight w:val="223"/>
        </w:trPr>
        <w:tc>
          <w:tcPr>
            <w:tcW w:w="76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assets</w:t>
            </w:r>
          </w:p>
        </w:tc>
        <w:tc>
          <w:tcPr>
            <w:tcW w:w="5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4,625.0</w:t>
            </w:r>
          </w:p>
        </w:tc>
        <w:tc>
          <w:tcPr>
            <w:tcW w:w="2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4,632.3</w:t>
            </w:r>
          </w:p>
        </w:tc>
        <w:tc>
          <w:tcPr>
            <w:tcW w:w="0" w:type="dxa"/>
            <w:vAlign w:val="bottom"/>
          </w:tcPr>
          <w:p>
            <w:pPr>
              <w:spacing w:after="0"/>
              <w:rPr>
                <w:sz w:val="1"/>
                <w:szCs w:val="1"/>
                <w:color w:val="auto"/>
              </w:rPr>
            </w:pPr>
          </w:p>
        </w:tc>
      </w:tr>
      <w:tr>
        <w:trPr>
          <w:trHeight w:val="223"/>
        </w:trPr>
        <w:tc>
          <w:tcPr>
            <w:tcW w:w="7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6,472.6</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6,563.3</w:t>
            </w:r>
          </w:p>
        </w:tc>
        <w:tc>
          <w:tcPr>
            <w:tcW w:w="0" w:type="dxa"/>
            <w:vAlign w:val="bottom"/>
          </w:tcPr>
          <w:p>
            <w:pPr>
              <w:spacing w:after="0"/>
              <w:rPr>
                <w:sz w:val="1"/>
                <w:szCs w:val="1"/>
                <w:color w:val="auto"/>
              </w:rPr>
            </w:pPr>
          </w:p>
        </w:tc>
      </w:tr>
      <w:tr>
        <w:trPr>
          <w:trHeight w:val="20"/>
        </w:trPr>
        <w:tc>
          <w:tcPr>
            <w:tcW w:w="76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680" w:type="dxa"/>
            <w:vAlign w:val="bottom"/>
            <w:shd w:val="clear" w:color="auto" w:fill="CCEEFF"/>
          </w:tcPr>
          <w:p>
            <w:pPr>
              <w:ind w:left="476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5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5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278.9</w:t>
            </w:r>
          </w:p>
        </w:tc>
        <w:tc>
          <w:tcPr>
            <w:tcW w:w="0" w:type="dxa"/>
            <w:vAlign w:val="bottom"/>
          </w:tcPr>
          <w:p>
            <w:pPr>
              <w:spacing w:after="0"/>
              <w:rPr>
                <w:sz w:val="1"/>
                <w:szCs w:val="1"/>
                <w:color w:val="auto"/>
              </w:rPr>
            </w:pPr>
          </w:p>
        </w:tc>
      </w:tr>
      <w:tr>
        <w:trPr>
          <w:trHeight w:val="230"/>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5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116.7</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125.4</w:t>
            </w:r>
          </w:p>
        </w:tc>
        <w:tc>
          <w:tcPr>
            <w:tcW w:w="0" w:type="dxa"/>
            <w:vAlign w:val="bottom"/>
          </w:tcPr>
          <w:p>
            <w:pPr>
              <w:spacing w:after="0"/>
              <w:rPr>
                <w:sz w:val="1"/>
                <w:szCs w:val="1"/>
                <w:color w:val="auto"/>
              </w:rPr>
            </w:pPr>
          </w:p>
        </w:tc>
      </w:tr>
      <w:tr>
        <w:trPr>
          <w:trHeight w:val="229"/>
        </w:trPr>
        <w:tc>
          <w:tcPr>
            <w:tcW w:w="76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5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525.7</w:t>
            </w:r>
          </w:p>
        </w:tc>
        <w:tc>
          <w:tcPr>
            <w:tcW w:w="2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545.3</w:t>
            </w:r>
          </w:p>
        </w:tc>
        <w:tc>
          <w:tcPr>
            <w:tcW w:w="0" w:type="dxa"/>
            <w:vAlign w:val="bottom"/>
          </w:tcPr>
          <w:p>
            <w:pPr>
              <w:spacing w:after="0"/>
              <w:rPr>
                <w:sz w:val="1"/>
                <w:szCs w:val="1"/>
                <w:color w:val="auto"/>
              </w:rPr>
            </w:pPr>
          </w:p>
        </w:tc>
      </w:tr>
      <w:tr>
        <w:trPr>
          <w:trHeight w:val="223"/>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5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928.8</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949.6</w:t>
            </w:r>
          </w:p>
        </w:tc>
        <w:tc>
          <w:tcPr>
            <w:tcW w:w="0" w:type="dxa"/>
            <w:vAlign w:val="bottom"/>
          </w:tcPr>
          <w:p>
            <w:pPr>
              <w:spacing w:after="0"/>
              <w:rPr>
                <w:sz w:val="1"/>
                <w:szCs w:val="1"/>
                <w:color w:val="auto"/>
              </w:rPr>
            </w:pPr>
          </w:p>
        </w:tc>
      </w:tr>
      <w:tr>
        <w:trPr>
          <w:trHeight w:val="230"/>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liabilities</w:t>
            </w:r>
          </w:p>
        </w:tc>
        <w:tc>
          <w:tcPr>
            <w:tcW w:w="5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5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1,628.4</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1,988.3</w:t>
            </w:r>
          </w:p>
        </w:tc>
        <w:tc>
          <w:tcPr>
            <w:tcW w:w="0" w:type="dxa"/>
            <w:vAlign w:val="bottom"/>
          </w:tcPr>
          <w:p>
            <w:pPr>
              <w:spacing w:after="0"/>
              <w:rPr>
                <w:sz w:val="1"/>
                <w:szCs w:val="1"/>
                <w:color w:val="auto"/>
              </w:rPr>
            </w:pPr>
          </w:p>
        </w:tc>
      </w:tr>
      <w:tr>
        <w:trPr>
          <w:trHeight w:val="229"/>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Pension and other post-retirement compensation and benefits</w:t>
            </w:r>
          </w:p>
        </w:tc>
        <w:tc>
          <w:tcPr>
            <w:tcW w:w="5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0" w:type="dxa"/>
            <w:vAlign w:val="bottom"/>
          </w:tcPr>
          <w:p>
            <w:pPr>
              <w:spacing w:after="0"/>
              <w:rPr>
                <w:sz w:val="1"/>
                <w:szCs w:val="1"/>
                <w:color w:val="auto"/>
              </w:rPr>
            </w:pPr>
          </w:p>
        </w:tc>
      </w:tr>
      <w:tr>
        <w:trPr>
          <w:trHeight w:val="230"/>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5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0" w:type="dxa"/>
            <w:vAlign w:val="bottom"/>
          </w:tcPr>
          <w:p>
            <w:pPr>
              <w:spacing w:after="0"/>
              <w:rPr>
                <w:sz w:val="1"/>
                <w:szCs w:val="1"/>
                <w:color w:val="auto"/>
              </w:rPr>
            </w:pPr>
          </w:p>
        </w:tc>
      </w:tr>
      <w:tr>
        <w:trPr>
          <w:trHeight w:val="230"/>
        </w:trPr>
        <w:tc>
          <w:tcPr>
            <w:tcW w:w="76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5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305.4</w:t>
            </w:r>
          </w:p>
        </w:tc>
        <w:tc>
          <w:tcPr>
            <w:tcW w:w="2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294.7</w:t>
            </w:r>
          </w:p>
        </w:tc>
        <w:tc>
          <w:tcPr>
            <w:tcW w:w="0" w:type="dxa"/>
            <w:vAlign w:val="bottom"/>
          </w:tcPr>
          <w:p>
            <w:pPr>
              <w:spacing w:after="0"/>
              <w:rPr>
                <w:sz w:val="1"/>
                <w:szCs w:val="1"/>
                <w:color w:val="auto"/>
              </w:rPr>
            </w:pPr>
          </w:p>
        </w:tc>
      </w:tr>
      <w:tr>
        <w:trPr>
          <w:trHeight w:val="223"/>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5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2,973.8</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3,346.2</w:t>
            </w:r>
          </w:p>
        </w:tc>
        <w:tc>
          <w:tcPr>
            <w:tcW w:w="0" w:type="dxa"/>
            <w:vAlign w:val="bottom"/>
          </w:tcPr>
          <w:p>
            <w:pPr>
              <w:spacing w:after="0"/>
              <w:rPr>
                <w:sz w:val="1"/>
                <w:szCs w:val="1"/>
                <w:color w:val="auto"/>
              </w:rPr>
            </w:pPr>
          </w:p>
        </w:tc>
      </w:tr>
      <w:tr>
        <w:trPr>
          <w:trHeight w:val="230"/>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15)</w:t>
            </w:r>
          </w:p>
        </w:tc>
        <w:tc>
          <w:tcPr>
            <w:tcW w:w="5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5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6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Ordinary shares $0.01 par value, 426.0 authorized, 165.2 and 165.3 issued at September 30, 2024 and</w:t>
            </w:r>
          </w:p>
        </w:tc>
        <w:tc>
          <w:tcPr>
            <w:tcW w:w="52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2023, respectively</w:t>
            </w:r>
          </w:p>
        </w:tc>
        <w:tc>
          <w:tcPr>
            <w:tcW w:w="52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30"/>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5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1,536.7</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1,593.6</w:t>
            </w:r>
          </w:p>
        </w:tc>
        <w:tc>
          <w:tcPr>
            <w:tcW w:w="0" w:type="dxa"/>
            <w:vAlign w:val="bottom"/>
          </w:tcPr>
          <w:p>
            <w:pPr>
              <w:spacing w:after="0"/>
              <w:rPr>
                <w:sz w:val="1"/>
                <w:szCs w:val="1"/>
                <w:color w:val="auto"/>
              </w:rPr>
            </w:pPr>
          </w:p>
        </w:tc>
      </w:tr>
      <w:tr>
        <w:trPr>
          <w:trHeight w:val="229"/>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Retained earnings</w:t>
            </w:r>
          </w:p>
        </w:tc>
        <w:tc>
          <w:tcPr>
            <w:tcW w:w="5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2,210.9</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1,866.2</w:t>
            </w:r>
          </w:p>
        </w:tc>
        <w:tc>
          <w:tcPr>
            <w:tcW w:w="0" w:type="dxa"/>
            <w:vAlign w:val="bottom"/>
          </w:tcPr>
          <w:p>
            <w:pPr>
              <w:spacing w:after="0"/>
              <w:rPr>
                <w:sz w:val="1"/>
                <w:szCs w:val="1"/>
                <w:color w:val="auto"/>
              </w:rPr>
            </w:pPr>
          </w:p>
        </w:tc>
      </w:tr>
      <w:tr>
        <w:trPr>
          <w:trHeight w:val="230"/>
        </w:trPr>
        <w:tc>
          <w:tcPr>
            <w:tcW w:w="7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5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(250.5)</w:t>
            </w: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(244.4)</w:t>
            </w:r>
          </w:p>
        </w:tc>
        <w:tc>
          <w:tcPr>
            <w:tcW w:w="0" w:type="dxa"/>
            <w:vAlign w:val="bottom"/>
          </w:tcPr>
          <w:p>
            <w:pPr>
              <w:spacing w:after="0"/>
              <w:rPr>
                <w:sz w:val="1"/>
                <w:szCs w:val="1"/>
                <w:color w:val="auto"/>
              </w:rPr>
            </w:pPr>
          </w:p>
        </w:tc>
      </w:tr>
      <w:tr>
        <w:trPr>
          <w:trHeight w:val="223"/>
        </w:trPr>
        <w:tc>
          <w:tcPr>
            <w:tcW w:w="76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5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3,498.8</w:t>
            </w:r>
          </w:p>
        </w:tc>
        <w:tc>
          <w:tcPr>
            <w:tcW w:w="2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3,217.1</w:t>
            </w:r>
          </w:p>
        </w:tc>
        <w:tc>
          <w:tcPr>
            <w:tcW w:w="0" w:type="dxa"/>
            <w:vAlign w:val="bottom"/>
          </w:tcPr>
          <w:p>
            <w:pPr>
              <w:spacing w:after="0"/>
              <w:rPr>
                <w:sz w:val="1"/>
                <w:szCs w:val="1"/>
                <w:color w:val="auto"/>
              </w:rPr>
            </w:pPr>
          </w:p>
        </w:tc>
      </w:tr>
      <w:tr>
        <w:trPr>
          <w:trHeight w:val="223"/>
        </w:trPr>
        <w:tc>
          <w:tcPr>
            <w:tcW w:w="7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6,472.6</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6,563.3</w:t>
            </w:r>
          </w:p>
        </w:tc>
        <w:tc>
          <w:tcPr>
            <w:tcW w:w="0" w:type="dxa"/>
            <w:vAlign w:val="bottom"/>
          </w:tcPr>
          <w:p>
            <w:pPr>
              <w:spacing w:after="0"/>
              <w:rPr>
                <w:sz w:val="1"/>
                <w:szCs w:val="1"/>
                <w:color w:val="auto"/>
              </w:rPr>
            </w:pPr>
          </w:p>
        </w:tc>
      </w:tr>
      <w:tr>
        <w:trPr>
          <w:trHeight w:val="20"/>
        </w:trPr>
        <w:tc>
          <w:tcPr>
            <w:tcW w:w="76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Pentair plc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(Unaudited)</w:t>
      </w:r>
    </w:p>
    <w:p>
      <w:pPr>
        <w:spacing w:after="0" w:line="27"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80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3"/>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169"/>
        </w:trPr>
        <w:tc>
          <w:tcPr>
            <w:tcW w:w="8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80" w:type="dxa"/>
            <w:vAlign w:val="bottom"/>
          </w:tcPr>
          <w:p>
            <w:pPr>
              <w:spacing w:after="0"/>
              <w:rPr>
                <w:sz w:val="14"/>
                <w:szCs w:val="14"/>
                <w:color w:val="auto"/>
              </w:rPr>
            </w:pPr>
          </w:p>
        </w:tc>
        <w:tc>
          <w:tcPr>
            <w:tcW w:w="1400" w:type="dxa"/>
            <w:vAlign w:val="bottom"/>
          </w:tcPr>
          <w:p>
            <w:pPr>
              <w:jc w:val="right"/>
              <w:ind w:right="150"/>
              <w:spacing w:after="0" w:line="169"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200" w:type="dxa"/>
            <w:vAlign w:val="bottom"/>
          </w:tcPr>
          <w:p>
            <w:pPr>
              <w:spacing w:after="0"/>
              <w:rPr>
                <w:sz w:val="14"/>
                <w:szCs w:val="14"/>
                <w:color w:val="auto"/>
              </w:rPr>
            </w:pPr>
          </w:p>
        </w:tc>
        <w:tc>
          <w:tcPr>
            <w:tcW w:w="1400" w:type="dxa"/>
            <w:vAlign w:val="bottom"/>
          </w:tcPr>
          <w:p>
            <w:pPr>
              <w:jc w:val="right"/>
              <w:ind w:right="150"/>
              <w:spacing w:after="0" w:line="169"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43"/>
        </w:trPr>
        <w:tc>
          <w:tcPr>
            <w:tcW w:w="8020" w:type="dxa"/>
            <w:vAlign w:val="bottom"/>
            <w:tcBorders>
              <w:bottom w:val="single" w:sz="8" w:color="auto"/>
            </w:tcBorders>
            <w:vMerge w:val="continue"/>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414.7</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discontinued operations, net of tax</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175"/>
        </w:trPr>
        <w:tc>
          <w:tcPr>
            <w:tcW w:w="8020" w:type="dxa"/>
            <w:vAlign w:val="bottom"/>
          </w:tcPr>
          <w:p>
            <w:pPr>
              <w:ind w:left="120"/>
              <w:spacing w:after="0" w:line="176" w:lineRule="exact"/>
              <w:rPr>
                <w:sz w:val="20"/>
                <w:szCs w:val="20"/>
                <w:color w:val="auto"/>
              </w:rPr>
            </w:pPr>
            <w:r>
              <w:rPr>
                <w:rFonts w:ascii="Times New Roman" w:cs="Times New Roman" w:eastAsia="Times New Roman" w:hAnsi="Times New Roman"/>
                <w:sz w:val="18"/>
                <w:szCs w:val="18"/>
                <w:b w:val="1"/>
                <w:bCs w:val="1"/>
                <w:color w:val="auto"/>
              </w:rPr>
              <w:t>Adjustments to reconcile net income from continuing operations to net cash provided by (used for)</w:t>
            </w:r>
          </w:p>
        </w:tc>
        <w:tc>
          <w:tcPr>
            <w:tcW w:w="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802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income of unconsolidated subsidiaries</w:t>
            </w:r>
          </w:p>
        </w:tc>
        <w:tc>
          <w:tcPr>
            <w:tcW w:w="18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 impairment and write-offs</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sale of assets</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Changes in assets and liabilities, net of effects of business acquisitions</w:t>
            </w: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receivable</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0" w:type="dxa"/>
            <w:vAlign w:val="bottom"/>
          </w:tcPr>
          <w:p>
            <w:pPr>
              <w:spacing w:after="0"/>
              <w:rPr>
                <w:sz w:val="1"/>
                <w:szCs w:val="1"/>
                <w:color w:val="auto"/>
              </w:rPr>
            </w:pPr>
          </w:p>
        </w:tc>
      </w:tr>
      <w:tr>
        <w:trPr>
          <w:trHeight w:val="230"/>
        </w:trPr>
        <w:tc>
          <w:tcPr>
            <w:tcW w:w="8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Inventories</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current assets</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29"/>
        </w:trPr>
        <w:tc>
          <w:tcPr>
            <w:tcW w:w="8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29"/>
        </w:trPr>
        <w:tc>
          <w:tcPr>
            <w:tcW w:w="8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29"/>
        </w:trPr>
        <w:tc>
          <w:tcPr>
            <w:tcW w:w="802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non-current assets and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2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cash provided by operating activities of continuing operations</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680.4</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502.3</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cash used for operating activities of discontinued operations</w:t>
            </w: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23"/>
        </w:trPr>
        <w:tc>
          <w:tcPr>
            <w:tcW w:w="8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680.2</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500.7</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sale of property and equipment</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Payments upon the settlement of net investment hedges</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Acquisitions, net of cash acquired</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29"/>
        </w:trPr>
        <w:tc>
          <w:tcPr>
            <w:tcW w:w="8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cash used for investing activities</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repayments of revolving long-term debt</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(320.0)</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Repayments of long-term debt</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(362.5)</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issued to employees, net of shares withheld</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Repurchases of ordinary shares</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paid</w:t>
            </w: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2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w:t>
            </w:r>
          </w:p>
        </w:tc>
        <w:tc>
          <w:tcPr>
            <w:tcW w:w="0" w:type="dxa"/>
            <w:vAlign w:val="bottom"/>
          </w:tcPr>
          <w:p>
            <w:pPr>
              <w:spacing w:after="0"/>
              <w:rPr>
                <w:sz w:val="1"/>
                <w:szCs w:val="1"/>
                <w:color w:val="auto"/>
              </w:rPr>
            </w:pPr>
          </w:p>
        </w:tc>
      </w:tr>
      <w:tr>
        <w:trPr>
          <w:trHeight w:val="223"/>
        </w:trPr>
        <w:tc>
          <w:tcPr>
            <w:tcW w:w="8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cash used for financing activities</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(560.0)</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(426.2)</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Effect of exchange rate changes on cash and cash equivalents</w:t>
            </w: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Change in cash and cash equivalents</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170.3</w:t>
            </w:r>
          </w:p>
        </w:tc>
        <w:tc>
          <w:tcPr>
            <w:tcW w:w="2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w:t>
            </w:r>
          </w:p>
        </w:tc>
        <w:tc>
          <w:tcPr>
            <w:tcW w:w="0" w:type="dxa"/>
            <w:vAlign w:val="bottom"/>
          </w:tcPr>
          <w:p>
            <w:pPr>
              <w:spacing w:after="0"/>
              <w:rPr>
                <w:sz w:val="1"/>
                <w:szCs w:val="1"/>
                <w:color w:val="auto"/>
              </w:rPr>
            </w:pPr>
          </w:p>
        </w:tc>
      </w:tr>
      <w:tr>
        <w:trPr>
          <w:trHeight w:val="223"/>
        </w:trPr>
        <w:tc>
          <w:tcPr>
            <w:tcW w:w="8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end of period</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218.1</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137.0</w:t>
            </w:r>
          </w:p>
        </w:tc>
        <w:tc>
          <w:tcPr>
            <w:tcW w:w="0" w:type="dxa"/>
            <w:vAlign w:val="bottom"/>
          </w:tcPr>
          <w:p>
            <w:pPr>
              <w:spacing w:after="0"/>
              <w:rPr>
                <w:sz w:val="1"/>
                <w:szCs w:val="1"/>
                <w:color w:val="auto"/>
              </w:rPr>
            </w:pPr>
          </w:p>
        </w:tc>
      </w:tr>
      <w:tr>
        <w:trPr>
          <w:trHeight w:val="20"/>
        </w:trPr>
        <w:tc>
          <w:tcPr>
            <w:tcW w:w="80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Pentair plc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Equity (Unaudited)</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4000" w:type="dxa"/>
            <w:vAlign w:val="bottom"/>
          </w:tcPr>
          <w:p>
            <w:pPr>
              <w:spacing w:after="0"/>
              <w:rPr>
                <w:sz w:val="15"/>
                <w:szCs w:val="15"/>
                <w:color w:val="auto"/>
              </w:rPr>
            </w:pPr>
          </w:p>
        </w:tc>
        <w:tc>
          <w:tcPr>
            <w:tcW w:w="1820" w:type="dxa"/>
            <w:vAlign w:val="bottom"/>
            <w:gridSpan w:val="3"/>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Ordinary shares</w:t>
            </w: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tcPr>
          <w:p>
            <w:pPr>
              <w:jc w:val="center"/>
              <w:ind w:right="90"/>
              <w:spacing w:after="0" w:line="176" w:lineRule="exact"/>
              <w:rPr>
                <w:sz w:val="20"/>
                <w:szCs w:val="20"/>
                <w:color w:val="auto"/>
              </w:rPr>
            </w:pPr>
            <w:r>
              <w:rPr>
                <w:rFonts w:ascii="Times New Roman" w:cs="Times New Roman" w:eastAsia="Times New Roman" w:hAnsi="Times New Roman"/>
                <w:sz w:val="18"/>
                <w:szCs w:val="18"/>
                <w:b w:val="1"/>
                <w:bCs w:val="1"/>
                <w:color w:val="auto"/>
                <w:w w:val="97"/>
              </w:rPr>
              <w:t>other</w:t>
            </w: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4000" w:type="dxa"/>
            <w:vAlign w:val="bottom"/>
          </w:tcPr>
          <w:p>
            <w:pPr>
              <w:spacing w:after="0"/>
              <w:rPr>
                <w:sz w:val="12"/>
                <w:szCs w:val="12"/>
                <w:color w:val="auto"/>
              </w:rPr>
            </w:pPr>
          </w:p>
        </w:tc>
        <w:tc>
          <w:tcPr>
            <w:tcW w:w="1820" w:type="dxa"/>
            <w:vAlign w:val="bottom"/>
            <w:tcBorders>
              <w:bottom w:val="single" w:sz="8" w:color="auto"/>
            </w:tcBorders>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jc w:val="right"/>
              <w:ind w:right="110"/>
              <w:spacing w:after="0" w:line="149" w:lineRule="exact"/>
              <w:rPr>
                <w:sz w:val="20"/>
                <w:szCs w:val="20"/>
                <w:color w:val="auto"/>
              </w:rPr>
            </w:pPr>
            <w:r>
              <w:rPr>
                <w:rFonts w:ascii="Times New Roman" w:cs="Times New Roman" w:eastAsia="Times New Roman" w:hAnsi="Times New Roman"/>
                <w:sz w:val="17"/>
                <w:szCs w:val="17"/>
                <w:b w:val="1"/>
                <w:bCs w:val="1"/>
                <w:color w:val="auto"/>
              </w:rPr>
              <w:t>Additional</w:t>
            </w:r>
          </w:p>
        </w:tc>
        <w:tc>
          <w:tcPr>
            <w:tcW w:w="200" w:type="dxa"/>
            <w:vAlign w:val="bottom"/>
          </w:tcPr>
          <w:p>
            <w:pPr>
              <w:spacing w:after="0"/>
              <w:rPr>
                <w:sz w:val="12"/>
                <w:szCs w:val="12"/>
                <w:color w:val="auto"/>
              </w:rPr>
            </w:pPr>
          </w:p>
        </w:tc>
        <w:tc>
          <w:tcPr>
            <w:tcW w:w="1040" w:type="dxa"/>
            <w:vAlign w:val="bottom"/>
          </w:tcPr>
          <w:p>
            <w:pPr>
              <w:jc w:val="right"/>
              <w:ind w:right="190"/>
              <w:spacing w:after="0" w:line="149" w:lineRule="exact"/>
              <w:rPr>
                <w:sz w:val="20"/>
                <w:szCs w:val="20"/>
                <w:color w:val="auto"/>
              </w:rPr>
            </w:pPr>
            <w:r>
              <w:rPr>
                <w:rFonts w:ascii="Times New Roman" w:cs="Times New Roman" w:eastAsia="Times New Roman" w:hAnsi="Times New Roman"/>
                <w:sz w:val="17"/>
                <w:szCs w:val="17"/>
                <w:b w:val="1"/>
                <w:bCs w:val="1"/>
                <w:color w:val="auto"/>
              </w:rPr>
              <w:t>Retained</w:t>
            </w:r>
          </w:p>
        </w:tc>
        <w:tc>
          <w:tcPr>
            <w:tcW w:w="180" w:type="dxa"/>
            <w:vAlign w:val="bottom"/>
          </w:tcPr>
          <w:p>
            <w:pPr>
              <w:spacing w:after="0"/>
              <w:rPr>
                <w:sz w:val="12"/>
                <w:szCs w:val="12"/>
                <w:color w:val="auto"/>
              </w:rPr>
            </w:pPr>
          </w:p>
        </w:tc>
        <w:tc>
          <w:tcPr>
            <w:tcW w:w="1420" w:type="dxa"/>
            <w:vAlign w:val="bottom"/>
          </w:tcPr>
          <w:p>
            <w:pPr>
              <w:jc w:val="center"/>
              <w:ind w:right="90"/>
              <w:spacing w:after="0" w:line="149" w:lineRule="exact"/>
              <w:rPr>
                <w:sz w:val="20"/>
                <w:szCs w:val="20"/>
                <w:color w:val="auto"/>
              </w:rPr>
            </w:pPr>
            <w:r>
              <w:rPr>
                <w:rFonts w:ascii="Times New Roman" w:cs="Times New Roman" w:eastAsia="Times New Roman" w:hAnsi="Times New Roman"/>
                <w:sz w:val="17"/>
                <w:szCs w:val="17"/>
                <w:b w:val="1"/>
                <w:bCs w:val="1"/>
                <w:color w:val="auto"/>
              </w:rPr>
              <w:t>comprehensive</w:t>
            </w: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paid-in capital</w:t>
            </w:r>
          </w:p>
        </w:tc>
        <w:tc>
          <w:tcPr>
            <w:tcW w:w="2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8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(loss) income</w:t>
            </w: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23"/>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 December 31, 2023</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1,593.6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1,866.2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(244.4)</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3,217.1</w:t>
            </w:r>
          </w:p>
        </w:tc>
        <w:tc>
          <w:tcPr>
            <w:tcW w:w="0" w:type="dxa"/>
            <w:vAlign w:val="bottom"/>
          </w:tcPr>
          <w:p>
            <w:pPr>
              <w:spacing w:after="0"/>
              <w:rPr>
                <w:sz w:val="1"/>
                <w:szCs w:val="1"/>
                <w:color w:val="auto"/>
              </w:rPr>
            </w:pPr>
          </w:p>
        </w:tc>
      </w:tr>
      <w:tr>
        <w:trPr>
          <w:trHeight w:val="230"/>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133.3</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133.3</w:t>
            </w:r>
          </w:p>
        </w:tc>
        <w:tc>
          <w:tcPr>
            <w:tcW w:w="0" w:type="dxa"/>
            <w:vAlign w:val="bottom"/>
          </w:tcPr>
          <w:p>
            <w:pPr>
              <w:spacing w:after="0"/>
              <w:rPr>
                <w:sz w:val="1"/>
                <w:szCs w:val="1"/>
                <w:color w:val="auto"/>
              </w:rPr>
            </w:pPr>
          </w:p>
        </w:tc>
      </w:tr>
      <w:tr>
        <w:trPr>
          <w:trHeight w:val="229"/>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0"/>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Dividends declared, $0.23 per share</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0" w:type="dxa"/>
            <w:vAlign w:val="bottom"/>
          </w:tcPr>
          <w:p>
            <w:pPr>
              <w:spacing w:after="0"/>
              <w:rPr>
                <w:sz w:val="1"/>
                <w:szCs w:val="1"/>
                <w:color w:val="auto"/>
              </w:rPr>
            </w:pPr>
          </w:p>
        </w:tc>
      </w:tr>
      <w:tr>
        <w:trPr>
          <w:trHeight w:val="175"/>
        </w:trPr>
        <w:tc>
          <w:tcPr>
            <w:tcW w:w="40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Exercise of options, net of shares tendered for</w:t>
            </w: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4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2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29"/>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restricted shares, net of cancellations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29"/>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surrendered by employees to pay taxes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30"/>
        </w:trPr>
        <w:tc>
          <w:tcPr>
            <w:tcW w:w="4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23"/>
        </w:trPr>
        <w:tc>
          <w:tcPr>
            <w:tcW w:w="40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 March 31, 2024</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1,607.6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1,961.3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(243.4)</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3,327.2</w:t>
            </w:r>
          </w:p>
        </w:tc>
        <w:tc>
          <w:tcPr>
            <w:tcW w:w="0" w:type="dxa"/>
            <w:vAlign w:val="bottom"/>
          </w:tcPr>
          <w:p>
            <w:pPr>
              <w:spacing w:after="0"/>
              <w:rPr>
                <w:sz w:val="1"/>
                <w:szCs w:val="1"/>
                <w:color w:val="auto"/>
              </w:rPr>
            </w:pPr>
          </w:p>
        </w:tc>
      </w:tr>
      <w:tr>
        <w:trPr>
          <w:trHeight w:val="223"/>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186.1</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186.1</w:t>
            </w:r>
          </w:p>
        </w:tc>
        <w:tc>
          <w:tcPr>
            <w:tcW w:w="0" w:type="dxa"/>
            <w:vAlign w:val="bottom"/>
          </w:tcPr>
          <w:p>
            <w:pPr>
              <w:spacing w:after="0"/>
              <w:rPr>
                <w:sz w:val="1"/>
                <w:szCs w:val="1"/>
                <w:color w:val="auto"/>
              </w:rPr>
            </w:pPr>
          </w:p>
        </w:tc>
      </w:tr>
      <w:tr>
        <w:trPr>
          <w:trHeight w:val="229"/>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30"/>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Dividends declared, $0.23 per share</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0" w:type="dxa"/>
            <w:vAlign w:val="bottom"/>
          </w:tcPr>
          <w:p>
            <w:pPr>
              <w:spacing w:after="0"/>
              <w:rPr>
                <w:sz w:val="1"/>
                <w:szCs w:val="1"/>
                <w:color w:val="auto"/>
              </w:rPr>
            </w:pPr>
          </w:p>
        </w:tc>
      </w:tr>
      <w:tr>
        <w:trPr>
          <w:trHeight w:val="229"/>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 repurchases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176"/>
        </w:trPr>
        <w:tc>
          <w:tcPr>
            <w:tcW w:w="40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Exercise of options, net of shares tendered for</w:t>
            </w: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surrendered by employees to pay taxes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29"/>
        </w:trPr>
        <w:tc>
          <w:tcPr>
            <w:tcW w:w="4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23"/>
        </w:trPr>
        <w:tc>
          <w:tcPr>
            <w:tcW w:w="40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 June 30, 2024</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165.5</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1,569.2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2,109.3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(247.3)</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3,432.9</w:t>
            </w:r>
          </w:p>
        </w:tc>
        <w:tc>
          <w:tcPr>
            <w:tcW w:w="0" w:type="dxa"/>
            <w:vAlign w:val="bottom"/>
          </w:tcPr>
          <w:p>
            <w:pPr>
              <w:spacing w:after="0"/>
              <w:rPr>
                <w:sz w:val="1"/>
                <w:szCs w:val="1"/>
                <w:color w:val="auto"/>
              </w:rPr>
            </w:pPr>
          </w:p>
        </w:tc>
      </w:tr>
      <w:tr>
        <w:trPr>
          <w:trHeight w:val="223"/>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139.6</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139.6</w:t>
            </w: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30"/>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Dividends declared, $0.23 per share</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 repurchase</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175"/>
        </w:trPr>
        <w:tc>
          <w:tcPr>
            <w:tcW w:w="40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Exercise of options, net of shares tendered for</w:t>
            </w: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surrendered by employees to pay taxes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30"/>
        </w:trPr>
        <w:tc>
          <w:tcPr>
            <w:tcW w:w="4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48"/>
        </w:trPr>
        <w:tc>
          <w:tcPr>
            <w:tcW w:w="40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 September 30, 2024</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165.2</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1,536.7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2,210.9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(250.5)</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3,498.8</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4000" w:type="dxa"/>
            <w:vAlign w:val="bottom"/>
          </w:tcPr>
          <w:p>
            <w:pPr>
              <w:spacing w:after="0"/>
              <w:rPr>
                <w:sz w:val="15"/>
                <w:szCs w:val="15"/>
                <w:color w:val="auto"/>
              </w:rPr>
            </w:pPr>
          </w:p>
        </w:tc>
        <w:tc>
          <w:tcPr>
            <w:tcW w:w="1820" w:type="dxa"/>
            <w:vAlign w:val="bottom"/>
            <w:gridSpan w:val="3"/>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Ordinary shares</w:t>
            </w:r>
          </w:p>
        </w:tc>
        <w:tc>
          <w:tcPr>
            <w:tcW w:w="260" w:type="dxa"/>
            <w:vAlign w:val="bottom"/>
          </w:tcPr>
          <w:p>
            <w:pPr>
              <w:spacing w:after="0"/>
              <w:rPr>
                <w:sz w:val="15"/>
                <w:szCs w:val="15"/>
                <w:color w:val="auto"/>
              </w:rPr>
            </w:pPr>
          </w:p>
        </w:tc>
        <w:tc>
          <w:tcPr>
            <w:tcW w:w="108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200" w:type="dxa"/>
            <w:vAlign w:val="bottom"/>
          </w:tcPr>
          <w:p>
            <w:pPr>
              <w:spacing w:after="0"/>
              <w:rPr>
                <w:sz w:val="15"/>
                <w:szCs w:val="15"/>
                <w:color w:val="auto"/>
              </w:rPr>
            </w:pPr>
          </w:p>
        </w:tc>
        <w:tc>
          <w:tcPr>
            <w:tcW w:w="104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80" w:type="dxa"/>
            <w:vAlign w:val="bottom"/>
          </w:tcPr>
          <w:p>
            <w:pPr>
              <w:spacing w:after="0"/>
              <w:rPr>
                <w:sz w:val="15"/>
                <w:szCs w:val="15"/>
                <w:color w:val="auto"/>
              </w:rPr>
            </w:pPr>
          </w:p>
        </w:tc>
        <w:tc>
          <w:tcPr>
            <w:tcW w:w="1420" w:type="dxa"/>
            <w:vAlign w:val="bottom"/>
          </w:tcPr>
          <w:p>
            <w:pPr>
              <w:jc w:val="center"/>
              <w:ind w:right="90"/>
              <w:spacing w:after="0" w:line="180" w:lineRule="exact"/>
              <w:rPr>
                <w:sz w:val="20"/>
                <w:szCs w:val="20"/>
                <w:color w:val="auto"/>
              </w:rPr>
            </w:pPr>
            <w:r>
              <w:rPr>
                <w:rFonts w:ascii="Times New Roman" w:cs="Times New Roman" w:eastAsia="Times New Roman" w:hAnsi="Times New Roman"/>
                <w:sz w:val="18"/>
                <w:szCs w:val="18"/>
                <w:b w:val="1"/>
                <w:bCs w:val="1"/>
                <w:color w:val="auto"/>
                <w:w w:val="97"/>
              </w:rPr>
              <w:t>other</w:t>
            </w: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1820" w:type="dxa"/>
            <w:vAlign w:val="bottom"/>
            <w:tcBorders>
              <w:bottom w:val="single" w:sz="8" w:color="auto"/>
            </w:tcBorders>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vMerge w:val="restart"/>
          </w:tcPr>
          <w:p>
            <w:pPr>
              <w:jc w:val="center"/>
              <w:ind w:right="90"/>
              <w:spacing w:after="0" w:line="184" w:lineRule="exact"/>
              <w:rPr>
                <w:sz w:val="20"/>
                <w:szCs w:val="20"/>
                <w:color w:val="auto"/>
              </w:rPr>
            </w:pPr>
            <w:r>
              <w:rPr>
                <w:rFonts w:ascii="Times New Roman" w:cs="Times New Roman" w:eastAsia="Times New Roman" w:hAnsi="Times New Roman"/>
                <w:sz w:val="18"/>
                <w:szCs w:val="18"/>
                <w:b w:val="1"/>
                <w:bCs w:val="1"/>
                <w:color w:val="auto"/>
              </w:rPr>
              <w:t>comprehensive</w:t>
            </w: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0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90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40" w:type="dxa"/>
            <w:vAlign w:val="bottom"/>
          </w:tcPr>
          <w:p>
            <w:pPr>
              <w:spacing w:after="0" w:line="20" w:lineRule="exact"/>
              <w:rPr>
                <w:sz w:val="1"/>
                <w:szCs w:val="1"/>
                <w:color w:val="auto"/>
              </w:rPr>
            </w:pPr>
          </w:p>
        </w:tc>
        <w:tc>
          <w:tcPr>
            <w:tcW w:w="78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60" w:type="dxa"/>
            <w:vAlign w:val="bottom"/>
          </w:tcPr>
          <w:p>
            <w:pPr>
              <w:spacing w:after="0" w:line="20" w:lineRule="exact"/>
              <w:rPr>
                <w:sz w:val="1"/>
                <w:szCs w:val="1"/>
                <w:color w:val="auto"/>
              </w:rPr>
            </w:pPr>
          </w:p>
        </w:tc>
        <w:tc>
          <w:tcPr>
            <w:tcW w:w="1080" w:type="dxa"/>
            <w:vAlign w:val="bottom"/>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line="20" w:lineRule="exact"/>
              <w:rPr>
                <w:sz w:val="1"/>
                <w:szCs w:val="1"/>
                <w:color w:val="auto"/>
              </w:rPr>
            </w:pPr>
          </w:p>
        </w:tc>
      </w:tr>
      <w:tr>
        <w:trPr>
          <w:trHeight w:val="230"/>
        </w:trPr>
        <w:tc>
          <w:tcPr>
            <w:tcW w:w="4000" w:type="dxa"/>
            <w:vAlign w:val="bottom"/>
            <w:tcBorders>
              <w:bottom w:val="single" w:sz="8" w:color="auto"/>
            </w:tcBorders>
            <w:vMerge w:val="continue"/>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vMerge w:val="continue"/>
          </w:tcPr>
          <w:p>
            <w:pPr>
              <w:spacing w:after="0"/>
              <w:rPr>
                <w:sz w:val="19"/>
                <w:szCs w:val="19"/>
                <w:color w:val="auto"/>
              </w:rPr>
            </w:pPr>
          </w:p>
        </w:tc>
        <w:tc>
          <w:tcPr>
            <w:tcW w:w="1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paid-in capital</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(loss) income</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 December 31, 2022</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1,554.9</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(239.0)</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2,708.1</w:t>
            </w:r>
          </w:p>
        </w:tc>
        <w:tc>
          <w:tcPr>
            <w:tcW w:w="0" w:type="dxa"/>
            <w:vAlign w:val="bottom"/>
          </w:tcPr>
          <w:p>
            <w:pPr>
              <w:spacing w:after="0"/>
              <w:rPr>
                <w:sz w:val="1"/>
                <w:szCs w:val="1"/>
                <w:color w:val="auto"/>
              </w:rPr>
            </w:pPr>
          </w:p>
        </w:tc>
      </w:tr>
      <w:tr>
        <w:trPr>
          <w:trHeight w:val="230"/>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129.7</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129.7</w:t>
            </w:r>
          </w:p>
        </w:tc>
        <w:tc>
          <w:tcPr>
            <w:tcW w:w="0" w:type="dxa"/>
            <w:vAlign w:val="bottom"/>
          </w:tcPr>
          <w:p>
            <w:pPr>
              <w:spacing w:after="0"/>
              <w:rPr>
                <w:sz w:val="1"/>
                <w:szCs w:val="1"/>
                <w:color w:val="auto"/>
              </w:rPr>
            </w:pPr>
          </w:p>
        </w:tc>
      </w:tr>
      <w:tr>
        <w:trPr>
          <w:trHeight w:val="229"/>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29"/>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Dividends declared, $0.22 per share</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0" w:type="dxa"/>
            <w:vAlign w:val="bottom"/>
          </w:tcPr>
          <w:p>
            <w:pPr>
              <w:spacing w:after="0"/>
              <w:rPr>
                <w:sz w:val="1"/>
                <w:szCs w:val="1"/>
                <w:color w:val="auto"/>
              </w:rPr>
            </w:pPr>
          </w:p>
        </w:tc>
      </w:tr>
      <w:tr>
        <w:trPr>
          <w:trHeight w:val="176"/>
        </w:trPr>
        <w:tc>
          <w:tcPr>
            <w:tcW w:w="40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Exercise of options, net of shares tendered for</w:t>
            </w: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30"/>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restricted shares, net of cancellations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29"/>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surrendered by employees to pay taxes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30"/>
        </w:trPr>
        <w:tc>
          <w:tcPr>
            <w:tcW w:w="4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23"/>
        </w:trPr>
        <w:tc>
          <w:tcPr>
            <w:tcW w:w="40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 March 31, 2023</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1,483.9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(234.1)</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2,809.5</w:t>
            </w:r>
          </w:p>
        </w:tc>
        <w:tc>
          <w:tcPr>
            <w:tcW w:w="0" w:type="dxa"/>
            <w:vAlign w:val="bottom"/>
          </w:tcPr>
          <w:p>
            <w:pPr>
              <w:spacing w:after="0"/>
              <w:rPr>
                <w:sz w:val="1"/>
                <w:szCs w:val="1"/>
                <w:color w:val="auto"/>
              </w:rPr>
            </w:pPr>
          </w:p>
        </w:tc>
      </w:tr>
      <w:tr>
        <w:trPr>
          <w:trHeight w:val="223"/>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152.9</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152.9</w:t>
            </w:r>
          </w:p>
        </w:tc>
        <w:tc>
          <w:tcPr>
            <w:tcW w:w="0" w:type="dxa"/>
            <w:vAlign w:val="bottom"/>
          </w:tcPr>
          <w:p>
            <w:pPr>
              <w:spacing w:after="0"/>
              <w:rPr>
                <w:sz w:val="1"/>
                <w:szCs w:val="1"/>
                <w:color w:val="auto"/>
              </w:rPr>
            </w:pPr>
          </w:p>
        </w:tc>
      </w:tr>
      <w:tr>
        <w:trPr>
          <w:trHeight w:val="229"/>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29"/>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Dividends declared, $0.22 per share</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0" w:type="dxa"/>
            <w:vAlign w:val="bottom"/>
          </w:tcPr>
          <w:p>
            <w:pPr>
              <w:spacing w:after="0"/>
              <w:rPr>
                <w:sz w:val="1"/>
                <w:szCs w:val="1"/>
                <w:color w:val="auto"/>
              </w:rPr>
            </w:pPr>
          </w:p>
        </w:tc>
      </w:tr>
      <w:tr>
        <w:trPr>
          <w:trHeight w:val="176"/>
        </w:trPr>
        <w:tc>
          <w:tcPr>
            <w:tcW w:w="40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Exercise of options, net of shares tendered for</w:t>
            </w: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29"/>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surrendered by employees to pay taxes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29"/>
        </w:trPr>
        <w:tc>
          <w:tcPr>
            <w:tcW w:w="40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23"/>
        </w:trPr>
        <w:tc>
          <w:tcPr>
            <w:tcW w:w="4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Balance - June 30, 2023</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165.1</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1,569.8</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1,600.4</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(236.6)</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2,935.3</w:t>
            </w:r>
          </w:p>
        </w:tc>
        <w:tc>
          <w:tcPr>
            <w:tcW w:w="0" w:type="dxa"/>
            <w:vAlign w:val="bottom"/>
          </w:tcPr>
          <w:p>
            <w:pPr>
              <w:spacing w:after="0"/>
              <w:rPr>
                <w:sz w:val="1"/>
                <w:szCs w:val="1"/>
                <w:color w:val="auto"/>
              </w:rPr>
            </w:pPr>
          </w:p>
        </w:tc>
      </w:tr>
      <w:tr>
        <w:trPr>
          <w:trHeight w:val="223"/>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w:t>
            </w:r>
          </w:p>
        </w:tc>
        <w:tc>
          <w:tcPr>
            <w:tcW w:w="0" w:type="dxa"/>
            <w:vAlign w:val="bottom"/>
          </w:tcPr>
          <w:p>
            <w:pPr>
              <w:spacing w:after="0"/>
              <w:rPr>
                <w:sz w:val="1"/>
                <w:szCs w:val="1"/>
                <w:color w:val="auto"/>
              </w:rPr>
            </w:pPr>
          </w:p>
        </w:tc>
      </w:tr>
      <w:tr>
        <w:trPr>
          <w:trHeight w:val="229"/>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29"/>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declared, $0.22 per share</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0" w:type="dxa"/>
            <w:vAlign w:val="bottom"/>
          </w:tcPr>
          <w:p>
            <w:pPr>
              <w:spacing w:after="0"/>
              <w:rPr>
                <w:sz w:val="1"/>
                <w:szCs w:val="1"/>
                <w:color w:val="auto"/>
              </w:rPr>
            </w:pPr>
          </w:p>
        </w:tc>
      </w:tr>
      <w:tr>
        <w:trPr>
          <w:trHeight w:val="176"/>
        </w:trPr>
        <w:tc>
          <w:tcPr>
            <w:tcW w:w="40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Exercise of options, net of shares tendered for</w:t>
            </w: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surrendered by employees to pay taxes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29"/>
        </w:trPr>
        <w:tc>
          <w:tcPr>
            <w:tcW w:w="4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48"/>
        </w:trPr>
        <w:tc>
          <w:tcPr>
            <w:tcW w:w="40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 September 30, 2023</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165.3</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1,585.2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1,696.1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(242.1)</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3,040.9</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Pentair plc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660" w:hanging="652"/>
        <w:spacing w:after="0"/>
        <w:tabs>
          <w:tab w:leader="none" w:pos="6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 and Responsibility for Interim Financial Statements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of Pentair plc and its subsidiaries (“we,” “us,” “our,” “Pentair,” or the “Company”) have been prepared following the requirements of the United States (“U.S.”) Securities and Exchange Commission for interim reporting. As permitted under those rules, certain footnotes or other financial information that are normally required by accounting principles generally accepted in the United States of America (“GAAP”) can be condensed or omitted.</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responsible for the unaudited condensed consolidated financial statements included in this document. The financial statements include all normal recurring adjustments that are considered necessary for the fair presentation of our financial position and operating results. As these are condensed financial statements, one should also read our consolidated financial statements and notes thereto, which are included in our Annual Report on Form 10-K for the year ended December 31, 2023.</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Revenues, expenses, cash flows, assets and liabilities can and do vary during each quarter of the year. Therefore, the results and trends in these interim financial statements may not be indicative of those for a full year.</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fiscal year ends on December 31. We report our interim quarterly periods on a calendar quarter basis.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U.S. Securities and Exchange Commission (“SEC”) final rules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March 2024, the SEC issued the final rules under SEC Release No. 33-11275, The Enhancement and Standardization of Climate-Related Disclosures for Investors. In April 2024, the SEC voluntarily stayed the new rules as a result of pending legal challenges. These rules, if adopted, will require registrants to disclose certain climate-related information, including Scope 1 and Scope 2 greenhouse gas emissions and other climate-related topics, in registration statements and annual reports, when material. Disclosure requirements, absent the results of pending legal challenges, may begin phasing in with our annual reporting for the year ending December 31, 2025. We are currently evaluating the impact the rules will have on our disclosures.</w:t>
      </w:r>
    </w:p>
    <w:p>
      <w:pPr>
        <w:spacing w:after="0" w:line="210" w:lineRule="exact"/>
        <w:rPr>
          <w:sz w:val="20"/>
          <w:szCs w:val="20"/>
          <w:color w:val="auto"/>
        </w:rPr>
      </w:pPr>
    </w:p>
    <w:p>
      <w:pPr>
        <w:ind w:left="660" w:hanging="652"/>
        <w:spacing w:after="0"/>
        <w:tabs>
          <w:tab w:leader="none" w:pos="6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disaggregate our revenue from contracts with customers by segment, geographic location and vertical market, as we believe these best depict how the nature, amount, timing and uncertainty of our revenue and cash flows are affected by economic factors. Refer to Note 14 for revenue disaggregated by segment.</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Geographic net sales information, based on geographic destination of the sale, was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80" w:type="dxa"/>
            <w:vAlign w:val="bottom"/>
            <w:gridSpan w:val="4"/>
          </w:tcPr>
          <w:p>
            <w:pPr>
              <w:ind w:left="5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60" w:type="dxa"/>
            <w:vAlign w:val="bottom"/>
          </w:tcPr>
          <w:p>
            <w:pPr>
              <w:spacing w:after="0"/>
              <w:rPr>
                <w:sz w:val="20"/>
                <w:szCs w:val="20"/>
                <w:color w:val="auto"/>
              </w:rPr>
            </w:pPr>
          </w:p>
        </w:tc>
        <w:tc>
          <w:tcPr>
            <w:tcW w:w="2900" w:type="dxa"/>
            <w:vAlign w:val="bottom"/>
            <w:gridSpan w:val="3"/>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169"/>
        </w:trPr>
        <w:tc>
          <w:tcPr>
            <w:tcW w:w="5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8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jc w:val="right"/>
              <w:ind w:right="90"/>
              <w:spacing w:after="0" w:line="169"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20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jc w:val="right"/>
              <w:ind w:right="130"/>
              <w:spacing w:after="0" w:line="169"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jc w:val="right"/>
              <w:ind w:right="90"/>
              <w:spacing w:after="0" w:line="169"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20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jc w:val="right"/>
              <w:ind w:right="130"/>
              <w:spacing w:after="0" w:line="169"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43"/>
        </w:trPr>
        <w:tc>
          <w:tcPr>
            <w:tcW w:w="5020" w:type="dxa"/>
            <w:vAlign w:val="bottom"/>
            <w:tcBorders>
              <w:bottom w:val="single" w:sz="8" w:color="auto"/>
            </w:tcBorders>
            <w:vMerge w:val="continue"/>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2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2,166.4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2,170.0</w:t>
            </w:r>
          </w:p>
        </w:tc>
        <w:tc>
          <w:tcPr>
            <w:tcW w:w="0" w:type="dxa"/>
            <w:vAlign w:val="bottom"/>
          </w:tcPr>
          <w:p>
            <w:pPr>
              <w:spacing w:after="0"/>
              <w:rPr>
                <w:sz w:val="1"/>
                <w:szCs w:val="1"/>
                <w:color w:val="auto"/>
              </w:rPr>
            </w:pPr>
          </w:p>
        </w:tc>
      </w:tr>
      <w:tr>
        <w:trPr>
          <w:trHeight w:val="23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Western Europe</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117.0</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375.8</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362.0</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Developing </w:t>
            </w:r>
            <w:r>
              <w:rPr>
                <w:rFonts w:ascii="Times New Roman" w:cs="Times New Roman" w:eastAsia="Times New Roman" w:hAnsi="Times New Roman"/>
                <w:sz w:val="23"/>
                <w:szCs w:val="23"/>
                <w:color w:val="auto"/>
                <w:vertAlign w:val="superscript"/>
              </w:rPr>
              <w:t>(1)</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391.9</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406.4</w:t>
            </w:r>
          </w:p>
        </w:tc>
        <w:tc>
          <w:tcPr>
            <w:tcW w:w="0" w:type="dxa"/>
            <w:vAlign w:val="bottom"/>
          </w:tcPr>
          <w:p>
            <w:pPr>
              <w:spacing w:after="0"/>
              <w:rPr>
                <w:sz w:val="1"/>
                <w:szCs w:val="1"/>
                <w:color w:val="auto"/>
              </w:rPr>
            </w:pPr>
          </w:p>
        </w:tc>
      </w:tr>
      <w:tr>
        <w:trPr>
          <w:trHeight w:val="230"/>
        </w:trPr>
        <w:tc>
          <w:tcPr>
            <w:tcW w:w="5020" w:type="dxa"/>
            <w:vAlign w:val="bottom"/>
            <w:tcBorders>
              <w:bottom w:val="single" w:sz="8" w:color="auto"/>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Developed </w:t>
            </w:r>
            <w:r>
              <w:rPr>
                <w:rFonts w:ascii="Times New Roman" w:cs="Times New Roman" w:eastAsia="Times New Roman" w:hAnsi="Times New Roman"/>
                <w:sz w:val="23"/>
                <w:szCs w:val="23"/>
                <w:color w:val="auto"/>
                <w:vertAlign w:val="superscript"/>
              </w:rPr>
              <w:t>(2)</w:t>
            </w: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175.8</w:t>
            </w: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181.5</w:t>
            </w:r>
          </w:p>
        </w:tc>
        <w:tc>
          <w:tcPr>
            <w:tcW w:w="0" w:type="dxa"/>
            <w:vAlign w:val="bottom"/>
          </w:tcPr>
          <w:p>
            <w:pPr>
              <w:spacing w:after="0"/>
              <w:rPr>
                <w:sz w:val="1"/>
                <w:szCs w:val="1"/>
                <w:color w:val="auto"/>
              </w:rPr>
            </w:pPr>
          </w:p>
        </w:tc>
      </w:tr>
      <w:tr>
        <w:trPr>
          <w:trHeight w:val="203"/>
        </w:trPr>
        <w:tc>
          <w:tcPr>
            <w:tcW w:w="5020" w:type="dxa"/>
            <w:vAlign w:val="bottom"/>
            <w:tcBorders>
              <w:bottom w:val="single" w:sz="8" w:color="auto"/>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Consolidated net sales</w:t>
            </w: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993.4</w:t>
            </w:r>
          </w:p>
        </w:tc>
        <w:tc>
          <w:tcPr>
            <w:tcW w:w="2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1,008.8</w:t>
            </w:r>
          </w:p>
        </w:tc>
        <w:tc>
          <w:tcPr>
            <w:tcW w:w="10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3,109.9</w:t>
            </w:r>
          </w:p>
        </w:tc>
        <w:tc>
          <w:tcPr>
            <w:tcW w:w="2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3,119.9</w:t>
            </w:r>
          </w:p>
        </w:tc>
        <w:tc>
          <w:tcPr>
            <w:tcW w:w="0" w:type="dxa"/>
            <w:vAlign w:val="bottom"/>
          </w:tcPr>
          <w:p>
            <w:pPr>
              <w:spacing w:after="0"/>
              <w:rPr>
                <w:sz w:val="1"/>
                <w:szCs w:val="1"/>
                <w:color w:val="auto"/>
              </w:rPr>
            </w:pPr>
          </w:p>
        </w:tc>
      </w:tr>
    </w:tbl>
    <w:p>
      <w:pPr>
        <w:ind w:left="200" w:hanging="174"/>
        <w:spacing w:after="0" w:line="224" w:lineRule="auto"/>
        <w:tabs>
          <w:tab w:leader="none" w:pos="200" w:val="left"/>
        </w:tabs>
        <w:numPr>
          <w:ilvl w:val="0"/>
          <w:numId w:val="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Developing includes China, Eastern Europe, Latin America, the Middle East and Southeast Asia.</w:t>
      </w:r>
    </w:p>
    <w:p>
      <w:pPr>
        <w:spacing w:after="0" w:line="65" w:lineRule="exact"/>
        <w:rPr>
          <w:rFonts w:ascii="Times New Roman" w:cs="Times New Roman" w:eastAsia="Times New Roman" w:hAnsi="Times New Roman"/>
          <w:sz w:val="22"/>
          <w:szCs w:val="22"/>
          <w:color w:val="auto"/>
          <w:vertAlign w:val="superscript"/>
        </w:rPr>
      </w:pPr>
    </w:p>
    <w:p>
      <w:pPr>
        <w:ind w:left="200" w:hanging="174"/>
        <w:spacing w:after="0" w:line="182" w:lineRule="auto"/>
        <w:tabs>
          <w:tab w:leader="none" w:pos="200" w:val="left"/>
        </w:tabs>
        <w:numPr>
          <w:ilvl w:val="0"/>
          <w:numId w:val="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Other Developed includes Australia, Canada and Japan.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-303530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Vertical market net sales information was as follows:</w:t>
            </w: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5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980" w:type="dxa"/>
            <w:vAlign w:val="bottom"/>
            <w:gridSpan w:val="4"/>
          </w:tcPr>
          <w:p>
            <w:pPr>
              <w:ind w:left="5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60" w:type="dxa"/>
            <w:vAlign w:val="bottom"/>
          </w:tcPr>
          <w:p>
            <w:pPr>
              <w:spacing w:after="0"/>
              <w:rPr>
                <w:sz w:val="24"/>
                <w:szCs w:val="24"/>
                <w:color w:val="auto"/>
              </w:rPr>
            </w:pPr>
          </w:p>
        </w:tc>
        <w:tc>
          <w:tcPr>
            <w:tcW w:w="2900" w:type="dxa"/>
            <w:vAlign w:val="bottom"/>
            <w:gridSpan w:val="3"/>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169"/>
        </w:trPr>
        <w:tc>
          <w:tcPr>
            <w:tcW w:w="5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8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jc w:val="right"/>
              <w:ind w:right="90"/>
              <w:spacing w:after="0" w:line="169"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20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jc w:val="right"/>
              <w:ind w:right="130"/>
              <w:spacing w:after="0" w:line="169"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jc w:val="right"/>
              <w:ind w:right="90"/>
              <w:spacing w:after="0" w:line="169"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20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jc w:val="right"/>
              <w:ind w:right="130"/>
              <w:spacing w:after="0" w:line="169"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43"/>
        </w:trPr>
        <w:tc>
          <w:tcPr>
            <w:tcW w:w="5020" w:type="dxa"/>
            <w:vAlign w:val="bottom"/>
            <w:tcBorders>
              <w:bottom w:val="single" w:sz="8" w:color="auto"/>
            </w:tcBorders>
            <w:vMerge w:val="continue"/>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2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519.5</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1,644.1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1,615.5</w:t>
            </w:r>
          </w:p>
        </w:tc>
        <w:tc>
          <w:tcPr>
            <w:tcW w:w="0" w:type="dxa"/>
            <w:vAlign w:val="bottom"/>
          </w:tcPr>
          <w:p>
            <w:pPr>
              <w:spacing w:after="0"/>
              <w:rPr>
                <w:sz w:val="1"/>
                <w:szCs w:val="1"/>
                <w:color w:val="auto"/>
              </w:rPr>
            </w:pPr>
          </w:p>
        </w:tc>
      </w:tr>
      <w:tr>
        <w:trPr>
          <w:trHeight w:val="229"/>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282.7</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864.9</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913.3</w:t>
            </w:r>
          </w:p>
        </w:tc>
        <w:tc>
          <w:tcPr>
            <w:tcW w:w="0" w:type="dxa"/>
            <w:vAlign w:val="bottom"/>
          </w:tcPr>
          <w:p>
            <w:pPr>
              <w:spacing w:after="0"/>
              <w:rPr>
                <w:sz w:val="1"/>
                <w:szCs w:val="1"/>
                <w:color w:val="auto"/>
              </w:rPr>
            </w:pPr>
          </w:p>
        </w:tc>
      </w:tr>
      <w:tr>
        <w:trPr>
          <w:trHeight w:val="230"/>
        </w:trPr>
        <w:tc>
          <w:tcPr>
            <w:tcW w:w="50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Industrial</w:t>
            </w: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191.2</w:t>
            </w: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200.5</w:t>
            </w: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600.9</w:t>
            </w: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591.1</w:t>
            </w:r>
          </w:p>
        </w:tc>
        <w:tc>
          <w:tcPr>
            <w:tcW w:w="0" w:type="dxa"/>
            <w:vAlign w:val="bottom"/>
          </w:tcPr>
          <w:p>
            <w:pPr>
              <w:spacing w:after="0"/>
              <w:rPr>
                <w:sz w:val="1"/>
                <w:szCs w:val="1"/>
                <w:color w:val="auto"/>
              </w:rPr>
            </w:pPr>
          </w:p>
        </w:tc>
      </w:tr>
      <w:tr>
        <w:trPr>
          <w:trHeight w:val="223"/>
        </w:trPr>
        <w:tc>
          <w:tcPr>
            <w:tcW w:w="5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Consolidated net sales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993.4</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1,008.8</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3,109.9</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3,119.9</w:t>
            </w:r>
          </w:p>
        </w:tc>
        <w:tc>
          <w:tcPr>
            <w:tcW w:w="0" w:type="dxa"/>
            <w:vAlign w:val="bottom"/>
          </w:tcPr>
          <w:p>
            <w:pPr>
              <w:spacing w:after="0"/>
              <w:rPr>
                <w:sz w:val="1"/>
                <w:szCs w:val="1"/>
                <w:color w:val="auto"/>
              </w:rPr>
            </w:pPr>
          </w:p>
        </w:tc>
      </w:tr>
      <w:tr>
        <w:trPr>
          <w:trHeight w:val="20"/>
        </w:trPr>
        <w:tc>
          <w:tcPr>
            <w:tcW w:w="50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71"/>
        </w:trPr>
        <w:tc>
          <w:tcPr>
            <w:tcW w:w="5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0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Pentair plc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obligations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2024, we had $91.4 million of remaining performance obligations on contracts with an original expected duration of one year or more.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expect to recognize the majority of our remaining performance obligations on these contracts within the next 12 to 18 months.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assets and liabilities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Contract assets and liabilities consisted of the following:</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980" w:type="dxa"/>
            <w:vAlign w:val="bottom"/>
          </w:tcPr>
          <w:p>
            <w:pPr>
              <w:spacing w:after="0"/>
              <w:rPr>
                <w:sz w:val="17"/>
                <w:szCs w:val="17"/>
                <w:color w:val="auto"/>
              </w:rPr>
            </w:pPr>
          </w:p>
        </w:tc>
        <w:tc>
          <w:tcPr>
            <w:tcW w:w="13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00" w:type="dxa"/>
            <w:vAlign w:val="bottom"/>
          </w:tcPr>
          <w:p>
            <w:pPr>
              <w:spacing w:after="0"/>
              <w:rPr>
                <w:sz w:val="17"/>
                <w:szCs w:val="17"/>
                <w:color w:val="auto"/>
              </w:rPr>
            </w:pPr>
          </w:p>
        </w:tc>
        <w:tc>
          <w:tcPr>
            <w:tcW w:w="13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320" w:type="dxa"/>
            <w:vAlign w:val="bottom"/>
          </w:tcPr>
          <w:p>
            <w:pPr>
              <w:spacing w:after="0"/>
              <w:rPr>
                <w:sz w:val="17"/>
                <w:szCs w:val="17"/>
                <w:color w:val="auto"/>
              </w:rPr>
            </w:pPr>
          </w:p>
        </w:tc>
        <w:tc>
          <w:tcPr>
            <w:tcW w:w="1440" w:type="dxa"/>
            <w:vAlign w:val="bottom"/>
            <w:vMerge w:val="restart"/>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44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43"/>
        </w:trPr>
        <w:tc>
          <w:tcPr>
            <w:tcW w:w="3220" w:type="dxa"/>
            <w:vAlign w:val="bottom"/>
            <w:tcBorders>
              <w:bottom w:val="single" w:sz="8" w:color="auto"/>
            </w:tcBorders>
            <w:vMerge w:val="continue"/>
          </w:tcPr>
          <w:p>
            <w:pPr>
              <w:spacing w:after="0"/>
              <w:rPr>
                <w:sz w:val="21"/>
                <w:szCs w:val="21"/>
                <w:color w:val="auto"/>
              </w:rPr>
            </w:pPr>
          </w:p>
        </w:tc>
        <w:tc>
          <w:tcPr>
            <w:tcW w:w="19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vMerge w:val="continue"/>
          </w:tcPr>
          <w:p>
            <w:pPr>
              <w:spacing w:after="0"/>
              <w:rPr>
                <w:sz w:val="21"/>
                <w:szCs w:val="21"/>
                <w:color w:val="auto"/>
              </w:rPr>
            </w:pPr>
          </w:p>
        </w:tc>
        <w:tc>
          <w:tcPr>
            <w:tcW w:w="144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assets</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70.8</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(17.3)</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0" w:type="dxa"/>
            <w:vAlign w:val="bottom"/>
          </w:tcPr>
          <w:p>
            <w:pPr>
              <w:spacing w:after="0"/>
              <w:rPr>
                <w:sz w:val="1"/>
                <w:szCs w:val="1"/>
                <w:color w:val="auto"/>
              </w:rPr>
            </w:pPr>
          </w:p>
        </w:tc>
      </w:tr>
      <w:tr>
        <w:trPr>
          <w:trHeight w:val="229"/>
        </w:trPr>
        <w:tc>
          <w:tcPr>
            <w:tcW w:w="3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Contract liabilities</w:t>
            </w:r>
          </w:p>
        </w:tc>
        <w:tc>
          <w:tcPr>
            <w:tcW w:w="19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53.7</w:t>
            </w:r>
          </w:p>
        </w:tc>
        <w:tc>
          <w:tcPr>
            <w:tcW w:w="3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(13.3)</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0" w:type="dxa"/>
            <w:vAlign w:val="bottom"/>
          </w:tcPr>
          <w:p>
            <w:pPr>
              <w:spacing w:after="0"/>
              <w:rPr>
                <w:sz w:val="1"/>
                <w:szCs w:val="1"/>
                <w:color w:val="auto"/>
              </w:rPr>
            </w:pPr>
          </w:p>
        </w:tc>
      </w:tr>
      <w:tr>
        <w:trPr>
          <w:trHeight w:val="248"/>
        </w:trPr>
        <w:tc>
          <w:tcPr>
            <w:tcW w:w="3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contract assets</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17.1</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(4.0)</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0" w:type="dxa"/>
            <w:vAlign w:val="bottom"/>
          </w:tcPr>
          <w:p>
            <w:pPr>
              <w:spacing w:after="0"/>
              <w:rPr>
                <w:sz w:val="1"/>
                <w:szCs w:val="1"/>
                <w:color w:val="auto"/>
              </w:rPr>
            </w:pPr>
          </w:p>
        </w:tc>
      </w:tr>
      <w:tr>
        <w:trPr>
          <w:trHeight w:val="20"/>
        </w:trPr>
        <w:tc>
          <w:tcPr>
            <w:tcW w:w="322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$4.0 million decrease in net contract assets from December 31, 2023 to September 30, 2024 was primarily the result of timing of milestone payments.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Approximately 95% of our contract liabilities at December 31, 2023 were recognized in revenue in the first nine months of 2024.</w:t>
      </w:r>
    </w:p>
    <w:p>
      <w:pPr>
        <w:spacing w:after="0" w:line="230" w:lineRule="exact"/>
        <w:rPr>
          <w:sz w:val="20"/>
          <w:szCs w:val="20"/>
          <w:color w:val="auto"/>
        </w:rPr>
      </w:pPr>
    </w:p>
    <w:p>
      <w:pPr>
        <w:ind w:left="360" w:hanging="352"/>
        <w:spacing w:after="0"/>
        <w:tabs>
          <w:tab w:leader="none" w:pos="3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Plans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share-based compensation expense for the three and nine months ended September 30, 2024 and 2023 was as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80" w:type="dxa"/>
            <w:vAlign w:val="bottom"/>
            <w:gridSpan w:val="4"/>
          </w:tcPr>
          <w:p>
            <w:pPr>
              <w:ind w:left="4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60" w:type="dxa"/>
            <w:vAlign w:val="bottom"/>
          </w:tcPr>
          <w:p>
            <w:pPr>
              <w:spacing w:after="0"/>
              <w:rPr>
                <w:sz w:val="20"/>
                <w:szCs w:val="20"/>
                <w:color w:val="auto"/>
              </w:rPr>
            </w:pPr>
          </w:p>
        </w:tc>
        <w:tc>
          <w:tcPr>
            <w:tcW w:w="2860" w:type="dxa"/>
            <w:vAlign w:val="bottom"/>
            <w:gridSpan w:val="3"/>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174"/>
        </w:trPr>
        <w:tc>
          <w:tcPr>
            <w:tcW w:w="50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6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jc w:val="right"/>
              <w:ind w:right="90"/>
              <w:spacing w:after="0" w:line="174"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20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jc w:val="right"/>
              <w:ind w:right="110"/>
              <w:spacing w:after="0" w:line="174"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jc w:val="right"/>
              <w:ind w:right="90"/>
              <w:spacing w:after="0" w:line="174"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8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jc w:val="right"/>
              <w:ind w:right="110"/>
              <w:spacing w:after="0" w:line="174"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38"/>
        </w:trPr>
        <w:tc>
          <w:tcPr>
            <w:tcW w:w="5080" w:type="dxa"/>
            <w:vAlign w:val="bottom"/>
            <w:tcBorders>
              <w:bottom w:val="single" w:sz="8" w:color="auto"/>
            </w:tcBorders>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23"/>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30"/>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30"/>
        </w:trPr>
        <w:tc>
          <w:tcPr>
            <w:tcW w:w="50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Performance share units</w:t>
            </w: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23"/>
        </w:trPr>
        <w:tc>
          <w:tcPr>
            <w:tcW w:w="5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share-based compensation expense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0" w:type="dxa"/>
            <w:vAlign w:val="bottom"/>
          </w:tcPr>
          <w:p>
            <w:pPr>
              <w:spacing w:after="0"/>
              <w:rPr>
                <w:sz w:val="1"/>
                <w:szCs w:val="1"/>
                <w:color w:val="auto"/>
              </w:rPr>
            </w:pPr>
          </w:p>
        </w:tc>
      </w:tr>
      <w:tr>
        <w:trPr>
          <w:trHeight w:val="21"/>
        </w:trPr>
        <w:tc>
          <w:tcPr>
            <w:tcW w:w="50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first quarter of 2024, we issued our annual share-based compensation grants under the Pentair plc 2020 Share and Incentive Plan to eligible employees. The total number of awards issued was approximately 0.5 million, of which 0.2 million were restricted stock units (“RSUs”), 0.2 million were stock options and 0.1 million were performance share units (“PSUs”). The weighted-average grant date fair value of the RSUs, stock options and PSUs issued was $75.70, $25.10 and $71.83, respectively.</w:t>
      </w:r>
    </w:p>
    <w:p>
      <w:pPr>
        <w:spacing w:after="0" w:line="12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We estimated the fair value of each stock option award issued in the annual share-based compensation grant using a Black-Scholes option pricing model, modified for dividends and using the following assumptions:</w:t>
      </w:r>
    </w:p>
    <w:tbl>
      <w:tblPr>
        <w:tblLayout w:type="fixed"/>
        <w:tblInd w:w="0" w:type="dxa"/>
        <w:tblCellMar>
          <w:top w:w="0" w:type="dxa"/>
          <w:left w:w="0" w:type="dxa"/>
          <w:bottom w:w="0" w:type="dxa"/>
          <w:right w:w="0" w:type="dxa"/>
        </w:tblCellMar>
      </w:tblPr>
      <w:tr>
        <w:trPr>
          <w:trHeight w:val="185"/>
        </w:trPr>
        <w:tc>
          <w:tcPr>
            <w:tcW w:w="6020" w:type="dxa"/>
            <w:vAlign w:val="bottom"/>
          </w:tcPr>
          <w:p>
            <w:pPr>
              <w:spacing w:after="0"/>
              <w:rPr>
                <w:sz w:val="16"/>
                <w:szCs w:val="16"/>
                <w:color w:val="auto"/>
              </w:rPr>
            </w:pPr>
          </w:p>
        </w:tc>
        <w:tc>
          <w:tcPr>
            <w:tcW w:w="5220" w:type="dxa"/>
            <w:vAlign w:val="bottom"/>
          </w:tcPr>
          <w:p>
            <w:pPr>
              <w:jc w:val="right"/>
              <w:ind w:right="590"/>
              <w:spacing w:after="0" w:line="185" w:lineRule="exact"/>
              <w:rPr>
                <w:sz w:val="20"/>
                <w:szCs w:val="20"/>
                <w:color w:val="auto"/>
              </w:rPr>
            </w:pPr>
            <w:r>
              <w:rPr>
                <w:rFonts w:ascii="Times New Roman" w:cs="Times New Roman" w:eastAsia="Times New Roman" w:hAnsi="Times New Roman"/>
                <w:sz w:val="18"/>
                <w:szCs w:val="18"/>
                <w:b w:val="1"/>
                <w:bCs w:val="1"/>
                <w:color w:val="auto"/>
              </w:rPr>
              <w:t>2024</w:t>
            </w:r>
          </w:p>
        </w:tc>
      </w:tr>
      <w:tr>
        <w:trPr>
          <w:trHeight w:val="241"/>
        </w:trPr>
        <w:tc>
          <w:tcPr>
            <w:tcW w:w="6020" w:type="dxa"/>
            <w:vAlign w:val="bottom"/>
            <w:tcBorders>
              <w:bottom w:val="single" w:sz="8" w:color="auto"/>
            </w:tcBorders>
          </w:tcPr>
          <w:p>
            <w:pPr>
              <w:spacing w:after="0"/>
              <w:rPr>
                <w:sz w:val="20"/>
                <w:szCs w:val="20"/>
                <w:color w:val="auto"/>
              </w:rPr>
            </w:pPr>
          </w:p>
        </w:tc>
        <w:tc>
          <w:tcPr>
            <w:tcW w:w="52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Annual Grant</w:t>
            </w:r>
          </w:p>
        </w:tc>
      </w:tr>
      <w:tr>
        <w:trPr>
          <w:trHeight w:val="225"/>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5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4.44 %</w:t>
            </w:r>
          </w:p>
        </w:tc>
      </w:tr>
      <w:tr>
        <w:trPr>
          <w:trHeight w:val="230"/>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5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1.43 %</w:t>
            </w:r>
          </w:p>
        </w:tc>
      </w:tr>
      <w:tr>
        <w:trPr>
          <w:trHeight w:val="229"/>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share price volatility</w:t>
            </w:r>
          </w:p>
        </w:tc>
        <w:tc>
          <w:tcPr>
            <w:tcW w:w="5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30.90 %</w:t>
            </w:r>
          </w:p>
        </w:tc>
      </w:tr>
      <w:tr>
        <w:trPr>
          <w:trHeight w:val="234"/>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 (years)</w:t>
            </w:r>
          </w:p>
        </w:tc>
        <w:tc>
          <w:tcPr>
            <w:tcW w:w="5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bl>
    <w:p>
      <w:pPr>
        <w:spacing w:after="0" w:line="1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These estimates require us to make assumptions based on historical results, observance of trends in our share price, changes in option exercise behavior, future expectations and other relevant factors. If other assumptions had been used, share-based compensation expense, as calculated and recorded under the accounting guidance, could have been affected. We based the expected life assumption on historical experience as well as the terms and vesting periods of the options granted. For purposes of determining expected share price volatility, we considered a rolling average of historical volatility measured over a period approximately equal to the expected option term. The risk-free interest rate for periods that coincide with the expected life of the options is based on the U.S. Treasury Department yield curve in effect at the time of grant.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Pentair plc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4.</w:t>
      </w:r>
      <w:r>
        <w:rPr>
          <w:sz w:val="20"/>
          <w:szCs w:val="20"/>
          <w:color w:val="auto"/>
        </w:rPr>
        <w:tab/>
      </w:r>
      <w:r>
        <w:rPr>
          <w:rFonts w:ascii="Times New Roman" w:cs="Times New Roman" w:eastAsia="Times New Roman" w:hAnsi="Times New Roman"/>
          <w:sz w:val="17"/>
          <w:szCs w:val="17"/>
          <w:b w:val="1"/>
          <w:bCs w:val="1"/>
          <w:color w:val="auto"/>
        </w:rPr>
        <w:t>Restructuring and Transformation Program</w:t>
      </w:r>
    </w:p>
    <w:p>
      <w:pPr>
        <w:spacing w:after="0" w:line="2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In 2021, we launched and committed resources to a program designed to accelerate growth and drive margin expansion through transformation of our business model to drive operational excellence, reduce complexity and streamline our processes (the “Transformation Program”). The Transformation Program is structured in multiple phases and is expected to empower us to work more efficiently and optimize our business to better serve our customers while meeting our financial objectives.</w:t>
      </w:r>
    </w:p>
    <w:p>
      <w:pPr>
        <w:spacing w:after="0" w:line="14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nine months ended September 30, 2024, we initiated and continued execution of activities associated with our Transformation Program as well as initiated and continued certain business restructuring initiatives aimed at reducing our fixed cost structure and realigning our business. Restructuring and Transformation Program initiatives included a reduction in hourly and salaried headcount of approximately 475 employees during the nine months ended September 30, 2024.</w:t>
      </w:r>
    </w:p>
    <w:p>
      <w:pPr>
        <w:spacing w:after="0" w:line="12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Restructuring and transformation-related costs included within </w:t>
      </w:r>
      <w:r>
        <w:rPr>
          <w:rFonts w:ascii="Times New Roman" w:cs="Times New Roman" w:eastAsia="Times New Roman" w:hAnsi="Times New Roman"/>
          <w:sz w:val="18"/>
          <w:szCs w:val="18"/>
          <w:i w:val="1"/>
          <w:iCs w:val="1"/>
          <w:color w:val="auto"/>
        </w:rPr>
        <w:t>Cost of goods sold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Selling, general and administrative expenses</w:t>
      </w:r>
      <w:r>
        <w:rPr>
          <w:rFonts w:ascii="Times New Roman" w:cs="Times New Roman" w:eastAsia="Times New Roman" w:hAnsi="Times New Roman"/>
          <w:sz w:val="18"/>
          <w:szCs w:val="18"/>
          <w:color w:val="auto"/>
        </w:rPr>
        <w:t xml:space="preserve"> in the Condensed Consolidated Statements of Operations and Comprehensive Income included the following:</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40" w:type="dxa"/>
            <w:vAlign w:val="bottom"/>
            <w:gridSpan w:val="4"/>
          </w:tcPr>
          <w:p>
            <w:pPr>
              <w:ind w:left="4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60" w:type="dxa"/>
            <w:vAlign w:val="bottom"/>
          </w:tcPr>
          <w:p>
            <w:pPr>
              <w:spacing w:after="0"/>
              <w:rPr>
                <w:sz w:val="20"/>
                <w:szCs w:val="20"/>
                <w:color w:val="auto"/>
              </w:rPr>
            </w:pPr>
          </w:p>
        </w:tc>
        <w:tc>
          <w:tcPr>
            <w:tcW w:w="2840" w:type="dxa"/>
            <w:vAlign w:val="bottom"/>
            <w:gridSpan w:val="3"/>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169"/>
        </w:trPr>
        <w:tc>
          <w:tcPr>
            <w:tcW w:w="51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6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jc w:val="right"/>
              <w:ind w:right="70"/>
              <w:spacing w:after="0" w:line="169"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20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jc w:val="right"/>
              <w:ind w:right="110"/>
              <w:spacing w:after="0" w:line="169"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jc w:val="right"/>
              <w:ind w:right="90"/>
              <w:spacing w:after="0" w:line="169"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8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jc w:val="right"/>
              <w:ind w:right="110"/>
              <w:spacing w:after="0" w:line="169"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43"/>
        </w:trPr>
        <w:tc>
          <w:tcPr>
            <w:tcW w:w="5140" w:type="dxa"/>
            <w:vAlign w:val="bottom"/>
            <w:tcBorders>
              <w:bottom w:val="single" w:sz="8" w:color="auto"/>
            </w:tcBorders>
            <w:vMerge w:val="continue"/>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23"/>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Restructuring Initiatives</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Severance and related costs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30"/>
        </w:trPr>
        <w:tc>
          <w:tcPr>
            <w:tcW w:w="5140" w:type="dxa"/>
            <w:vAlign w:val="bottom"/>
            <w:tcBorders>
              <w:bottom w:val="single" w:sz="8" w:color="auto"/>
            </w:tcBorders>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restructuring costs and related adjustments </w:t>
            </w:r>
            <w:r>
              <w:rPr>
                <w:rFonts w:ascii="Times New Roman" w:cs="Times New Roman" w:eastAsia="Times New Roman" w:hAnsi="Times New Roman"/>
                <w:sz w:val="23"/>
                <w:szCs w:val="23"/>
                <w:color w:val="auto"/>
                <w:vertAlign w:val="superscript"/>
              </w:rPr>
              <w:t>(1)</w:t>
            </w: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23"/>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restructuring costs</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30"/>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Transformation Program</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Severance and related costs</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30"/>
        </w:trPr>
        <w:tc>
          <w:tcPr>
            <w:tcW w:w="5140" w:type="dxa"/>
            <w:vAlign w:val="bottom"/>
            <w:tcBorders>
              <w:bottom w:val="single" w:sz="8" w:color="auto"/>
            </w:tcBorders>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transformation costs </w:t>
            </w:r>
            <w:r>
              <w:rPr>
                <w:rFonts w:ascii="Times New Roman" w:cs="Times New Roman" w:eastAsia="Times New Roman" w:hAnsi="Times New Roman"/>
                <w:sz w:val="23"/>
                <w:szCs w:val="23"/>
                <w:color w:val="auto"/>
                <w:vertAlign w:val="superscript"/>
              </w:rPr>
              <w:t>(2)</w:t>
            </w: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0" w:type="dxa"/>
            <w:vAlign w:val="bottom"/>
          </w:tcPr>
          <w:p>
            <w:pPr>
              <w:spacing w:after="0"/>
              <w:rPr>
                <w:sz w:val="1"/>
                <w:szCs w:val="1"/>
                <w:color w:val="auto"/>
              </w:rPr>
            </w:pPr>
          </w:p>
        </w:tc>
      </w:tr>
      <w:tr>
        <w:trPr>
          <w:trHeight w:val="223"/>
        </w:trPr>
        <w:tc>
          <w:tcPr>
            <w:tcW w:w="5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transformation costs</w:t>
            </w: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0" w:type="dxa"/>
            <w:vAlign w:val="bottom"/>
          </w:tcPr>
          <w:p>
            <w:pPr>
              <w:spacing w:after="0"/>
              <w:rPr>
                <w:sz w:val="1"/>
                <w:szCs w:val="1"/>
                <w:color w:val="auto"/>
              </w:rPr>
            </w:pPr>
          </w:p>
        </w:tc>
      </w:tr>
      <w:tr>
        <w:trPr>
          <w:trHeight w:val="230"/>
        </w:trPr>
        <w:tc>
          <w:tcPr>
            <w:tcW w:w="5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restructuring and transformation costs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0" w:type="dxa"/>
            <w:vAlign w:val="bottom"/>
          </w:tcPr>
          <w:p>
            <w:pPr>
              <w:spacing w:after="0"/>
              <w:rPr>
                <w:sz w:val="1"/>
                <w:szCs w:val="1"/>
                <w:color w:val="auto"/>
              </w:rPr>
            </w:pPr>
          </w:p>
        </w:tc>
      </w:tr>
    </w:tbl>
    <w:p>
      <w:pPr>
        <w:spacing w:after="0" w:line="27" w:lineRule="exact"/>
        <w:rPr>
          <w:sz w:val="20"/>
          <w:szCs w:val="20"/>
          <w:color w:val="auto"/>
        </w:rPr>
      </w:pPr>
    </w:p>
    <w:p>
      <w:pPr>
        <w:ind w:left="20" w:right="20" w:firstLine="6"/>
        <w:spacing w:after="0" w:line="206" w:lineRule="auto"/>
        <w:tabs>
          <w:tab w:leader="none" w:pos="212"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Other restructuring costs and related adjustments primarily consist of certain accruals and related refinements as well as various contract termination costs, asset impairments and inventory write-offs associated with business and product line exits.</w:t>
      </w:r>
    </w:p>
    <w:p>
      <w:pPr>
        <w:spacing w:after="0" w:line="20" w:lineRule="exact"/>
        <w:rPr>
          <w:rFonts w:ascii="Times New Roman" w:cs="Times New Roman" w:eastAsia="Times New Roman" w:hAnsi="Times New Roman"/>
          <w:sz w:val="23"/>
          <w:szCs w:val="23"/>
          <w:color w:val="auto"/>
          <w:vertAlign w:val="superscript"/>
        </w:rPr>
      </w:pPr>
    </w:p>
    <w:p>
      <w:pPr>
        <w:ind w:left="20" w:right="20" w:firstLine="6"/>
        <w:spacing w:after="0"/>
        <w:tabs>
          <w:tab w:leader="none" w:pos="185" w:val="left"/>
        </w:tabs>
        <w:numPr>
          <w:ilvl w:val="0"/>
          <w:numId w:val="7"/>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4"/>
          <w:szCs w:val="14"/>
          <w:color w:val="auto"/>
        </w:rPr>
        <w:t>Other transformation costs primarily consist of professional services, project management related costs, asset impairments and inventory write-offs, partially offset by gain on sale of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-410845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Restructuring and transformation costs by reportable segment as well as Corporate and other were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40" w:type="dxa"/>
            <w:vAlign w:val="bottom"/>
            <w:gridSpan w:val="4"/>
          </w:tcPr>
          <w:p>
            <w:pPr>
              <w:ind w:left="5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60" w:type="dxa"/>
            <w:vAlign w:val="bottom"/>
          </w:tcPr>
          <w:p>
            <w:pPr>
              <w:spacing w:after="0"/>
              <w:rPr>
                <w:sz w:val="20"/>
                <w:szCs w:val="20"/>
                <w:color w:val="auto"/>
              </w:rPr>
            </w:pPr>
          </w:p>
        </w:tc>
        <w:tc>
          <w:tcPr>
            <w:tcW w:w="2840" w:type="dxa"/>
            <w:vAlign w:val="bottom"/>
            <w:gridSpan w:val="3"/>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174"/>
        </w:trPr>
        <w:tc>
          <w:tcPr>
            <w:tcW w:w="51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6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jc w:val="right"/>
              <w:ind w:right="70"/>
              <w:spacing w:after="0" w:line="174"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20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jc w:val="right"/>
              <w:ind w:right="110"/>
              <w:spacing w:after="0" w:line="174"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jc w:val="right"/>
              <w:ind w:right="90"/>
              <w:spacing w:after="0" w:line="174"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8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jc w:val="right"/>
              <w:ind w:right="110"/>
              <w:spacing w:after="0" w:line="174"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38"/>
        </w:trPr>
        <w:tc>
          <w:tcPr>
            <w:tcW w:w="5140" w:type="dxa"/>
            <w:vAlign w:val="bottom"/>
            <w:tcBorders>
              <w:bottom w:val="single" w:sz="8" w:color="auto"/>
            </w:tcBorders>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23"/>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Flow</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30"/>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Water Solutions</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30"/>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Pool</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30"/>
        </w:trPr>
        <w:tc>
          <w:tcPr>
            <w:tcW w:w="5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0" w:type="dxa"/>
            <w:vAlign w:val="bottom"/>
          </w:tcPr>
          <w:p>
            <w:pPr>
              <w:spacing w:after="0"/>
              <w:rPr>
                <w:sz w:val="1"/>
                <w:szCs w:val="1"/>
                <w:color w:val="auto"/>
              </w:rPr>
            </w:pPr>
          </w:p>
        </w:tc>
      </w:tr>
      <w:tr>
        <w:trPr>
          <w:trHeight w:val="248"/>
        </w:trPr>
        <w:tc>
          <w:tcPr>
            <w:tcW w:w="5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restructuring and transformation costs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 xml:space="preserve">Activity related to accrued severance and related costs recorded in </w:t>
      </w:r>
      <w:r>
        <w:rPr>
          <w:rFonts w:ascii="Times New Roman" w:cs="Times New Roman" w:eastAsia="Times New Roman" w:hAnsi="Times New Roman"/>
          <w:sz w:val="18"/>
          <w:szCs w:val="18"/>
          <w:i w:val="1"/>
          <w:iCs w:val="1"/>
          <w:color w:val="auto"/>
        </w:rPr>
        <w:t>Other current liabilities</w:t>
      </w:r>
      <w:r>
        <w:rPr>
          <w:rFonts w:ascii="Times New Roman" w:cs="Times New Roman" w:eastAsia="Times New Roman" w:hAnsi="Times New Roman"/>
          <w:sz w:val="18"/>
          <w:szCs w:val="18"/>
          <w:color w:val="auto"/>
        </w:rPr>
        <w:t xml:space="preserve"> in the Condensed Consolidated Balance Sheets is summarized as follows for the nine months ended September 30, 2024:</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4060" w:type="dxa"/>
            <w:vAlign w:val="bottom"/>
          </w:tcPr>
          <w:p>
            <w:pPr>
              <w:spacing w:after="0"/>
              <w:rPr>
                <w:sz w:val="18"/>
                <w:szCs w:val="18"/>
                <w:color w:val="auto"/>
              </w:rPr>
            </w:pPr>
          </w:p>
        </w:tc>
        <w:tc>
          <w:tcPr>
            <w:tcW w:w="14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0" w:type="dxa"/>
            <w:vAlign w:val="bottom"/>
          </w:tcPr>
          <w:p>
            <w:pPr>
              <w:spacing w:after="0"/>
              <w:rPr>
                <w:sz w:val="1"/>
                <w:szCs w:val="1"/>
                <w:color w:val="auto"/>
              </w:rPr>
            </w:pPr>
          </w:p>
        </w:tc>
      </w:tr>
      <w:tr>
        <w:trPr>
          <w:trHeight w:val="243"/>
        </w:trPr>
        <w:tc>
          <w:tcPr>
            <w:tcW w:w="5760" w:type="dxa"/>
            <w:vAlign w:val="bottom"/>
            <w:tcBorders>
              <w:bottom w:val="single" w:sz="8" w:color="auto"/>
            </w:tcBorders>
            <w:vMerge w:val="continue"/>
          </w:tcPr>
          <w:p>
            <w:pPr>
              <w:spacing w:after="0"/>
              <w:rPr>
                <w:sz w:val="21"/>
                <w:szCs w:val="21"/>
                <w:color w:val="auto"/>
              </w:rPr>
            </w:pPr>
          </w:p>
        </w:tc>
        <w:tc>
          <w:tcPr>
            <w:tcW w:w="40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23"/>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4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center"/>
              <w:ind w:left="870"/>
              <w:spacing w:after="0"/>
              <w:rPr>
                <w:sz w:val="20"/>
                <w:szCs w:val="20"/>
                <w:color w:val="auto"/>
              </w:rPr>
            </w:pPr>
            <w:r>
              <w:rPr>
                <w:rFonts w:ascii="Times New Roman" w:cs="Times New Roman" w:eastAsia="Times New Roman" w:hAnsi="Times New Roman"/>
                <w:sz w:val="18"/>
                <w:szCs w:val="18"/>
                <w:color w:val="auto"/>
                <w:w w:val="95"/>
              </w:rPr>
              <w:t>13.4</w:t>
            </w:r>
          </w:p>
        </w:tc>
        <w:tc>
          <w:tcPr>
            <w:tcW w:w="0" w:type="dxa"/>
            <w:vAlign w:val="bottom"/>
          </w:tcPr>
          <w:p>
            <w:pPr>
              <w:spacing w:after="0"/>
              <w:rPr>
                <w:sz w:val="1"/>
                <w:szCs w:val="1"/>
                <w:color w:val="auto"/>
              </w:rPr>
            </w:pPr>
          </w:p>
        </w:tc>
      </w:tr>
      <w:tr>
        <w:trPr>
          <w:trHeight w:val="230"/>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incurred</w:t>
            </w:r>
          </w:p>
        </w:tc>
        <w:tc>
          <w:tcPr>
            <w:tcW w:w="4060" w:type="dxa"/>
            <w:vAlign w:val="bottom"/>
          </w:tcPr>
          <w:p>
            <w:pPr>
              <w:spacing w:after="0"/>
              <w:rPr>
                <w:sz w:val="19"/>
                <w:szCs w:val="19"/>
                <w:color w:val="auto"/>
              </w:rPr>
            </w:pPr>
          </w:p>
        </w:tc>
        <w:tc>
          <w:tcPr>
            <w:tcW w:w="1420" w:type="dxa"/>
            <w:vAlign w:val="bottom"/>
          </w:tcPr>
          <w:p>
            <w:pPr>
              <w:jc w:val="center"/>
              <w:ind w:left="870"/>
              <w:spacing w:after="0"/>
              <w:rPr>
                <w:sz w:val="20"/>
                <w:szCs w:val="20"/>
                <w:color w:val="auto"/>
              </w:rPr>
            </w:pPr>
            <w:r>
              <w:rPr>
                <w:rFonts w:ascii="Times New Roman" w:cs="Times New Roman" w:eastAsia="Times New Roman" w:hAnsi="Times New Roman"/>
                <w:sz w:val="18"/>
                <w:szCs w:val="18"/>
                <w:color w:val="auto"/>
                <w:w w:val="95"/>
              </w:rPr>
              <w:t>27.5</w:t>
            </w:r>
          </w:p>
        </w:tc>
        <w:tc>
          <w:tcPr>
            <w:tcW w:w="0" w:type="dxa"/>
            <w:vAlign w:val="bottom"/>
          </w:tcPr>
          <w:p>
            <w:pPr>
              <w:spacing w:after="0"/>
              <w:rPr>
                <w:sz w:val="1"/>
                <w:szCs w:val="1"/>
                <w:color w:val="auto"/>
              </w:rPr>
            </w:pPr>
          </w:p>
        </w:tc>
      </w:tr>
      <w:tr>
        <w:trPr>
          <w:trHeight w:val="229"/>
        </w:trPr>
        <w:tc>
          <w:tcPr>
            <w:tcW w:w="57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payments and other</w:t>
            </w:r>
          </w:p>
        </w:tc>
        <w:tc>
          <w:tcPr>
            <w:tcW w:w="40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center"/>
              <w:ind w:left="850"/>
              <w:spacing w:after="0"/>
              <w:rPr>
                <w:sz w:val="20"/>
                <w:szCs w:val="20"/>
                <w:color w:val="auto"/>
              </w:rPr>
            </w:pPr>
            <w:r>
              <w:rPr>
                <w:rFonts w:ascii="Times New Roman" w:cs="Times New Roman" w:eastAsia="Times New Roman" w:hAnsi="Times New Roman"/>
                <w:sz w:val="18"/>
                <w:szCs w:val="18"/>
                <w:color w:val="auto"/>
              </w:rPr>
              <w:t>(19.8)</w:t>
            </w:r>
          </w:p>
        </w:tc>
        <w:tc>
          <w:tcPr>
            <w:tcW w:w="0" w:type="dxa"/>
            <w:vAlign w:val="bottom"/>
          </w:tcPr>
          <w:p>
            <w:pPr>
              <w:spacing w:after="0"/>
              <w:rPr>
                <w:sz w:val="1"/>
                <w:szCs w:val="1"/>
                <w:color w:val="auto"/>
              </w:rPr>
            </w:pPr>
          </w:p>
        </w:tc>
      </w:tr>
      <w:tr>
        <w:trPr>
          <w:trHeight w:val="223"/>
        </w:trPr>
        <w:tc>
          <w:tcPr>
            <w:tcW w:w="5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4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center"/>
              <w:ind w:left="870"/>
              <w:spacing w:after="0"/>
              <w:rPr>
                <w:sz w:val="20"/>
                <w:szCs w:val="20"/>
                <w:color w:val="auto"/>
              </w:rPr>
            </w:pPr>
            <w:r>
              <w:rPr>
                <w:rFonts w:ascii="Times New Roman" w:cs="Times New Roman" w:eastAsia="Times New Roman" w:hAnsi="Times New Roman"/>
                <w:sz w:val="18"/>
                <w:szCs w:val="18"/>
                <w:color w:val="auto"/>
                <w:w w:val="95"/>
              </w:rPr>
              <w:t>21.1</w:t>
            </w:r>
          </w:p>
        </w:tc>
        <w:tc>
          <w:tcPr>
            <w:tcW w:w="0" w:type="dxa"/>
            <w:vAlign w:val="bottom"/>
          </w:tcPr>
          <w:p>
            <w:pPr>
              <w:spacing w:after="0"/>
              <w:rPr>
                <w:sz w:val="1"/>
                <w:szCs w:val="1"/>
                <w:color w:val="auto"/>
              </w:rPr>
            </w:pPr>
          </w:p>
        </w:tc>
      </w:tr>
      <w:tr>
        <w:trPr>
          <w:trHeight w:val="20"/>
        </w:trPr>
        <w:tc>
          <w:tcPr>
            <w:tcW w:w="5760" w:type="dxa"/>
            <w:vAlign w:val="bottom"/>
            <w:tcBorders>
              <w:bottom w:val="single" w:sz="8" w:color="auto"/>
            </w:tcBorders>
          </w:tcPr>
          <w:p>
            <w:pPr>
              <w:spacing w:after="0" w:line="20" w:lineRule="exact"/>
              <w:rPr>
                <w:sz w:val="1"/>
                <w:szCs w:val="1"/>
                <w:color w:val="auto"/>
              </w:rPr>
            </w:pPr>
          </w:p>
        </w:tc>
        <w:tc>
          <w:tcPr>
            <w:tcW w:w="40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Pentair plc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Earnings Per Share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Basic and diluted earnings per share were calculated as follows: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In millions, except per-share data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3100" w:type="dxa"/>
            <w:vAlign w:val="bottom"/>
            <w:gridSpan w:val="3"/>
          </w:tcPr>
          <w:p>
            <w:pPr>
              <w:ind w:left="6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000" w:type="dxa"/>
            <w:vAlign w:val="bottom"/>
            <w:gridSpan w:val="2"/>
          </w:tcPr>
          <w:p>
            <w:pPr>
              <w:ind w:left="76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169"/>
        </w:trPr>
        <w:tc>
          <w:tcPr>
            <w:tcW w:w="150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50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00" w:type="dxa"/>
            <w:vAlign w:val="bottom"/>
          </w:tcPr>
          <w:p>
            <w:pPr>
              <w:spacing w:after="0"/>
              <w:rPr>
                <w:sz w:val="14"/>
                <w:szCs w:val="14"/>
                <w:color w:val="auto"/>
              </w:rPr>
            </w:pPr>
          </w:p>
        </w:tc>
        <w:tc>
          <w:tcPr>
            <w:tcW w:w="150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50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9"/>
              </w:rPr>
              <w:t>September 30,</w:t>
            </w:r>
          </w:p>
        </w:tc>
      </w:tr>
      <w:tr>
        <w:trPr>
          <w:trHeight w:val="238"/>
        </w:trPr>
        <w:tc>
          <w:tcPr>
            <w:tcW w:w="150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50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150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50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r>
    </w:tbl>
    <w:p>
      <w:pPr>
        <w:spacing w:after="0" w:line="3" w:lineRule="exact"/>
        <w:rPr>
          <w:sz w:val="20"/>
          <w:szCs w:val="20"/>
          <w:color w:val="auto"/>
        </w:rPr>
      </w:pPr>
    </w:p>
    <w:p>
      <w:pPr>
        <w:sectPr>
          <w:pgSz w:w="11900" w:h="16838" w:orient="portrait"/>
          <w:cols w:equalWidth="0" w:num="2">
            <w:col w:w="4860" w:space="280"/>
            <w:col w:w="6100"/>
          </w:cols>
          <w:pgMar w:left="320" w:top="118" w:right="339" w:bottom="1440" w:gutter="0" w:footer="0" w:header="0"/>
        </w:sectPr>
      </w:pPr>
    </w:p>
    <w:tbl>
      <w:tblPr>
        <w:tblLayout w:type="fixed"/>
        <w:tblInd w:w="0" w:type="dxa"/>
        <w:tblCellMar>
          <w:top w:w="0" w:type="dxa"/>
          <w:left w:w="0" w:type="dxa"/>
          <w:bottom w:w="0" w:type="dxa"/>
          <w:right w:w="0" w:type="dxa"/>
        </w:tblCellMar>
      </w:tblPr>
      <w:tr>
        <w:trPr>
          <w:trHeight w:val="250"/>
        </w:trPr>
        <w:tc>
          <w:tcPr>
            <w:tcW w:w="48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840" w:type="dxa"/>
            <w:vAlign w:val="bottom"/>
            <w:tcBorders>
              <w:top w:val="single" w:sz="8" w:color="auto"/>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139.6</w:t>
            </w:r>
          </w:p>
        </w:tc>
        <w:tc>
          <w:tcPr>
            <w:tcW w:w="600" w:type="dxa"/>
            <w:vAlign w:val="bottom"/>
            <w:tcBorders>
              <w:top w:val="single" w:sz="8" w:color="auto"/>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132.1</w:t>
            </w:r>
          </w:p>
        </w:tc>
        <w:tc>
          <w:tcPr>
            <w:tcW w:w="64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459.0</w:t>
            </w:r>
          </w:p>
        </w:tc>
        <w:tc>
          <w:tcPr>
            <w:tcW w:w="580" w:type="dxa"/>
            <w:vAlign w:val="bottom"/>
            <w:tcBorders>
              <w:top w:val="single" w:sz="8" w:color="auto"/>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414.7</w:t>
            </w:r>
          </w:p>
        </w:tc>
      </w:tr>
      <w:tr>
        <w:trPr>
          <w:trHeight w:val="20"/>
        </w:trPr>
        <w:tc>
          <w:tcPr>
            <w:tcW w:w="48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4860" w:type="dxa"/>
            <w:vAlign w:val="bottom"/>
            <w:tcBorders>
              <w:bottom w:val="single" w:sz="8" w:color="auto"/>
            </w:tcBorders>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Net income from continuing operations</w:t>
            </w:r>
          </w:p>
        </w:tc>
        <w:tc>
          <w:tcPr>
            <w:tcW w:w="840" w:type="dxa"/>
            <w:vAlign w:val="bottom"/>
            <w:tcBorders>
              <w:bottom w:val="single" w:sz="8" w:color="auto"/>
            </w:tcBorders>
          </w:tcPr>
          <w:p>
            <w:pPr>
              <w:jc w:val="right"/>
              <w:ind w:right="370"/>
              <w:spacing w:after="0" w:line="203"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139.6</w:t>
            </w:r>
          </w:p>
        </w:tc>
        <w:tc>
          <w:tcPr>
            <w:tcW w:w="600" w:type="dxa"/>
            <w:vAlign w:val="bottom"/>
            <w:tcBorders>
              <w:bottom w:val="single" w:sz="8" w:color="auto"/>
            </w:tcBorders>
          </w:tcPr>
          <w:p>
            <w:pPr>
              <w:jc w:val="right"/>
              <w:ind w:right="370"/>
              <w:spacing w:after="0" w:line="203"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rPr>
              <w:t>132.1</w:t>
            </w:r>
          </w:p>
        </w:tc>
        <w:tc>
          <w:tcPr>
            <w:tcW w:w="640" w:type="dxa"/>
            <w:vAlign w:val="bottom"/>
            <w:tcBorders>
              <w:bottom w:val="single" w:sz="8" w:color="auto"/>
            </w:tcBorders>
          </w:tcPr>
          <w:p>
            <w:pPr>
              <w:jc w:val="right"/>
              <w:ind w:right="350"/>
              <w:spacing w:after="0" w:line="203"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459.2</w:t>
            </w:r>
          </w:p>
        </w:tc>
        <w:tc>
          <w:tcPr>
            <w:tcW w:w="580" w:type="dxa"/>
            <w:vAlign w:val="bottom"/>
            <w:tcBorders>
              <w:bottom w:val="single" w:sz="8" w:color="auto"/>
            </w:tcBorders>
          </w:tcPr>
          <w:p>
            <w:pPr>
              <w:jc w:val="right"/>
              <w:ind w:right="370"/>
              <w:spacing w:after="0" w:line="203"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414.8</w:t>
            </w:r>
          </w:p>
        </w:tc>
      </w:tr>
      <w:tr>
        <w:trPr>
          <w:trHeight w:val="20"/>
        </w:trPr>
        <w:tc>
          <w:tcPr>
            <w:tcW w:w="48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23"/>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ordinary shares outstanding</w:t>
            </w:r>
          </w:p>
        </w:tc>
        <w:tc>
          <w:tcPr>
            <w:tcW w:w="8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8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165.6</w:t>
            </w:r>
          </w:p>
        </w:tc>
        <w:tc>
          <w:tcPr>
            <w:tcW w:w="600" w:type="dxa"/>
            <w:vAlign w:val="bottom"/>
          </w:tcPr>
          <w:p>
            <w:pPr>
              <w:spacing w:after="0"/>
              <w:rPr>
                <w:sz w:val="19"/>
                <w:szCs w:val="19"/>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165.2</w:t>
            </w:r>
          </w:p>
        </w:tc>
        <w:tc>
          <w:tcPr>
            <w:tcW w:w="6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165.7</w:t>
            </w: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w:t>
            </w:r>
          </w:p>
        </w:tc>
      </w:tr>
      <w:tr>
        <w:trPr>
          <w:trHeight w:val="175"/>
        </w:trPr>
        <w:tc>
          <w:tcPr>
            <w:tcW w:w="48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Dilutive impact of stock options, restricted stock units and</w:t>
            </w:r>
          </w:p>
        </w:tc>
        <w:tc>
          <w:tcPr>
            <w:tcW w:w="8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243"/>
        </w:trPr>
        <w:tc>
          <w:tcPr>
            <w:tcW w:w="486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performance share units</w:t>
            </w:r>
          </w:p>
        </w:tc>
        <w:tc>
          <w:tcPr>
            <w:tcW w:w="8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6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w:t>
            </w:r>
          </w:p>
        </w:tc>
        <w:tc>
          <w:tcPr>
            <w:tcW w:w="6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5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3"/>
        </w:trPr>
        <w:tc>
          <w:tcPr>
            <w:tcW w:w="4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8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167.0</w:t>
            </w:r>
          </w:p>
        </w:tc>
        <w:tc>
          <w:tcPr>
            <w:tcW w:w="6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166.6</w:t>
            </w:r>
          </w:p>
        </w:tc>
        <w:tc>
          <w:tcPr>
            <w:tcW w:w="6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167.2</w:t>
            </w:r>
          </w:p>
        </w:tc>
        <w:tc>
          <w:tcPr>
            <w:tcW w:w="5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166.2</w:t>
            </w:r>
          </w:p>
        </w:tc>
      </w:tr>
      <w:tr>
        <w:trPr>
          <w:trHeight w:val="20"/>
        </w:trPr>
        <w:tc>
          <w:tcPr>
            <w:tcW w:w="48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23"/>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per ordinary share</w:t>
            </w:r>
          </w:p>
        </w:tc>
        <w:tc>
          <w:tcPr>
            <w:tcW w:w="8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9"/>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Basic</w:t>
            </w:r>
          </w:p>
        </w:tc>
        <w:tc>
          <w:tcPr>
            <w:tcW w:w="8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Continuing operations</w:t>
            </w:r>
          </w:p>
        </w:tc>
        <w:tc>
          <w:tcPr>
            <w:tcW w:w="84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0.84</w:t>
            </w:r>
          </w:p>
        </w:tc>
        <w:tc>
          <w:tcPr>
            <w:tcW w:w="60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0.80</w:t>
            </w:r>
          </w:p>
        </w:tc>
        <w:tc>
          <w:tcPr>
            <w:tcW w:w="6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5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r>
      <w:tr>
        <w:trPr>
          <w:trHeight w:val="230"/>
        </w:trPr>
        <w:tc>
          <w:tcPr>
            <w:tcW w:w="4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Discontinued operations</w:t>
            </w:r>
          </w:p>
        </w:tc>
        <w:tc>
          <w:tcPr>
            <w:tcW w:w="8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48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earnings per ordinary share</w:t>
            </w:r>
          </w:p>
        </w:tc>
        <w:tc>
          <w:tcPr>
            <w:tcW w:w="84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0.84</w:t>
            </w:r>
          </w:p>
        </w:tc>
        <w:tc>
          <w:tcPr>
            <w:tcW w:w="60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0.80</w:t>
            </w:r>
          </w:p>
        </w:tc>
        <w:tc>
          <w:tcPr>
            <w:tcW w:w="6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r>
      <w:tr>
        <w:trPr>
          <w:trHeight w:val="20"/>
        </w:trPr>
        <w:tc>
          <w:tcPr>
            <w:tcW w:w="48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486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b w:val="1"/>
                <w:bCs w:val="1"/>
                <w:i w:val="1"/>
                <w:iCs w:val="1"/>
                <w:color w:val="auto"/>
              </w:rPr>
              <w:t>Diluted</w:t>
            </w:r>
          </w:p>
        </w:tc>
        <w:tc>
          <w:tcPr>
            <w:tcW w:w="8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29"/>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Continuing operations</w:t>
            </w:r>
          </w:p>
        </w:tc>
        <w:tc>
          <w:tcPr>
            <w:tcW w:w="84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0.84</w:t>
            </w:r>
          </w:p>
        </w:tc>
        <w:tc>
          <w:tcPr>
            <w:tcW w:w="60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0.79</w:t>
            </w:r>
          </w:p>
        </w:tc>
        <w:tc>
          <w:tcPr>
            <w:tcW w:w="6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5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r>
      <w:tr>
        <w:trPr>
          <w:trHeight w:val="229"/>
        </w:trPr>
        <w:tc>
          <w:tcPr>
            <w:tcW w:w="4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Discontinued operations</w:t>
            </w:r>
          </w:p>
        </w:tc>
        <w:tc>
          <w:tcPr>
            <w:tcW w:w="8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48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per ordinary share</w:t>
            </w:r>
          </w:p>
        </w:tc>
        <w:tc>
          <w:tcPr>
            <w:tcW w:w="84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0.84</w:t>
            </w:r>
          </w:p>
        </w:tc>
        <w:tc>
          <w:tcPr>
            <w:tcW w:w="60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0.79</w:t>
            </w:r>
          </w:p>
        </w:tc>
        <w:tc>
          <w:tcPr>
            <w:tcW w:w="6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r>
      <w:tr>
        <w:trPr>
          <w:trHeight w:val="20"/>
        </w:trPr>
        <w:tc>
          <w:tcPr>
            <w:tcW w:w="48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150"/>
        </w:trPr>
        <w:tc>
          <w:tcPr>
            <w:tcW w:w="4860" w:type="dxa"/>
            <w:vAlign w:val="bottom"/>
          </w:tcPr>
          <w:p>
            <w:pPr>
              <w:ind w:left="20"/>
              <w:spacing w:after="0" w:line="150" w:lineRule="exact"/>
              <w:rPr>
                <w:sz w:val="20"/>
                <w:szCs w:val="20"/>
                <w:color w:val="auto"/>
              </w:rPr>
            </w:pPr>
            <w:r>
              <w:rPr>
                <w:rFonts w:ascii="Times New Roman" w:cs="Times New Roman" w:eastAsia="Times New Roman" w:hAnsi="Times New Roman"/>
                <w:sz w:val="17"/>
                <w:szCs w:val="17"/>
                <w:b w:val="1"/>
                <w:bCs w:val="1"/>
                <w:color w:val="auto"/>
              </w:rPr>
              <w:t>Anti-dilutive stock options excluded from the calculation of</w:t>
            </w: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243"/>
        </w:trPr>
        <w:tc>
          <w:tcPr>
            <w:tcW w:w="48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diluted earnings per share</w:t>
            </w:r>
          </w:p>
        </w:tc>
        <w:tc>
          <w:tcPr>
            <w:tcW w:w="8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6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0.2</w:t>
            </w:r>
          </w:p>
        </w:tc>
        <w:tc>
          <w:tcPr>
            <w:tcW w:w="6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5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0"/>
        </w:trPr>
        <w:tc>
          <w:tcPr>
            <w:tcW w:w="48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7"/>
          <w:szCs w:val="17"/>
          <w:b w:val="1"/>
          <w:bCs w:val="1"/>
          <w:color w:val="auto"/>
        </w:rPr>
        <w:t>Accounts Receivable</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All trade receivables are reported on our Condensed Consolidated Balance Sheets at the outstanding principal amount adjusted for any allowance for credit losses and write-offs, net of recoveries. We record an allowance for credit losses, reducing our receivables balance to an amount we estimate is collectible from our customers. Estimates used in determining the allowance for credit losses are based on current trends, aging of accounts receivable, periodic credit evaluations of our customers’ financial condition, and historical collection experience as well as reasonable and supportable forecasts of future economic conditions. Write-offs are recorded at the time all collection efforts have been exhausted. We generally do not require collateral. We review our allowance for credit losses on a quarterly basis.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320" w:type="dxa"/>
            <w:vAlign w:val="bottom"/>
          </w:tcPr>
          <w:p>
            <w:pPr>
              <w:spacing w:after="0"/>
              <w:rPr>
                <w:sz w:val="20"/>
                <w:szCs w:val="20"/>
                <w:color w:val="auto"/>
              </w:rPr>
            </w:pPr>
            <w:r>
              <w:rPr>
                <w:rFonts w:ascii="Times New Roman" w:cs="Times New Roman" w:eastAsia="Times New Roman" w:hAnsi="Times New Roman"/>
                <w:sz w:val="18"/>
                <w:szCs w:val="18"/>
                <w:color w:val="auto"/>
              </w:rPr>
              <w:t>Activity related to our allowance for credit losses is summarized as follows for the nine months ended September 30, 2024:</w:t>
            </w:r>
          </w:p>
        </w:tc>
        <w:tc>
          <w:tcPr>
            <w:tcW w:w="5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93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560" w:type="dxa"/>
            <w:vAlign w:val="bottom"/>
          </w:tcPr>
          <w:p>
            <w:pPr>
              <w:spacing w:after="0"/>
              <w:rPr>
                <w:sz w:val="24"/>
                <w:szCs w:val="24"/>
                <w:color w:val="auto"/>
              </w:rPr>
            </w:pP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43"/>
        </w:trPr>
        <w:tc>
          <w:tcPr>
            <w:tcW w:w="9320" w:type="dxa"/>
            <w:vAlign w:val="bottom"/>
            <w:tcBorders>
              <w:bottom w:val="single" w:sz="8" w:color="auto"/>
            </w:tcBorders>
            <w:vMerge w:val="continue"/>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23"/>
        </w:trPr>
        <w:tc>
          <w:tcPr>
            <w:tcW w:w="9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30"/>
        </w:trPr>
        <w:tc>
          <w:tcPr>
            <w:tcW w:w="9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Bad debt expense</w:t>
            </w:r>
          </w:p>
        </w:tc>
        <w:tc>
          <w:tcPr>
            <w:tcW w:w="5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30"/>
        </w:trPr>
        <w:tc>
          <w:tcPr>
            <w:tcW w:w="9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Write-offs, net of recoveries</w:t>
            </w:r>
          </w:p>
        </w:tc>
        <w:tc>
          <w:tcPr>
            <w:tcW w:w="5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9"/>
        </w:trPr>
        <w:tc>
          <w:tcPr>
            <w:tcW w:w="9320" w:type="dxa"/>
            <w:vAlign w:val="bottom"/>
            <w:tcBorders>
              <w:bottom w:val="single" w:sz="8" w:color="auto"/>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3"/>
                <w:szCs w:val="23"/>
                <w:color w:val="auto"/>
                <w:vertAlign w:val="superscript"/>
              </w:rPr>
              <w:t>(1)</w:t>
            </w:r>
          </w:p>
        </w:tc>
        <w:tc>
          <w:tcPr>
            <w:tcW w:w="5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48"/>
        </w:trPr>
        <w:tc>
          <w:tcPr>
            <w:tcW w:w="9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0"/>
        </w:trPr>
        <w:tc>
          <w:tcPr>
            <w:tcW w:w="93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20"/>
        <w:spacing w:after="0"/>
        <w:rPr>
          <w:sz w:val="20"/>
          <w:szCs w:val="20"/>
          <w:color w:val="auto"/>
        </w:rPr>
      </w:pP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6"/>
          <w:szCs w:val="16"/>
          <w:color w:val="auto"/>
        </w:rPr>
        <w:t xml:space="preserve"> Other amounts are primarily the effects of changes in currency translation and the impact of allowance for credits.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Pentair plc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7.</w:t>
      </w:r>
      <w:r>
        <w:rPr>
          <w:sz w:val="20"/>
          <w:szCs w:val="20"/>
          <w:color w:val="auto"/>
        </w:rPr>
        <w:tab/>
      </w:r>
      <w:r>
        <w:rPr>
          <w:rFonts w:ascii="Times New Roman" w:cs="Times New Roman" w:eastAsia="Times New Roman" w:hAnsi="Times New Roman"/>
          <w:sz w:val="17"/>
          <w:szCs w:val="17"/>
          <w:b w:val="1"/>
          <w:bCs w:val="1"/>
          <w:color w:val="auto"/>
        </w:rPr>
        <w:t>Supplemental Balance Sheet Information</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44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2780" w:type="dxa"/>
            <w:vAlign w:val="bottom"/>
          </w:tcPr>
          <w:p>
            <w:pPr>
              <w:spacing w:after="0"/>
              <w:rPr>
                <w:sz w:val="16"/>
                <w:szCs w:val="16"/>
                <w:color w:val="auto"/>
              </w:rPr>
            </w:pPr>
          </w:p>
        </w:tc>
        <w:tc>
          <w:tcPr>
            <w:tcW w:w="136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40" w:type="dxa"/>
            <w:vAlign w:val="bottom"/>
          </w:tcPr>
          <w:p>
            <w:pPr>
              <w:spacing w:after="0"/>
              <w:rPr>
                <w:sz w:val="16"/>
                <w:szCs w:val="16"/>
                <w:color w:val="auto"/>
              </w:rPr>
            </w:pPr>
          </w:p>
        </w:tc>
        <w:tc>
          <w:tcPr>
            <w:tcW w:w="142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4"/>
        </w:trPr>
        <w:tc>
          <w:tcPr>
            <w:tcW w:w="5440" w:type="dxa"/>
            <w:vAlign w:val="bottom"/>
            <w:tcBorders>
              <w:bottom w:val="single" w:sz="8" w:color="auto"/>
            </w:tcBorders>
            <w:vMerge w:val="continue"/>
          </w:tcPr>
          <w:p>
            <w:pPr>
              <w:spacing w:after="0"/>
              <w:rPr>
                <w:sz w:val="18"/>
                <w:szCs w:val="18"/>
                <w:color w:val="auto"/>
              </w:rPr>
            </w:pPr>
          </w:p>
        </w:tc>
        <w:tc>
          <w:tcPr>
            <w:tcW w:w="27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11"/>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Inventories</w:t>
            </w:r>
          </w:p>
        </w:tc>
        <w:tc>
          <w:tcPr>
            <w:tcW w:w="27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Raw materials and supplies</w:t>
            </w:r>
          </w:p>
        </w:tc>
        <w:tc>
          <w:tcPr>
            <w:tcW w:w="2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337.7</w:t>
            </w:r>
          </w:p>
        </w:tc>
        <w:tc>
          <w:tcPr>
            <w:tcW w:w="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369.1</w:t>
            </w:r>
          </w:p>
        </w:tc>
        <w:tc>
          <w:tcPr>
            <w:tcW w:w="0" w:type="dxa"/>
            <w:vAlign w:val="bottom"/>
          </w:tcPr>
          <w:p>
            <w:pPr>
              <w:spacing w:after="0"/>
              <w:rPr>
                <w:sz w:val="1"/>
                <w:szCs w:val="1"/>
                <w:color w:val="auto"/>
              </w:rPr>
            </w:pPr>
          </w:p>
        </w:tc>
      </w:tr>
      <w:tr>
        <w:trPr>
          <w:trHeight w:val="219"/>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Work-in-process</w:t>
            </w:r>
          </w:p>
        </w:tc>
        <w:tc>
          <w:tcPr>
            <w:tcW w:w="27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93.0</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97.1</w:t>
            </w:r>
          </w:p>
        </w:tc>
        <w:tc>
          <w:tcPr>
            <w:tcW w:w="0" w:type="dxa"/>
            <w:vAlign w:val="bottom"/>
          </w:tcPr>
          <w:p>
            <w:pPr>
              <w:spacing w:after="0"/>
              <w:rPr>
                <w:sz w:val="1"/>
                <w:szCs w:val="1"/>
                <w:color w:val="auto"/>
              </w:rPr>
            </w:pPr>
          </w:p>
        </w:tc>
      </w:tr>
      <w:tr>
        <w:trPr>
          <w:trHeight w:val="213"/>
        </w:trPr>
        <w:tc>
          <w:tcPr>
            <w:tcW w:w="5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Finished goods</w:t>
            </w:r>
          </w:p>
        </w:tc>
        <w:tc>
          <w:tcPr>
            <w:tcW w:w="27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215.2</w:t>
            </w: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211.5</w:t>
            </w:r>
          </w:p>
        </w:tc>
        <w:tc>
          <w:tcPr>
            <w:tcW w:w="0" w:type="dxa"/>
            <w:vAlign w:val="bottom"/>
          </w:tcPr>
          <w:p>
            <w:pPr>
              <w:spacing w:after="0"/>
              <w:rPr>
                <w:sz w:val="1"/>
                <w:szCs w:val="1"/>
                <w:color w:val="auto"/>
              </w:rPr>
            </w:pPr>
          </w:p>
        </w:tc>
      </w:tr>
      <w:tr>
        <w:trPr>
          <w:trHeight w:val="235"/>
        </w:trPr>
        <w:tc>
          <w:tcPr>
            <w:tcW w:w="54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inventories</w:t>
            </w:r>
          </w:p>
        </w:tc>
        <w:tc>
          <w:tcPr>
            <w:tcW w:w="27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645.9</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677.7</w:t>
            </w: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bottom w:val="single" w:sz="8" w:color="auto"/>
            </w:tcBorders>
          </w:tcPr>
          <w:p>
            <w:pPr>
              <w:spacing w:after="0" w:line="20" w:lineRule="exact"/>
              <w:rPr>
                <w:sz w:val="1"/>
                <w:szCs w:val="1"/>
                <w:color w:val="auto"/>
              </w:rPr>
            </w:pPr>
          </w:p>
        </w:tc>
        <w:tc>
          <w:tcPr>
            <w:tcW w:w="27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54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Other current assets</w:t>
            </w:r>
          </w:p>
        </w:tc>
        <w:tc>
          <w:tcPr>
            <w:tcW w:w="27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in excess of billings</w:t>
            </w:r>
          </w:p>
        </w:tc>
        <w:tc>
          <w:tcPr>
            <w:tcW w:w="27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53.5</w:t>
            </w:r>
          </w:p>
        </w:tc>
        <w:tc>
          <w:tcPr>
            <w:tcW w:w="2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70.8</w:t>
            </w:r>
          </w:p>
        </w:tc>
        <w:tc>
          <w:tcPr>
            <w:tcW w:w="0" w:type="dxa"/>
            <w:vAlign w:val="bottom"/>
          </w:tcPr>
          <w:p>
            <w:pPr>
              <w:spacing w:after="0"/>
              <w:rPr>
                <w:sz w:val="1"/>
                <w:szCs w:val="1"/>
                <w:color w:val="auto"/>
              </w:rPr>
            </w:pPr>
          </w:p>
        </w:tc>
      </w:tr>
      <w:tr>
        <w:trPr>
          <w:trHeight w:val="213"/>
        </w:trPr>
        <w:tc>
          <w:tcPr>
            <w:tcW w:w="5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Prepaid expenses</w:t>
            </w:r>
          </w:p>
        </w:tc>
        <w:tc>
          <w:tcPr>
            <w:tcW w:w="27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67.8</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55.2</w:t>
            </w:r>
          </w:p>
        </w:tc>
        <w:tc>
          <w:tcPr>
            <w:tcW w:w="0" w:type="dxa"/>
            <w:vAlign w:val="bottom"/>
          </w:tcPr>
          <w:p>
            <w:pPr>
              <w:spacing w:after="0"/>
              <w:rPr>
                <w:sz w:val="1"/>
                <w:szCs w:val="1"/>
                <w:color w:val="auto"/>
              </w:rPr>
            </w:pPr>
          </w:p>
        </w:tc>
      </w:tr>
      <w:tr>
        <w:trPr>
          <w:trHeight w:val="216"/>
        </w:trPr>
        <w:tc>
          <w:tcPr>
            <w:tcW w:w="54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current assets</w:t>
            </w:r>
          </w:p>
        </w:tc>
        <w:tc>
          <w:tcPr>
            <w:tcW w:w="27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2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w:t>
            </w:r>
          </w:p>
        </w:tc>
        <w:tc>
          <w:tcPr>
            <w:tcW w:w="0" w:type="dxa"/>
            <w:vAlign w:val="bottom"/>
          </w:tcPr>
          <w:p>
            <w:pPr>
              <w:spacing w:after="0"/>
              <w:rPr>
                <w:sz w:val="1"/>
                <w:szCs w:val="1"/>
                <w:color w:val="auto"/>
              </w:rPr>
            </w:pPr>
          </w:p>
        </w:tc>
      </w:tr>
      <w:tr>
        <w:trPr>
          <w:trHeight w:val="210"/>
        </w:trPr>
        <w:tc>
          <w:tcPr>
            <w:tcW w:w="5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other current assets</w:t>
            </w:r>
          </w:p>
        </w:tc>
        <w:tc>
          <w:tcPr>
            <w:tcW w:w="27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128.0</w:t>
            </w:r>
          </w:p>
        </w:tc>
        <w:tc>
          <w:tcPr>
            <w:tcW w:w="2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159.3</w:t>
            </w:r>
          </w:p>
        </w:tc>
        <w:tc>
          <w:tcPr>
            <w:tcW w:w="0" w:type="dxa"/>
            <w:vAlign w:val="bottom"/>
          </w:tcPr>
          <w:p>
            <w:pPr>
              <w:spacing w:after="0"/>
              <w:rPr>
                <w:sz w:val="1"/>
                <w:szCs w:val="1"/>
                <w:color w:val="auto"/>
              </w:rPr>
            </w:pPr>
          </w:p>
        </w:tc>
      </w:tr>
      <w:tr>
        <w:trPr>
          <w:trHeight w:val="20"/>
        </w:trPr>
        <w:tc>
          <w:tcPr>
            <w:tcW w:w="5440" w:type="dxa"/>
            <w:vAlign w:val="bottom"/>
            <w:tcBorders>
              <w:bottom w:val="single" w:sz="8" w:color="auto"/>
            </w:tcBorders>
          </w:tcPr>
          <w:p>
            <w:pPr>
              <w:spacing w:after="0" w:line="20" w:lineRule="exact"/>
              <w:rPr>
                <w:sz w:val="1"/>
                <w:szCs w:val="1"/>
                <w:color w:val="auto"/>
              </w:rPr>
            </w:pPr>
          </w:p>
        </w:tc>
        <w:tc>
          <w:tcPr>
            <w:tcW w:w="27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Property, plant and equipment, net</w:t>
            </w:r>
          </w:p>
        </w:tc>
        <w:tc>
          <w:tcPr>
            <w:tcW w:w="27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Land and land improvements</w:t>
            </w:r>
          </w:p>
        </w:tc>
        <w:tc>
          <w:tcPr>
            <w:tcW w:w="2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w:t>
            </w:r>
          </w:p>
        </w:tc>
        <w:tc>
          <w:tcPr>
            <w:tcW w:w="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w:t>
            </w:r>
          </w:p>
        </w:tc>
        <w:tc>
          <w:tcPr>
            <w:tcW w:w="0" w:type="dxa"/>
            <w:vAlign w:val="bottom"/>
          </w:tcPr>
          <w:p>
            <w:pPr>
              <w:spacing w:after="0"/>
              <w:rPr>
                <w:sz w:val="1"/>
                <w:szCs w:val="1"/>
                <w:color w:val="auto"/>
              </w:rPr>
            </w:pPr>
          </w:p>
        </w:tc>
      </w:tr>
      <w:tr>
        <w:trPr>
          <w:trHeight w:val="219"/>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Buildings and leasehold improvements</w:t>
            </w:r>
          </w:p>
        </w:tc>
        <w:tc>
          <w:tcPr>
            <w:tcW w:w="27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226.5</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225.5</w:t>
            </w:r>
          </w:p>
        </w:tc>
        <w:tc>
          <w:tcPr>
            <w:tcW w:w="0" w:type="dxa"/>
            <w:vAlign w:val="bottom"/>
          </w:tcPr>
          <w:p>
            <w:pPr>
              <w:spacing w:after="0"/>
              <w:rPr>
                <w:sz w:val="1"/>
                <w:szCs w:val="1"/>
                <w:color w:val="auto"/>
              </w:rPr>
            </w:pPr>
          </w:p>
        </w:tc>
      </w:tr>
      <w:tr>
        <w:trPr>
          <w:trHeight w:val="213"/>
        </w:trPr>
        <w:tc>
          <w:tcPr>
            <w:tcW w:w="5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Machinery and equipment</w:t>
            </w:r>
          </w:p>
        </w:tc>
        <w:tc>
          <w:tcPr>
            <w:tcW w:w="27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697.0</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669.9</w:t>
            </w:r>
          </w:p>
        </w:tc>
        <w:tc>
          <w:tcPr>
            <w:tcW w:w="0" w:type="dxa"/>
            <w:vAlign w:val="bottom"/>
          </w:tcPr>
          <w:p>
            <w:pPr>
              <w:spacing w:after="0"/>
              <w:rPr>
                <w:sz w:val="1"/>
                <w:szCs w:val="1"/>
                <w:color w:val="auto"/>
              </w:rPr>
            </w:pPr>
          </w:p>
        </w:tc>
      </w:tr>
      <w:tr>
        <w:trPr>
          <w:trHeight w:val="219"/>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Capitalized software</w:t>
            </w:r>
          </w:p>
        </w:tc>
        <w:tc>
          <w:tcPr>
            <w:tcW w:w="27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92.4</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70.5</w:t>
            </w:r>
          </w:p>
        </w:tc>
        <w:tc>
          <w:tcPr>
            <w:tcW w:w="0" w:type="dxa"/>
            <w:vAlign w:val="bottom"/>
          </w:tcPr>
          <w:p>
            <w:pPr>
              <w:spacing w:after="0"/>
              <w:rPr>
                <w:sz w:val="1"/>
                <w:szCs w:val="1"/>
                <w:color w:val="auto"/>
              </w:rPr>
            </w:pPr>
          </w:p>
        </w:tc>
      </w:tr>
      <w:tr>
        <w:trPr>
          <w:trHeight w:val="213"/>
        </w:trPr>
        <w:tc>
          <w:tcPr>
            <w:tcW w:w="5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Construction in progress</w:t>
            </w:r>
          </w:p>
        </w:tc>
        <w:tc>
          <w:tcPr>
            <w:tcW w:w="27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40.5</w:t>
            </w: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55.8</w:t>
            </w:r>
          </w:p>
        </w:tc>
        <w:tc>
          <w:tcPr>
            <w:tcW w:w="0" w:type="dxa"/>
            <w:vAlign w:val="bottom"/>
          </w:tcPr>
          <w:p>
            <w:pPr>
              <w:spacing w:after="0"/>
              <w:rPr>
                <w:sz w:val="1"/>
                <w:szCs w:val="1"/>
                <w:color w:val="auto"/>
              </w:rPr>
            </w:pPr>
          </w:p>
        </w:tc>
      </w:tr>
      <w:tr>
        <w:trPr>
          <w:trHeight w:val="212"/>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property, plant and equipment</w:t>
            </w:r>
          </w:p>
        </w:tc>
        <w:tc>
          <w:tcPr>
            <w:tcW w:w="27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1,088.9</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1,054.0</w:t>
            </w:r>
          </w:p>
        </w:tc>
        <w:tc>
          <w:tcPr>
            <w:tcW w:w="0" w:type="dxa"/>
            <w:vAlign w:val="bottom"/>
          </w:tcPr>
          <w:p>
            <w:pPr>
              <w:spacing w:after="0"/>
              <w:rPr>
                <w:sz w:val="1"/>
                <w:szCs w:val="1"/>
                <w:color w:val="auto"/>
              </w:rPr>
            </w:pPr>
          </w:p>
        </w:tc>
      </w:tr>
      <w:tr>
        <w:trPr>
          <w:trHeight w:val="213"/>
        </w:trPr>
        <w:tc>
          <w:tcPr>
            <w:tcW w:w="5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Accumulated depreciation and amortization</w:t>
            </w:r>
          </w:p>
        </w:tc>
        <w:tc>
          <w:tcPr>
            <w:tcW w:w="27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730.4</w:t>
            </w: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692.0</w:t>
            </w:r>
          </w:p>
        </w:tc>
        <w:tc>
          <w:tcPr>
            <w:tcW w:w="0" w:type="dxa"/>
            <w:vAlign w:val="bottom"/>
          </w:tcPr>
          <w:p>
            <w:pPr>
              <w:spacing w:after="0"/>
              <w:rPr>
                <w:sz w:val="1"/>
                <w:szCs w:val="1"/>
                <w:color w:val="auto"/>
              </w:rPr>
            </w:pPr>
          </w:p>
        </w:tc>
      </w:tr>
      <w:tr>
        <w:trPr>
          <w:trHeight w:val="234"/>
        </w:trPr>
        <w:tc>
          <w:tcPr>
            <w:tcW w:w="54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property, plant and equipment, net</w:t>
            </w:r>
          </w:p>
        </w:tc>
        <w:tc>
          <w:tcPr>
            <w:tcW w:w="27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358.5</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362.0</w:t>
            </w: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bottom w:val="single" w:sz="8" w:color="auto"/>
            </w:tcBorders>
          </w:tcPr>
          <w:p>
            <w:pPr>
              <w:spacing w:after="0" w:line="20" w:lineRule="exact"/>
              <w:rPr>
                <w:sz w:val="1"/>
                <w:szCs w:val="1"/>
                <w:color w:val="auto"/>
              </w:rPr>
            </w:pPr>
          </w:p>
        </w:tc>
        <w:tc>
          <w:tcPr>
            <w:tcW w:w="27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54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Other non-current assets</w:t>
            </w:r>
          </w:p>
        </w:tc>
        <w:tc>
          <w:tcPr>
            <w:tcW w:w="27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Right-of-use lease assets</w:t>
            </w:r>
          </w:p>
        </w:tc>
        <w:tc>
          <w:tcPr>
            <w:tcW w:w="27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108.0</w:t>
            </w:r>
          </w:p>
        </w:tc>
        <w:tc>
          <w:tcPr>
            <w:tcW w:w="2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102.0</w:t>
            </w:r>
          </w:p>
        </w:tc>
        <w:tc>
          <w:tcPr>
            <w:tcW w:w="0" w:type="dxa"/>
            <w:vAlign w:val="bottom"/>
          </w:tcPr>
          <w:p>
            <w:pPr>
              <w:spacing w:after="0"/>
              <w:rPr>
                <w:sz w:val="1"/>
                <w:szCs w:val="1"/>
                <w:color w:val="auto"/>
              </w:rPr>
            </w:pPr>
          </w:p>
        </w:tc>
      </w:tr>
      <w:tr>
        <w:trPr>
          <w:trHeight w:val="213"/>
        </w:trPr>
        <w:tc>
          <w:tcPr>
            <w:tcW w:w="5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income taxes</w:t>
            </w:r>
          </w:p>
        </w:tc>
        <w:tc>
          <w:tcPr>
            <w:tcW w:w="27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135.4</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113.2</w:t>
            </w:r>
          </w:p>
        </w:tc>
        <w:tc>
          <w:tcPr>
            <w:tcW w:w="0" w:type="dxa"/>
            <w:vAlign w:val="bottom"/>
          </w:tcPr>
          <w:p>
            <w:pPr>
              <w:spacing w:after="0"/>
              <w:rPr>
                <w:sz w:val="1"/>
                <w:szCs w:val="1"/>
                <w:color w:val="auto"/>
              </w:rPr>
            </w:pPr>
          </w:p>
        </w:tc>
      </w:tr>
      <w:tr>
        <w:trPr>
          <w:trHeight w:val="219"/>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compensation plan assets</w:t>
            </w:r>
          </w:p>
        </w:tc>
        <w:tc>
          <w:tcPr>
            <w:tcW w:w="27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w:t>
            </w:r>
          </w:p>
        </w:tc>
        <w:tc>
          <w:tcPr>
            <w:tcW w:w="0" w:type="dxa"/>
            <w:vAlign w:val="bottom"/>
          </w:tcPr>
          <w:p>
            <w:pPr>
              <w:spacing w:after="0"/>
              <w:rPr>
                <w:sz w:val="1"/>
                <w:szCs w:val="1"/>
                <w:color w:val="auto"/>
              </w:rPr>
            </w:pPr>
          </w:p>
        </w:tc>
      </w:tr>
      <w:tr>
        <w:trPr>
          <w:trHeight w:val="213"/>
        </w:trPr>
        <w:tc>
          <w:tcPr>
            <w:tcW w:w="5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Other non-current assets</w:t>
            </w:r>
          </w:p>
        </w:tc>
        <w:tc>
          <w:tcPr>
            <w:tcW w:w="27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68.8</w:t>
            </w: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74.0</w:t>
            </w:r>
          </w:p>
        </w:tc>
        <w:tc>
          <w:tcPr>
            <w:tcW w:w="0" w:type="dxa"/>
            <w:vAlign w:val="bottom"/>
          </w:tcPr>
          <w:p>
            <w:pPr>
              <w:spacing w:after="0"/>
              <w:rPr>
                <w:sz w:val="1"/>
                <w:szCs w:val="1"/>
                <w:color w:val="auto"/>
              </w:rPr>
            </w:pPr>
          </w:p>
        </w:tc>
      </w:tr>
      <w:tr>
        <w:trPr>
          <w:trHeight w:val="235"/>
        </w:trPr>
        <w:tc>
          <w:tcPr>
            <w:tcW w:w="54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other non-current assets</w:t>
            </w:r>
          </w:p>
        </w:tc>
        <w:tc>
          <w:tcPr>
            <w:tcW w:w="27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341.4</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315.3</w:t>
            </w: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bottom w:val="single" w:sz="8" w:color="auto"/>
            </w:tcBorders>
          </w:tcPr>
          <w:p>
            <w:pPr>
              <w:spacing w:after="0" w:line="20" w:lineRule="exact"/>
              <w:rPr>
                <w:sz w:val="1"/>
                <w:szCs w:val="1"/>
                <w:color w:val="auto"/>
              </w:rPr>
            </w:pPr>
          </w:p>
        </w:tc>
        <w:tc>
          <w:tcPr>
            <w:tcW w:w="27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54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Other current liabilities</w:t>
            </w:r>
          </w:p>
        </w:tc>
        <w:tc>
          <w:tcPr>
            <w:tcW w:w="27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Dividends payable</w:t>
            </w:r>
          </w:p>
        </w:tc>
        <w:tc>
          <w:tcPr>
            <w:tcW w:w="27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w:t>
            </w:r>
          </w:p>
        </w:tc>
        <w:tc>
          <w:tcPr>
            <w:tcW w:w="2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w:t>
            </w:r>
          </w:p>
        </w:tc>
        <w:tc>
          <w:tcPr>
            <w:tcW w:w="0" w:type="dxa"/>
            <w:vAlign w:val="bottom"/>
          </w:tcPr>
          <w:p>
            <w:pPr>
              <w:spacing w:after="0"/>
              <w:rPr>
                <w:sz w:val="1"/>
                <w:szCs w:val="1"/>
                <w:color w:val="auto"/>
              </w:rPr>
            </w:pPr>
          </w:p>
        </w:tc>
      </w:tr>
      <w:tr>
        <w:trPr>
          <w:trHeight w:val="213"/>
        </w:trPr>
        <w:tc>
          <w:tcPr>
            <w:tcW w:w="5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Accrued warranty</w:t>
            </w:r>
          </w:p>
        </w:tc>
        <w:tc>
          <w:tcPr>
            <w:tcW w:w="27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68.2</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65.0</w:t>
            </w:r>
          </w:p>
        </w:tc>
        <w:tc>
          <w:tcPr>
            <w:tcW w:w="0" w:type="dxa"/>
            <w:vAlign w:val="bottom"/>
          </w:tcPr>
          <w:p>
            <w:pPr>
              <w:spacing w:after="0"/>
              <w:rPr>
                <w:sz w:val="1"/>
                <w:szCs w:val="1"/>
                <w:color w:val="auto"/>
              </w:rPr>
            </w:pPr>
          </w:p>
        </w:tc>
      </w:tr>
      <w:tr>
        <w:trPr>
          <w:trHeight w:val="219"/>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rebates and incentives</w:t>
            </w:r>
          </w:p>
        </w:tc>
        <w:tc>
          <w:tcPr>
            <w:tcW w:w="27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196.7</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181.8</w:t>
            </w:r>
          </w:p>
        </w:tc>
        <w:tc>
          <w:tcPr>
            <w:tcW w:w="0" w:type="dxa"/>
            <w:vAlign w:val="bottom"/>
          </w:tcPr>
          <w:p>
            <w:pPr>
              <w:spacing w:after="0"/>
              <w:rPr>
                <w:sz w:val="1"/>
                <w:szCs w:val="1"/>
                <w:color w:val="auto"/>
              </w:rPr>
            </w:pPr>
          </w:p>
        </w:tc>
      </w:tr>
      <w:tr>
        <w:trPr>
          <w:trHeight w:val="213"/>
        </w:trPr>
        <w:tc>
          <w:tcPr>
            <w:tcW w:w="5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Accrued freight</w:t>
            </w:r>
          </w:p>
        </w:tc>
        <w:tc>
          <w:tcPr>
            <w:tcW w:w="27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w:t>
            </w:r>
          </w:p>
        </w:tc>
        <w:tc>
          <w:tcPr>
            <w:tcW w:w="0" w:type="dxa"/>
            <w:vAlign w:val="bottom"/>
          </w:tcPr>
          <w:p>
            <w:pPr>
              <w:spacing w:after="0"/>
              <w:rPr>
                <w:sz w:val="1"/>
                <w:szCs w:val="1"/>
                <w:color w:val="auto"/>
              </w:rPr>
            </w:pPr>
          </w:p>
        </w:tc>
      </w:tr>
      <w:tr>
        <w:trPr>
          <w:trHeight w:val="219"/>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Billings in excess of cost</w:t>
            </w:r>
          </w:p>
        </w:tc>
        <w:tc>
          <w:tcPr>
            <w:tcW w:w="27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46.9</w:t>
            </w:r>
          </w:p>
        </w:tc>
        <w:tc>
          <w:tcPr>
            <w:tcW w:w="0" w:type="dxa"/>
            <w:vAlign w:val="bottom"/>
          </w:tcPr>
          <w:p>
            <w:pPr>
              <w:spacing w:after="0"/>
              <w:rPr>
                <w:sz w:val="1"/>
                <w:szCs w:val="1"/>
                <w:color w:val="auto"/>
              </w:rPr>
            </w:pPr>
          </w:p>
        </w:tc>
      </w:tr>
      <w:tr>
        <w:trPr>
          <w:trHeight w:val="213"/>
        </w:trPr>
        <w:tc>
          <w:tcPr>
            <w:tcW w:w="5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lease liability</w:t>
            </w:r>
          </w:p>
        </w:tc>
        <w:tc>
          <w:tcPr>
            <w:tcW w:w="27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w:t>
            </w:r>
          </w:p>
        </w:tc>
        <w:tc>
          <w:tcPr>
            <w:tcW w:w="0" w:type="dxa"/>
            <w:vAlign w:val="bottom"/>
          </w:tcPr>
          <w:p>
            <w:pPr>
              <w:spacing w:after="0"/>
              <w:rPr>
                <w:sz w:val="1"/>
                <w:szCs w:val="1"/>
                <w:color w:val="auto"/>
              </w:rPr>
            </w:pPr>
          </w:p>
        </w:tc>
      </w:tr>
      <w:tr>
        <w:trPr>
          <w:trHeight w:val="219"/>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taxes payable</w:t>
            </w:r>
          </w:p>
        </w:tc>
        <w:tc>
          <w:tcPr>
            <w:tcW w:w="27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w:t>
            </w:r>
          </w:p>
        </w:tc>
        <w:tc>
          <w:tcPr>
            <w:tcW w:w="0" w:type="dxa"/>
            <w:vAlign w:val="bottom"/>
          </w:tcPr>
          <w:p>
            <w:pPr>
              <w:spacing w:after="0"/>
              <w:rPr>
                <w:sz w:val="1"/>
                <w:szCs w:val="1"/>
                <w:color w:val="auto"/>
              </w:rPr>
            </w:pPr>
          </w:p>
        </w:tc>
      </w:tr>
      <w:tr>
        <w:trPr>
          <w:trHeight w:val="213"/>
        </w:trPr>
        <w:tc>
          <w:tcPr>
            <w:tcW w:w="5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Accrued restructuring</w:t>
            </w:r>
          </w:p>
        </w:tc>
        <w:tc>
          <w:tcPr>
            <w:tcW w:w="27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0" w:type="dxa"/>
            <w:vAlign w:val="bottom"/>
          </w:tcPr>
          <w:p>
            <w:pPr>
              <w:spacing w:after="0"/>
              <w:rPr>
                <w:sz w:val="1"/>
                <w:szCs w:val="1"/>
                <w:color w:val="auto"/>
              </w:rPr>
            </w:pPr>
          </w:p>
        </w:tc>
      </w:tr>
      <w:tr>
        <w:trPr>
          <w:trHeight w:val="219"/>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payable</w:t>
            </w:r>
          </w:p>
        </w:tc>
        <w:tc>
          <w:tcPr>
            <w:tcW w:w="27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w:t>
            </w:r>
          </w:p>
        </w:tc>
        <w:tc>
          <w:tcPr>
            <w:tcW w:w="0" w:type="dxa"/>
            <w:vAlign w:val="bottom"/>
          </w:tcPr>
          <w:p>
            <w:pPr>
              <w:spacing w:after="0"/>
              <w:rPr>
                <w:sz w:val="1"/>
                <w:szCs w:val="1"/>
                <w:color w:val="auto"/>
              </w:rPr>
            </w:pPr>
          </w:p>
        </w:tc>
      </w:tr>
      <w:tr>
        <w:trPr>
          <w:trHeight w:val="213"/>
        </w:trPr>
        <w:tc>
          <w:tcPr>
            <w:tcW w:w="5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27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89.2</w:t>
            </w: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103.2</w:t>
            </w:r>
          </w:p>
        </w:tc>
        <w:tc>
          <w:tcPr>
            <w:tcW w:w="0" w:type="dxa"/>
            <w:vAlign w:val="bottom"/>
          </w:tcPr>
          <w:p>
            <w:pPr>
              <w:spacing w:after="0"/>
              <w:rPr>
                <w:sz w:val="1"/>
                <w:szCs w:val="1"/>
                <w:color w:val="auto"/>
              </w:rPr>
            </w:pPr>
          </w:p>
        </w:tc>
      </w:tr>
      <w:tr>
        <w:trPr>
          <w:trHeight w:val="235"/>
        </w:trPr>
        <w:tc>
          <w:tcPr>
            <w:tcW w:w="54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other current liabilities</w:t>
            </w:r>
          </w:p>
        </w:tc>
        <w:tc>
          <w:tcPr>
            <w:tcW w:w="27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525.7</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545.3</w:t>
            </w: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bottom w:val="single" w:sz="8" w:color="auto"/>
            </w:tcBorders>
          </w:tcPr>
          <w:p>
            <w:pPr>
              <w:spacing w:after="0" w:line="20" w:lineRule="exact"/>
              <w:rPr>
                <w:sz w:val="1"/>
                <w:szCs w:val="1"/>
                <w:color w:val="auto"/>
              </w:rPr>
            </w:pPr>
          </w:p>
        </w:tc>
        <w:tc>
          <w:tcPr>
            <w:tcW w:w="27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54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Other non-current liabilities</w:t>
            </w:r>
          </w:p>
        </w:tc>
        <w:tc>
          <w:tcPr>
            <w:tcW w:w="27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lease liability</w:t>
            </w:r>
          </w:p>
        </w:tc>
        <w:tc>
          <w:tcPr>
            <w:tcW w:w="27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87.2</w:t>
            </w:r>
          </w:p>
        </w:tc>
        <w:tc>
          <w:tcPr>
            <w:tcW w:w="2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79.1</w:t>
            </w:r>
          </w:p>
        </w:tc>
        <w:tc>
          <w:tcPr>
            <w:tcW w:w="0" w:type="dxa"/>
            <w:vAlign w:val="bottom"/>
          </w:tcPr>
          <w:p>
            <w:pPr>
              <w:spacing w:after="0"/>
              <w:rPr>
                <w:sz w:val="1"/>
                <w:szCs w:val="1"/>
                <w:color w:val="auto"/>
              </w:rPr>
            </w:pPr>
          </w:p>
        </w:tc>
      </w:tr>
      <w:tr>
        <w:trPr>
          <w:trHeight w:val="213"/>
        </w:trPr>
        <w:tc>
          <w:tcPr>
            <w:tcW w:w="5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taxes payable</w:t>
            </w:r>
          </w:p>
        </w:tc>
        <w:tc>
          <w:tcPr>
            <w:tcW w:w="27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w:t>
            </w:r>
          </w:p>
        </w:tc>
        <w:tc>
          <w:tcPr>
            <w:tcW w:w="0" w:type="dxa"/>
            <w:vAlign w:val="bottom"/>
          </w:tcPr>
          <w:p>
            <w:pPr>
              <w:spacing w:after="0"/>
              <w:rPr>
                <w:sz w:val="1"/>
                <w:szCs w:val="1"/>
                <w:color w:val="auto"/>
              </w:rPr>
            </w:pPr>
          </w:p>
        </w:tc>
      </w:tr>
      <w:tr>
        <w:trPr>
          <w:trHeight w:val="219"/>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Self-insurance liabilities</w:t>
            </w:r>
          </w:p>
        </w:tc>
        <w:tc>
          <w:tcPr>
            <w:tcW w:w="27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53.3</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51.9</w:t>
            </w:r>
          </w:p>
        </w:tc>
        <w:tc>
          <w:tcPr>
            <w:tcW w:w="0" w:type="dxa"/>
            <w:vAlign w:val="bottom"/>
          </w:tcPr>
          <w:p>
            <w:pPr>
              <w:spacing w:after="0"/>
              <w:rPr>
                <w:sz w:val="1"/>
                <w:szCs w:val="1"/>
                <w:color w:val="auto"/>
              </w:rPr>
            </w:pPr>
          </w:p>
        </w:tc>
      </w:tr>
      <w:tr>
        <w:trPr>
          <w:trHeight w:val="213"/>
        </w:trPr>
        <w:tc>
          <w:tcPr>
            <w:tcW w:w="5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compensation plan liabilities</w:t>
            </w:r>
          </w:p>
        </w:tc>
        <w:tc>
          <w:tcPr>
            <w:tcW w:w="27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w:t>
            </w:r>
          </w:p>
        </w:tc>
        <w:tc>
          <w:tcPr>
            <w:tcW w:w="0" w:type="dxa"/>
            <w:vAlign w:val="bottom"/>
          </w:tcPr>
          <w:p>
            <w:pPr>
              <w:spacing w:after="0"/>
              <w:rPr>
                <w:sz w:val="1"/>
                <w:szCs w:val="1"/>
                <w:color w:val="auto"/>
              </w:rPr>
            </w:pPr>
          </w:p>
        </w:tc>
      </w:tr>
      <w:tr>
        <w:trPr>
          <w:trHeight w:val="219"/>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currency contract liabilities</w:t>
            </w:r>
          </w:p>
        </w:tc>
        <w:tc>
          <w:tcPr>
            <w:tcW w:w="27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60.7</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w:t>
            </w:r>
          </w:p>
        </w:tc>
        <w:tc>
          <w:tcPr>
            <w:tcW w:w="0" w:type="dxa"/>
            <w:vAlign w:val="bottom"/>
          </w:tcPr>
          <w:p>
            <w:pPr>
              <w:spacing w:after="0"/>
              <w:rPr>
                <w:sz w:val="1"/>
                <w:szCs w:val="1"/>
                <w:color w:val="auto"/>
              </w:rPr>
            </w:pPr>
          </w:p>
        </w:tc>
      </w:tr>
      <w:tr>
        <w:trPr>
          <w:trHeight w:val="213"/>
        </w:trPr>
        <w:tc>
          <w:tcPr>
            <w:tcW w:w="5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27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39.4</w:t>
            </w: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32.0</w:t>
            </w:r>
          </w:p>
        </w:tc>
        <w:tc>
          <w:tcPr>
            <w:tcW w:w="0" w:type="dxa"/>
            <w:vAlign w:val="bottom"/>
          </w:tcPr>
          <w:p>
            <w:pPr>
              <w:spacing w:after="0"/>
              <w:rPr>
                <w:sz w:val="1"/>
                <w:szCs w:val="1"/>
                <w:color w:val="auto"/>
              </w:rPr>
            </w:pPr>
          </w:p>
        </w:tc>
      </w:tr>
      <w:tr>
        <w:trPr>
          <w:trHeight w:val="235"/>
        </w:trPr>
        <w:tc>
          <w:tcPr>
            <w:tcW w:w="54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other non-current liabilities</w:t>
            </w:r>
          </w:p>
        </w:tc>
        <w:tc>
          <w:tcPr>
            <w:tcW w:w="27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305.4</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294.7</w:t>
            </w: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bottom w:val="single" w:sz="8" w:color="auto"/>
            </w:tcBorders>
          </w:tcPr>
          <w:p>
            <w:pPr>
              <w:spacing w:after="0" w:line="20" w:lineRule="exact"/>
              <w:rPr>
                <w:sz w:val="1"/>
                <w:szCs w:val="1"/>
                <w:color w:val="auto"/>
              </w:rPr>
            </w:pPr>
          </w:p>
        </w:tc>
        <w:tc>
          <w:tcPr>
            <w:tcW w:w="27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Pentair plc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8.</w:t>
        <w:tab/>
        <w:t>Goodwill and Other Identifiable Intangible Assets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the carrying amount of goodwill by reportable segment were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720" w:type="dxa"/>
            <w:vAlign w:val="bottom"/>
          </w:tcPr>
          <w:p>
            <w:pPr>
              <w:spacing w:after="0"/>
              <w:rPr>
                <w:sz w:val="17"/>
                <w:szCs w:val="17"/>
                <w:color w:val="auto"/>
              </w:rPr>
            </w:pPr>
          </w:p>
        </w:tc>
        <w:tc>
          <w:tcPr>
            <w:tcW w:w="15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40" w:type="dxa"/>
            <w:vAlign w:val="bottom"/>
          </w:tcPr>
          <w:p>
            <w:pPr>
              <w:spacing w:after="0"/>
              <w:rPr>
                <w:sz w:val="17"/>
                <w:szCs w:val="17"/>
                <w:color w:val="auto"/>
              </w:rPr>
            </w:pP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Foreign Currency</w:t>
            </w:r>
          </w:p>
        </w:tc>
        <w:tc>
          <w:tcPr>
            <w:tcW w:w="220" w:type="dxa"/>
            <w:vAlign w:val="bottom"/>
          </w:tcPr>
          <w:p>
            <w:pPr>
              <w:spacing w:after="0"/>
              <w:rPr>
                <w:sz w:val="17"/>
                <w:szCs w:val="17"/>
                <w:color w:val="auto"/>
              </w:rPr>
            </w:pPr>
          </w:p>
        </w:tc>
        <w:tc>
          <w:tcPr>
            <w:tcW w:w="14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38"/>
        </w:trPr>
        <w:tc>
          <w:tcPr>
            <w:tcW w:w="3680" w:type="dxa"/>
            <w:vAlign w:val="bottom"/>
            <w:tcBorders>
              <w:bottom w:val="single" w:sz="8" w:color="auto"/>
            </w:tcBorders>
            <w:vMerge w:val="continue"/>
          </w:tcPr>
          <w:p>
            <w:pPr>
              <w:spacing w:after="0"/>
              <w:rPr>
                <w:sz w:val="20"/>
                <w:szCs w:val="20"/>
                <w:color w:val="auto"/>
              </w:rPr>
            </w:pPr>
          </w:p>
        </w:tc>
        <w:tc>
          <w:tcPr>
            <w:tcW w:w="27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Translation</w:t>
            </w:r>
          </w:p>
        </w:tc>
        <w:tc>
          <w:tcPr>
            <w:tcW w:w="2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23"/>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Flow</w:t>
            </w:r>
          </w:p>
        </w:tc>
        <w:tc>
          <w:tcPr>
            <w:tcW w:w="27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772.2</w:t>
            </w:r>
          </w:p>
        </w:tc>
        <w:tc>
          <w:tcPr>
            <w:tcW w:w="0" w:type="dxa"/>
            <w:vAlign w:val="bottom"/>
          </w:tcPr>
          <w:p>
            <w:pPr>
              <w:spacing w:after="0"/>
              <w:rPr>
                <w:sz w:val="1"/>
                <w:szCs w:val="1"/>
                <w:color w:val="auto"/>
              </w:rPr>
            </w:pPr>
          </w:p>
        </w:tc>
      </w:tr>
      <w:tr>
        <w:trPr>
          <w:trHeight w:val="229"/>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Water Solutions</w:t>
            </w:r>
          </w:p>
        </w:tc>
        <w:tc>
          <w:tcPr>
            <w:tcW w:w="27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1,400.6</w:t>
            </w: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1,401.7</w:t>
            </w:r>
          </w:p>
        </w:tc>
        <w:tc>
          <w:tcPr>
            <w:tcW w:w="0" w:type="dxa"/>
            <w:vAlign w:val="bottom"/>
          </w:tcPr>
          <w:p>
            <w:pPr>
              <w:spacing w:after="0"/>
              <w:rPr>
                <w:sz w:val="1"/>
                <w:szCs w:val="1"/>
                <w:color w:val="auto"/>
              </w:rPr>
            </w:pPr>
          </w:p>
        </w:tc>
      </w:tr>
      <w:tr>
        <w:trPr>
          <w:trHeight w:val="230"/>
        </w:trPr>
        <w:tc>
          <w:tcPr>
            <w:tcW w:w="36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Pool</w:t>
            </w:r>
          </w:p>
        </w:tc>
        <w:tc>
          <w:tcPr>
            <w:tcW w:w="27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1,106.9</w:t>
            </w:r>
          </w:p>
        </w:tc>
        <w:tc>
          <w:tcPr>
            <w:tcW w:w="1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1,106.9</w:t>
            </w:r>
          </w:p>
        </w:tc>
        <w:tc>
          <w:tcPr>
            <w:tcW w:w="0" w:type="dxa"/>
            <w:vAlign w:val="bottom"/>
          </w:tcPr>
          <w:p>
            <w:pPr>
              <w:spacing w:after="0"/>
              <w:rPr>
                <w:sz w:val="1"/>
                <w:szCs w:val="1"/>
                <w:color w:val="auto"/>
              </w:rPr>
            </w:pPr>
          </w:p>
        </w:tc>
      </w:tr>
      <w:tr>
        <w:trPr>
          <w:trHeight w:val="223"/>
        </w:trPr>
        <w:tc>
          <w:tcPr>
            <w:tcW w:w="3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goodwill</w:t>
            </w:r>
          </w:p>
        </w:tc>
        <w:tc>
          <w:tcPr>
            <w:tcW w:w="27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3,274.6</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3,280.8</w:t>
            </w:r>
          </w:p>
        </w:tc>
        <w:tc>
          <w:tcPr>
            <w:tcW w:w="0" w:type="dxa"/>
            <w:vAlign w:val="bottom"/>
          </w:tcPr>
          <w:p>
            <w:pPr>
              <w:spacing w:after="0"/>
              <w:rPr>
                <w:sz w:val="1"/>
                <w:szCs w:val="1"/>
                <w:color w:val="auto"/>
              </w:rPr>
            </w:pPr>
          </w:p>
        </w:tc>
      </w:tr>
      <w:tr>
        <w:trPr>
          <w:trHeight w:val="21"/>
        </w:trPr>
        <w:tc>
          <w:tcPr>
            <w:tcW w:w="3680" w:type="dxa"/>
            <w:vAlign w:val="bottom"/>
            <w:tcBorders>
              <w:bottom w:val="single" w:sz="8" w:color="auto"/>
            </w:tcBorders>
          </w:tcPr>
          <w:p>
            <w:pPr>
              <w:spacing w:after="0" w:line="20" w:lineRule="exact"/>
              <w:rPr>
                <w:sz w:val="1"/>
                <w:szCs w:val="1"/>
                <w:color w:val="auto"/>
              </w:rPr>
            </w:pPr>
          </w:p>
        </w:tc>
        <w:tc>
          <w:tcPr>
            <w:tcW w:w="27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Identifiable intangible assets consisted of the following:</w:t>
            </w: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31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3"/>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9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3"/>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300" w:type="dxa"/>
            <w:vAlign w:val="bottom"/>
          </w:tcPr>
          <w:p>
            <w:pPr>
              <w:spacing w:after="0"/>
              <w:rPr>
                <w:sz w:val="14"/>
                <w:szCs w:val="14"/>
                <w:color w:val="auto"/>
              </w:rPr>
            </w:pPr>
          </w:p>
        </w:tc>
        <w:tc>
          <w:tcPr>
            <w:tcW w:w="94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00" w:type="dxa"/>
            <w:vAlign w:val="bottom"/>
          </w:tcPr>
          <w:p>
            <w:pPr>
              <w:spacing w:after="0"/>
              <w:rPr>
                <w:sz w:val="14"/>
                <w:szCs w:val="14"/>
                <w:color w:val="auto"/>
              </w:rPr>
            </w:pPr>
          </w:p>
        </w:tc>
        <w:tc>
          <w:tcPr>
            <w:tcW w:w="1240" w:type="dxa"/>
            <w:vAlign w:val="bottom"/>
          </w:tcPr>
          <w:p>
            <w:pPr>
              <w:jc w:val="center"/>
              <w:ind w:right="50"/>
              <w:spacing w:after="0" w:line="169"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320" w:type="dxa"/>
            <w:vAlign w:val="bottom"/>
          </w:tcPr>
          <w:p>
            <w:pPr>
              <w:spacing w:after="0"/>
              <w:rPr>
                <w:sz w:val="14"/>
                <w:szCs w:val="14"/>
                <w:color w:val="auto"/>
              </w:rPr>
            </w:pPr>
          </w:p>
        </w:tc>
        <w:tc>
          <w:tcPr>
            <w:tcW w:w="11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Net</w:t>
            </w:r>
          </w:p>
        </w:tc>
        <w:tc>
          <w:tcPr>
            <w:tcW w:w="280" w:type="dxa"/>
            <w:vAlign w:val="bottom"/>
          </w:tcPr>
          <w:p>
            <w:pPr>
              <w:spacing w:after="0"/>
              <w:rPr>
                <w:sz w:val="14"/>
                <w:szCs w:val="14"/>
                <w:color w:val="auto"/>
              </w:rPr>
            </w:pPr>
          </w:p>
        </w:tc>
        <w:tc>
          <w:tcPr>
            <w:tcW w:w="960" w:type="dxa"/>
            <w:vAlign w:val="bottom"/>
            <w:vMerge w:val="restart"/>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00" w:type="dxa"/>
            <w:vAlign w:val="bottom"/>
          </w:tcPr>
          <w:p>
            <w:pPr>
              <w:spacing w:after="0"/>
              <w:rPr>
                <w:sz w:val="14"/>
                <w:szCs w:val="14"/>
                <w:color w:val="auto"/>
              </w:rPr>
            </w:pPr>
          </w:p>
        </w:tc>
        <w:tc>
          <w:tcPr>
            <w:tcW w:w="1240" w:type="dxa"/>
            <w:vAlign w:val="bottom"/>
          </w:tcPr>
          <w:p>
            <w:pPr>
              <w:jc w:val="center"/>
              <w:ind w:right="50"/>
              <w:spacing w:after="0" w:line="169"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320" w:type="dxa"/>
            <w:vAlign w:val="bottom"/>
          </w:tcPr>
          <w:p>
            <w:pPr>
              <w:spacing w:after="0"/>
              <w:rPr>
                <w:sz w:val="14"/>
                <w:szCs w:val="14"/>
                <w:color w:val="auto"/>
              </w:rPr>
            </w:pPr>
          </w:p>
        </w:tc>
        <w:tc>
          <w:tcPr>
            <w:tcW w:w="980" w:type="dxa"/>
            <w:vAlign w:val="bottom"/>
            <w:vMerge w:val="restart"/>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Net</w:t>
            </w:r>
          </w:p>
        </w:tc>
        <w:tc>
          <w:tcPr>
            <w:tcW w:w="0" w:type="dxa"/>
            <w:vAlign w:val="bottom"/>
          </w:tcPr>
          <w:p>
            <w:pPr>
              <w:spacing w:after="0"/>
              <w:rPr>
                <w:sz w:val="1"/>
                <w:szCs w:val="1"/>
                <w:color w:val="auto"/>
              </w:rPr>
            </w:pPr>
          </w:p>
        </w:tc>
      </w:tr>
      <w:tr>
        <w:trPr>
          <w:trHeight w:val="243"/>
        </w:trPr>
        <w:tc>
          <w:tcPr>
            <w:tcW w:w="3160" w:type="dxa"/>
            <w:vAlign w:val="bottom"/>
            <w:tcBorders>
              <w:bottom w:val="single" w:sz="8" w:color="auto"/>
            </w:tcBorders>
            <w:vMerge w:val="continue"/>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vMerge w:val="continue"/>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gridSpan w:val="2"/>
            <w:vMerge w:val="continue"/>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vMerge w:val="continue"/>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amortization</w:t>
            </w:r>
          </w:p>
        </w:tc>
        <w:tc>
          <w:tcPr>
            <w:tcW w:w="3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Definite-life intangibles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1,108.1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(399.6)</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708.5</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1,106.2</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(361.8)</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744.4</w:t>
            </w:r>
          </w:p>
        </w:tc>
        <w:tc>
          <w:tcPr>
            <w:tcW w:w="0" w:type="dxa"/>
            <w:vAlign w:val="bottom"/>
          </w:tcPr>
          <w:p>
            <w:pPr>
              <w:spacing w:after="0"/>
              <w:rPr>
                <w:sz w:val="1"/>
                <w:szCs w:val="1"/>
                <w:color w:val="auto"/>
              </w:rPr>
            </w:pPr>
          </w:p>
        </w:tc>
      </w:tr>
      <w:tr>
        <w:trPr>
          <w:trHeight w:val="229"/>
        </w:trPr>
        <w:tc>
          <w:tcPr>
            <w:tcW w:w="3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Proprietary technology and patents</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1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0" w:type="dxa"/>
            <w:vAlign w:val="bottom"/>
          </w:tcPr>
          <w:p>
            <w:pPr>
              <w:spacing w:after="0"/>
              <w:rPr>
                <w:sz w:val="1"/>
                <w:szCs w:val="1"/>
                <w:color w:val="auto"/>
              </w:rPr>
            </w:pPr>
          </w:p>
        </w:tc>
      </w:tr>
      <w:tr>
        <w:trPr>
          <w:trHeight w:val="223"/>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definite-life intangibles</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1,197.9</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(447.3)</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1,195.9</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(405.0)</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790.9</w:t>
            </w:r>
          </w:p>
        </w:tc>
        <w:tc>
          <w:tcPr>
            <w:tcW w:w="0" w:type="dxa"/>
            <w:vAlign w:val="bottom"/>
          </w:tcPr>
          <w:p>
            <w:pPr>
              <w:spacing w:after="0"/>
              <w:rPr>
                <w:sz w:val="1"/>
                <w:szCs w:val="1"/>
                <w:color w:val="auto"/>
              </w:rPr>
            </w:pPr>
          </w:p>
        </w:tc>
      </w:tr>
      <w:tr>
        <w:trPr>
          <w:trHeight w:val="229"/>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Indefinite-life intangibles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Trade names</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252.2</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252.2</w:t>
            </w: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251.5</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251.5</w:t>
            </w:r>
          </w:p>
        </w:tc>
        <w:tc>
          <w:tcPr>
            <w:tcW w:w="0" w:type="dxa"/>
            <w:vAlign w:val="bottom"/>
          </w:tcPr>
          <w:p>
            <w:pPr>
              <w:spacing w:after="0"/>
              <w:rPr>
                <w:sz w:val="1"/>
                <w:szCs w:val="1"/>
                <w:color w:val="auto"/>
              </w:rPr>
            </w:pPr>
          </w:p>
        </w:tc>
      </w:tr>
      <w:tr>
        <w:trPr>
          <w:trHeight w:val="248"/>
        </w:trPr>
        <w:tc>
          <w:tcPr>
            <w:tcW w:w="3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intangibles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(447.3)</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1,002.8</w:t>
            </w:r>
          </w:p>
        </w:tc>
        <w:tc>
          <w:tcPr>
            <w:tcW w:w="12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1,447.4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(405.0)</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1,042.4</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Identifiable intangible asset amortization expense was $13.5 million and $13.8 million for the three months ended September 30, 2024 and 2023, and $40.4 million and $41.5 million for the nine months ended September 30, 2024 and 2023, respectively.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Estimated future amortization expense for identifiable intangible assets during the remainder of 2024 and the next five years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8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7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Q4</w:t>
            </w: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38"/>
        </w:trPr>
        <w:tc>
          <w:tcPr>
            <w:tcW w:w="388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2027</w:t>
            </w:r>
          </w:p>
        </w:tc>
        <w:tc>
          <w:tcPr>
            <w:tcW w:w="2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2028</w:t>
            </w:r>
          </w:p>
        </w:tc>
        <w:tc>
          <w:tcPr>
            <w:tcW w:w="2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2029</w:t>
            </w:r>
          </w:p>
        </w:tc>
      </w:tr>
      <w:tr>
        <w:trPr>
          <w:trHeight w:val="223"/>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Estimated amortization expense</w:t>
            </w:r>
          </w:p>
        </w:tc>
        <w:tc>
          <w:tcPr>
            <w:tcW w:w="1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Pentair plc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9.</w:t>
        <w:tab/>
        <w:t>Debt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Debt and the average interest rates on debt outstanding were as follows: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840" w:type="dxa"/>
            <w:vAlign w:val="bottom"/>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w w:val="99"/>
              </w:rPr>
              <w:t>Average interest rate as of</w:t>
            </w:r>
          </w:p>
        </w:tc>
        <w:tc>
          <w:tcPr>
            <w:tcW w:w="124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Maturity</w:t>
            </w:r>
          </w:p>
        </w:tc>
        <w:tc>
          <w:tcPr>
            <w:tcW w:w="260" w:type="dxa"/>
            <w:vAlign w:val="bottom"/>
          </w:tcPr>
          <w:p>
            <w:pPr>
              <w:spacing w:after="0"/>
              <w:rPr>
                <w:sz w:val="17"/>
                <w:szCs w:val="17"/>
                <w:color w:val="auto"/>
              </w:rPr>
            </w:pPr>
          </w:p>
        </w:tc>
        <w:tc>
          <w:tcPr>
            <w:tcW w:w="13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60" w:type="dxa"/>
            <w:vAlign w:val="bottom"/>
          </w:tcPr>
          <w:p>
            <w:pPr>
              <w:spacing w:after="0"/>
              <w:rPr>
                <w:sz w:val="17"/>
                <w:szCs w:val="17"/>
                <w:color w:val="auto"/>
              </w:rPr>
            </w:pPr>
          </w:p>
        </w:tc>
        <w:tc>
          <w:tcPr>
            <w:tcW w:w="12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3"/>
        </w:trPr>
        <w:tc>
          <w:tcPr>
            <w:tcW w:w="4120" w:type="dxa"/>
            <w:vAlign w:val="bottom"/>
            <w:tcBorders>
              <w:bottom w:val="single" w:sz="8" w:color="auto"/>
            </w:tcBorders>
            <w:vMerge w:val="continue"/>
          </w:tcPr>
          <w:p>
            <w:pPr>
              <w:spacing w:after="0"/>
              <w:rPr>
                <w:sz w:val="21"/>
                <w:szCs w:val="21"/>
                <w:color w:val="auto"/>
              </w:rPr>
            </w:pPr>
          </w:p>
        </w:tc>
        <w:tc>
          <w:tcPr>
            <w:tcW w:w="2840" w:type="dxa"/>
            <w:vAlign w:val="bottom"/>
            <w:tcBorders>
              <w:bottom w:val="single" w:sz="8" w:color="auto"/>
            </w:tcBorders>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w w:val="99"/>
              </w:rPr>
              <w:t>September 30, 2024</w:t>
            </w: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Year</w:t>
            </w:r>
          </w:p>
        </w:tc>
        <w:tc>
          <w:tcPr>
            <w:tcW w:w="2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23"/>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Revolving credit facility (Senior Credit Facility)</w:t>
            </w:r>
          </w:p>
        </w:tc>
        <w:tc>
          <w:tcPr>
            <w:tcW w:w="2840" w:type="dxa"/>
            <w:vAlign w:val="bottom"/>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w w:val="97"/>
              </w:rPr>
              <w:t>6.046%</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2026</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 Loan Facility</w:t>
            </w:r>
          </w:p>
        </w:tc>
        <w:tc>
          <w:tcPr>
            <w:tcW w:w="284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7"/>
              </w:rPr>
              <w:t>6.446%</w:t>
            </w:r>
          </w:p>
        </w:tc>
        <w:tc>
          <w:tcPr>
            <w:tcW w:w="12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2023 - 2027</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825.0</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987.5</w:t>
            </w: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loans (Senior Credit Facility)</w:t>
            </w:r>
          </w:p>
        </w:tc>
        <w:tc>
          <w:tcPr>
            <w:tcW w:w="2840" w:type="dxa"/>
            <w:vAlign w:val="bottom"/>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w w:val="96"/>
              </w:rPr>
              <w:t>N/A</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0" w:type="dxa"/>
            <w:vAlign w:val="bottom"/>
          </w:tcPr>
          <w:p>
            <w:pPr>
              <w:spacing w:after="0"/>
              <w:rPr>
                <w:sz w:val="1"/>
                <w:szCs w:val="1"/>
                <w:color w:val="auto"/>
              </w:rPr>
            </w:pPr>
          </w:p>
        </w:tc>
      </w:tr>
      <w:tr>
        <w:trPr>
          <w:trHeight w:val="229"/>
        </w:trPr>
        <w:tc>
          <w:tcPr>
            <w:tcW w:w="41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Senior notes - fixed rate </w:t>
            </w:r>
            <w:r>
              <w:rPr>
                <w:rFonts w:ascii="Times New Roman" w:cs="Times New Roman" w:eastAsia="Times New Roman" w:hAnsi="Times New Roman"/>
                <w:sz w:val="23"/>
                <w:szCs w:val="23"/>
                <w:color w:val="auto"/>
                <w:vertAlign w:val="superscript"/>
              </w:rPr>
              <w:t>(1)</w:t>
            </w:r>
          </w:p>
        </w:tc>
        <w:tc>
          <w:tcPr>
            <w:tcW w:w="284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7"/>
              </w:rPr>
              <w:t>4.650%</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Senior notes - fixed rate </w:t>
            </w:r>
            <w:r>
              <w:rPr>
                <w:rFonts w:ascii="Times New Roman" w:cs="Times New Roman" w:eastAsia="Times New Roman" w:hAnsi="Times New Roman"/>
                <w:sz w:val="23"/>
                <w:szCs w:val="23"/>
                <w:color w:val="auto"/>
                <w:vertAlign w:val="superscript"/>
              </w:rPr>
              <w:t>(1)</w:t>
            </w:r>
          </w:p>
        </w:tc>
        <w:tc>
          <w:tcPr>
            <w:tcW w:w="2840" w:type="dxa"/>
            <w:vAlign w:val="bottom"/>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w w:val="97"/>
              </w:rPr>
              <w:t>4.500%</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2029</w:t>
            </w: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0" w:type="dxa"/>
            <w:vAlign w:val="bottom"/>
          </w:tcPr>
          <w:p>
            <w:pPr>
              <w:spacing w:after="0"/>
              <w:rPr>
                <w:sz w:val="1"/>
                <w:szCs w:val="1"/>
                <w:color w:val="auto"/>
              </w:rPr>
            </w:pPr>
          </w:p>
        </w:tc>
      </w:tr>
      <w:tr>
        <w:trPr>
          <w:trHeight w:val="229"/>
        </w:trPr>
        <w:tc>
          <w:tcPr>
            <w:tcW w:w="41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Senior notes - fixed rate </w:t>
            </w:r>
            <w:r>
              <w:rPr>
                <w:rFonts w:ascii="Times New Roman" w:cs="Times New Roman" w:eastAsia="Times New Roman" w:hAnsi="Times New Roman"/>
                <w:sz w:val="23"/>
                <w:szCs w:val="23"/>
                <w:color w:val="auto"/>
                <w:vertAlign w:val="superscript"/>
              </w:rPr>
              <w:t>(1)</w:t>
            </w:r>
          </w:p>
        </w:tc>
        <w:tc>
          <w:tcPr>
            <w:tcW w:w="284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7"/>
              </w:rPr>
              <w:t>5.900%</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2032</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0" w:type="dxa"/>
            <w:vAlign w:val="bottom"/>
          </w:tcPr>
          <w:p>
            <w:pPr>
              <w:spacing w:after="0"/>
              <w:rPr>
                <w:sz w:val="1"/>
                <w:szCs w:val="1"/>
                <w:color w:val="auto"/>
              </w:rPr>
            </w:pPr>
          </w:p>
        </w:tc>
      </w:tr>
      <w:tr>
        <w:trPr>
          <w:trHeight w:val="229"/>
        </w:trPr>
        <w:tc>
          <w:tcPr>
            <w:tcW w:w="4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Unamortized debt issuance costs and discounts</w:t>
            </w:r>
          </w:p>
        </w:tc>
        <w:tc>
          <w:tcPr>
            <w:tcW w:w="2840" w:type="dxa"/>
            <w:vAlign w:val="bottom"/>
            <w:tcBorders>
              <w:bottom w:val="single" w:sz="8" w:color="auto"/>
            </w:tcBorders>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w w:val="96"/>
              </w:rPr>
              <w:t>N/A</w:t>
            </w:r>
          </w:p>
        </w:tc>
        <w:tc>
          <w:tcPr>
            <w:tcW w:w="1240" w:type="dxa"/>
            <w:vAlign w:val="bottom"/>
            <w:tcBorders>
              <w:bottom w:val="single" w:sz="8" w:color="auto"/>
            </w:tcBorders>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6"/>
              </w:rPr>
              <w:t>N/A</w:t>
            </w:r>
          </w:p>
        </w:tc>
        <w:tc>
          <w:tcPr>
            <w:tcW w:w="2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0" w:type="dxa"/>
            <w:vAlign w:val="bottom"/>
          </w:tcPr>
          <w:p>
            <w:pPr>
              <w:spacing w:after="0"/>
              <w:rPr>
                <w:sz w:val="1"/>
                <w:szCs w:val="1"/>
                <w:color w:val="auto"/>
              </w:rPr>
            </w:pPr>
          </w:p>
        </w:tc>
      </w:tr>
      <w:tr>
        <w:trPr>
          <w:trHeight w:val="196"/>
        </w:trPr>
        <w:tc>
          <w:tcPr>
            <w:tcW w:w="4120" w:type="dxa"/>
            <w:vAlign w:val="bottom"/>
            <w:tcBorders>
              <w:bottom w:val="single" w:sz="8" w:color="auto"/>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rPr>
              <w:t>Total debt</w:t>
            </w:r>
          </w:p>
        </w:tc>
        <w:tc>
          <w:tcPr>
            <w:tcW w:w="28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1,628.4</w:t>
            </w:r>
          </w:p>
        </w:tc>
        <w:tc>
          <w:tcPr>
            <w:tcW w:w="1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1,988.3</w:t>
            </w:r>
          </w:p>
        </w:tc>
        <w:tc>
          <w:tcPr>
            <w:tcW w:w="0" w:type="dxa"/>
            <w:vAlign w:val="bottom"/>
          </w:tcPr>
          <w:p>
            <w:pPr>
              <w:spacing w:after="0"/>
              <w:rPr>
                <w:sz w:val="1"/>
                <w:szCs w:val="1"/>
                <w:color w:val="auto"/>
              </w:rPr>
            </w:pPr>
          </w:p>
        </w:tc>
      </w:tr>
    </w:tbl>
    <w:p>
      <w:pPr>
        <w:ind w:left="200" w:hanging="174"/>
        <w:spacing w:after="0" w:line="237" w:lineRule="auto"/>
        <w:tabs>
          <w:tab w:leader="none" w:pos="200" w:val="left"/>
        </w:tabs>
        <w:numPr>
          <w:ilvl w:val="0"/>
          <w:numId w:val="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Senior notes are guaranteed as to payment by Pentair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Pentair, Pentair Finance S.à r.l (“PFSA”) and Pentair, Inc. are parties to a credit agreement (the “Senior Credit Facility”), with Pentair as guarantor and PFSA and Pentair, Inc. as borrowers, providing for a $900.0 million senior unsecured revolving credit facility. During the second quarter of 2024, PFSA repaid $200.0 million of term loans under the Senior Credit Facility. The revolving credit facility has a maturity date of December 16, 2026. Borrowings under the Senior Credit Facility bear interest at a rate equal to an alternate base rate, adjusted term secured overnight financing rate, adjusted euro interbank offered rate, adjusted daily simple secured overnight financing rate or central bank rate, plus, in each case, an applicable margin. The applicable margin is based on, at PFSA’s election, Pentair’s leverage level or PFSA’s public credit rating.</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September 30, 2024, total availability under the Senior Credit Facility was $900.0 million. In addition, PFSA has the option to request to increase the revolving credit facility and/or to enter into one or more tranches of term loans in an aggregate amount of up to $300.0 million, subject to customary conditions, including the commitment of the participating lenders.</w:t>
      </w:r>
    </w:p>
    <w:p>
      <w:pPr>
        <w:spacing w:after="0" w:line="12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Pentair and PFSA are parties to a senior unsecured term loan facility (the “Term Loan Facility”), with PFSA, as borrower, Pentair, as guarantor, providing for an aggregate principal amount of $1.0 billion. The Term Loan Facility has a maturity date of July 28, 2027, with required quarterly installment payments of $6.3 million which began on the last day of the third quarter of 2023 and increased to $12.5 million on the last day of the third quarter of 2024. During the nine months ended September 30, 2024, PFSA repaid the remaining $162.5 million of quarterly installments on the Term Loan Facility, such that PFSA is not required to make any further quarterly installment payments. As of September 30, 2024, the remaining obligation of $825.0 million matures on July 28, 2027. The Term Loan Facility bears interest at a rate equal to an alternate base rate, adjusted term secured overnight financing rate, or adjusted daily simple secured overnight financing rate, plus, in each case, an applicable margin. The applicable margin is based on, at PFSA’s election, Pentair’s leverage level or PFSA’s public credit rating.</w:t>
      </w:r>
    </w:p>
    <w:p>
      <w:pPr>
        <w:spacing w:after="0" w:line="13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debt agreements contain various financial covenants, but the most restrictive covenants are contained in the Senior Credit Facility and the Term Loan Facility. The Senior Credit Facility and the Term Loan Facility contain covenants requiring us not to permit (i) the ratio of our consolidated debt (net of our consolidated unrestricted cash and cash equivalents in excess of $5.0 million but not to exceed $250.0 million) to our consolidated net income (excluding, among other things, non-cash gains and losses) before interest, taxes, depreciation, amortization and non-cash share-based compensation expense (“EBITDA”) on the last day of any period of four consecutive fiscal quarters (each, a “testing period”) to exceed 3.75 to 1.00 (or, at PFSA’s election and subject to certain conditions, 4.25 to 1.00 for four testing periods in connection with certain material acquisitions) (the “Leverage Ratio”) and (ii) the ratio of our EBITDA to our consolidated interest expense, for the same period to be less than 3.00 to 1.00 as of the end of each fiscal quarter. For purposes of the Leverage Ratio, the Senior Credit Facility and the Term Loan Facility provide for the calculation of EBITDA giving pro forma effect to certain acquisitions, divestitures and liquidations during the period to which such calculation relates.</w:t>
      </w:r>
    </w:p>
    <w:p>
      <w:pPr>
        <w:spacing w:after="0" w:line="13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to the Senior Credit Facility and the Term Loan Facility, we have various other credit facilities with an aggregate availability of $21.0 million, of which there were no outstanding borrowings at September 30, 2024. Borrowings under these credit facilities bear interest at variable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Pentair plc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have $19.3 million of senior notes maturing in the next twelve months. We classified this debt as long-term as of September 30, 2024 as we have the intent and ability to refinance such obligation on a long-term basis under the revolving credit facility under the Senior Credit Facility.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Debt outstanding, excluding unamortized issuance costs and discounts, at September 30, 2024 matures on a calendar year basis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180" w:type="dxa"/>
            <w:vAlign w:val="bottom"/>
          </w:tcPr>
          <w:p>
            <w:pPr>
              <w:spacing w:after="0"/>
              <w:rPr>
                <w:sz w:val="19"/>
                <w:szCs w:val="19"/>
                <w:color w:val="auto"/>
              </w:rPr>
            </w:pPr>
          </w:p>
        </w:tc>
        <w:tc>
          <w:tcPr>
            <w:tcW w:w="1120" w:type="dxa"/>
            <w:vAlign w:val="bottom"/>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5"/>
              </w:rPr>
              <w:t>Q4</w:t>
            </w:r>
          </w:p>
        </w:tc>
        <w:tc>
          <w:tcPr>
            <w:tcW w:w="4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38"/>
        </w:trPr>
        <w:tc>
          <w:tcPr>
            <w:tcW w:w="3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7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2027</w:t>
            </w: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2028</w:t>
            </w:r>
          </w:p>
        </w:tc>
        <w:tc>
          <w:tcPr>
            <w:tcW w:w="7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2029</w:t>
            </w: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Thereafter</w:t>
            </w:r>
          </w:p>
        </w:tc>
        <w:tc>
          <w:tcPr>
            <w:tcW w:w="2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Contractual debt obligation maturities</w:t>
            </w:r>
          </w:p>
        </w:tc>
        <w:tc>
          <w:tcPr>
            <w:tcW w:w="112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1,644.3</w:t>
            </w:r>
          </w:p>
        </w:tc>
      </w:tr>
    </w:tbl>
    <w:p>
      <w:pPr>
        <w:spacing w:after="0" w:line="248" w:lineRule="exact"/>
        <w:rPr>
          <w:sz w:val="20"/>
          <w:szCs w:val="20"/>
          <w:color w:val="auto"/>
        </w:rPr>
      </w:pPr>
    </w:p>
    <w:p>
      <w:pPr>
        <w:ind w:right="7880" w:firstLine="8"/>
        <w:spacing w:after="0" w:line="278" w:lineRule="auto"/>
        <w:tabs>
          <w:tab w:leader="none" w:pos="405" w:val="left"/>
        </w:tabs>
        <w:numPr>
          <w:ilvl w:val="0"/>
          <w:numId w:val="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Derivatives and Financial Instruments </w:t>
      </w:r>
      <w:r>
        <w:rPr>
          <w:rFonts w:ascii="Times New Roman" w:cs="Times New Roman" w:eastAsia="Times New Roman" w:hAnsi="Times New Roman"/>
          <w:sz w:val="17"/>
          <w:szCs w:val="17"/>
          <w:b w:val="1"/>
          <w:bCs w:val="1"/>
          <w:i w:val="1"/>
          <w:iCs w:val="1"/>
          <w:color w:val="auto"/>
        </w:rPr>
        <w:t>Derivative financial instruments</w:t>
      </w:r>
    </w:p>
    <w:p>
      <w:pPr>
        <w:spacing w:after="0" w:line="1" w:lineRule="exact"/>
        <w:rPr>
          <w:rFonts w:ascii="Times New Roman" w:cs="Times New Roman" w:eastAsia="Times New Roman" w:hAnsi="Times New Roman"/>
          <w:sz w:val="17"/>
          <w:szCs w:val="17"/>
          <w:b w:val="1"/>
          <w:bCs w:val="1"/>
          <w:color w:val="auto"/>
        </w:rPr>
      </w:pPr>
    </w:p>
    <w:p>
      <w:pPr>
        <w:jc w:val="both"/>
        <w:spacing w:after="0" w:line="252"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We are exposed to market risk related to changes in foreign currency exchange rates and interest rates on our variable rate indebtedness. To manage the volatility related to these exposures, we periodically enter into a variety of derivative financial instruments. Our objective is to reduce, where it is deemed appropriate to do so, fluctuations in earnings and cash flows associated with changes in foreign currency exchange rates or variable interest rates. The derivative contracts contain credit risk to the extent that our bank counterparties may be unable to meet the terms of the agreements. The amount of such credit risk is generally limited to the unrealized gains, if any, in such contracts. Such risk is minimized by limiting those counterparties to major financial institutions of high credit quality.</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contracts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conduct business in various locations throughout the world and are subject to market risk due to changes in the value of foreign currencies in relation to our reporting currency, the U.S. dollar. We manage our economic and transaction exposure to certain market-based risks through the use of foreign currency derivative financial instruments. Our objective in holding these derivatives is to reduce the volatility of net earnings and cash flows associated with changes in foreign currency exchange rates. The majority of our foreign currency contracts have an original maturity date of less than one year.</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September 30, 2024 and December 31, 2023, we had outstanding foreign currency derivative contracts with gross notional U.S. dollar equivalent amounts of $15.7 million and $23.9 million, respectively. The impact of these contracts on the Condensed Consolidated Statements of Operations and Comprehensive Income was not material for any period presented.</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Cross currency swaps</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At September 30, 2024 and December 31, 2023, we had outstanding cross currency swap agreements with a combined notional amount of $950.0 million and $940.2 million, respectively. The agreements are accounted for as either cash flow hedges, to hedge foreign currency fluctuations on certain intercompany debt, or as net investment hedges to manage our exposure to fluctuations in the Euro-U.S. Dollar exchange rate. We had deferred foreign currency losses of $39.9 million and $51.6 million at September 30, 2024 and December 31, 2023, respectively, recorded in </w:t>
      </w:r>
      <w:r>
        <w:rPr>
          <w:rFonts w:ascii="Times New Roman" w:cs="Times New Roman" w:eastAsia="Times New Roman" w:hAnsi="Times New Roman"/>
          <w:sz w:val="18"/>
          <w:szCs w:val="18"/>
          <w:i w:val="1"/>
          <w:iCs w:val="1"/>
          <w:color w:val="auto"/>
        </w:rPr>
        <w:t>Accumulated 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comprehensive loss </w:t>
      </w:r>
      <w:r>
        <w:rPr>
          <w:rFonts w:ascii="Times New Roman" w:cs="Times New Roman" w:eastAsia="Times New Roman" w:hAnsi="Times New Roman"/>
          <w:sz w:val="18"/>
          <w:szCs w:val="18"/>
          <w:color w:val="auto"/>
        </w:rPr>
        <w:t>associated with our cross currency swap activity. The periodic interest settlements related to our cross currency swap agreements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classified as operating activities. The cash flows that relate to principal balances are classified as financing activities for the cash flow hedges on intercompany debt and investing activities for the net investment hedges.</w:t>
      </w:r>
    </w:p>
    <w:p>
      <w:pPr>
        <w:spacing w:after="0" w:line="1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August 2024, we entered into a transaction to early terminate and cash settle a €150 million cross currency swap agreement, resulting in a net cash payment of $16.1 million, of which $16.4 million is included in investing activities and $0.3 million of interest income is included within operating activities on the Consolidated Statements of Cash Flows. Subsequent to the termination, we entered into new cross currency swap agreements with euro notional amounts matching the original swap agreement.</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Hedging of variable interest rates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manage our exposure to certain interest rate risks related to our variable rate debt through the use of interest rate swaps and collars. We enter into these agreements to hedge the variability of interest expense and cash flows attributable to changes in interest rates of our variable rate debt. As of September 30, 2024, we had an aggregate notional amount of $300.0 million and $200.0 million in interest rate swaps and collars, respectively, that are designated as cash flow hedges.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Pentair plc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Unrealized gains and losses related to the fair value of the interest rate swaps are recorded in </w:t>
      </w:r>
      <w:r>
        <w:rPr>
          <w:rFonts w:ascii="Times New Roman" w:cs="Times New Roman" w:eastAsia="Times New Roman" w:hAnsi="Times New Roman"/>
          <w:sz w:val="18"/>
          <w:szCs w:val="18"/>
          <w:i w:val="1"/>
          <w:iCs w:val="1"/>
          <w:color w:val="auto"/>
        </w:rPr>
        <w:t>Accumulated other comprehensive loss</w:t>
      </w:r>
      <w:r>
        <w:rPr>
          <w:rFonts w:ascii="Times New Roman" w:cs="Times New Roman" w:eastAsia="Times New Roman" w:hAnsi="Times New Roman"/>
          <w:sz w:val="18"/>
          <w:szCs w:val="18"/>
          <w:color w:val="auto"/>
        </w:rPr>
        <w:t xml:space="preserve"> on our Condensed Consolidated Balance Sheets. We had an unrealized loss of $1.7 million and an unrealized gain of $0.3 million at September 30, 2024 and December 31, 2023, respectively, recorded in </w:t>
      </w:r>
      <w:r>
        <w:rPr>
          <w:rFonts w:ascii="Times New Roman" w:cs="Times New Roman" w:eastAsia="Times New Roman" w:hAnsi="Times New Roman"/>
          <w:sz w:val="18"/>
          <w:szCs w:val="18"/>
          <w:i w:val="1"/>
          <w:iCs w:val="1"/>
          <w:color w:val="auto"/>
        </w:rPr>
        <w:t>Accumulated other comprehensive loss</w:t>
      </w:r>
      <w:r>
        <w:rPr>
          <w:rFonts w:ascii="Times New Roman" w:cs="Times New Roman" w:eastAsia="Times New Roman" w:hAnsi="Times New Roman"/>
          <w:sz w:val="18"/>
          <w:szCs w:val="18"/>
          <w:color w:val="auto"/>
        </w:rPr>
        <w:t xml:space="preserve"> associated with our interest rate swap and collar activity. The periodic interest settlements related to our interest rate swaps and collars are classified as operating activities.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Assets and liabilities measured at fair value are classified using the following hierarchy, which is based upon the transparency of inputs to the valuation as of the measurement date:</w:t>
      </w:r>
    </w:p>
    <w:p>
      <w:pPr>
        <w:spacing w:after="0" w:line="103" w:lineRule="exact"/>
        <w:rPr>
          <w:sz w:val="20"/>
          <w:szCs w:val="20"/>
          <w:color w:val="auto"/>
        </w:rPr>
      </w:pPr>
    </w:p>
    <w:p>
      <w:pPr>
        <w:ind w:left="640"/>
        <w:spacing w:after="0"/>
        <w:tabs>
          <w:tab w:leader="none" w:pos="1360" w:val="left"/>
        </w:tabs>
        <w:rPr>
          <w:sz w:val="20"/>
          <w:szCs w:val="20"/>
          <w:color w:val="auto"/>
        </w:rPr>
      </w:pPr>
      <w:r>
        <w:rPr>
          <w:rFonts w:ascii="Times New Roman" w:cs="Times New Roman" w:eastAsia="Times New Roman" w:hAnsi="Times New Roman"/>
          <w:sz w:val="18"/>
          <w:szCs w:val="18"/>
          <w:i w:val="1"/>
          <w:iCs w:val="1"/>
          <w:color w:val="auto"/>
        </w:rPr>
        <w:t>Level 1:</w:t>
      </w:r>
      <w:r>
        <w:rPr>
          <w:sz w:val="20"/>
          <w:szCs w:val="20"/>
          <w:color w:val="auto"/>
        </w:rPr>
        <w:tab/>
      </w:r>
      <w:r>
        <w:rPr>
          <w:rFonts w:ascii="Times New Roman" w:cs="Times New Roman" w:eastAsia="Times New Roman" w:hAnsi="Times New Roman"/>
          <w:sz w:val="17"/>
          <w:szCs w:val="17"/>
          <w:color w:val="auto"/>
        </w:rPr>
        <w:t>Valuation is based on observable inputs such as quoted market prices (unadjusted) for identical assets or liabilities in active markets.</w:t>
      </w:r>
    </w:p>
    <w:p>
      <w:pPr>
        <w:spacing w:after="0" w:line="77" w:lineRule="exact"/>
        <w:rPr>
          <w:sz w:val="20"/>
          <w:szCs w:val="20"/>
          <w:color w:val="auto"/>
        </w:rPr>
      </w:pPr>
    </w:p>
    <w:p>
      <w:pPr>
        <w:ind w:left="1380" w:right="20" w:hanging="741"/>
        <w:spacing w:after="0" w:line="237" w:lineRule="auto"/>
        <w:tabs>
          <w:tab w:leader="none" w:pos="1360" w:val="left"/>
        </w:tabs>
        <w:rPr>
          <w:sz w:val="20"/>
          <w:szCs w:val="20"/>
          <w:color w:val="auto"/>
        </w:rPr>
      </w:pPr>
      <w:r>
        <w:rPr>
          <w:rFonts w:ascii="Times New Roman" w:cs="Times New Roman" w:eastAsia="Times New Roman" w:hAnsi="Times New Roman"/>
          <w:sz w:val="18"/>
          <w:szCs w:val="18"/>
          <w:i w:val="1"/>
          <w:iCs w:val="1"/>
          <w:color w:val="auto"/>
        </w:rPr>
        <w:t>Level 2:</w:t>
      </w:r>
      <w:r>
        <w:rPr>
          <w:sz w:val="20"/>
          <w:szCs w:val="20"/>
          <w:color w:val="auto"/>
        </w:rPr>
        <w:tab/>
      </w:r>
      <w:r>
        <w:rPr>
          <w:rFonts w:ascii="Times New Roman" w:cs="Times New Roman" w:eastAsia="Times New Roman" w:hAnsi="Times New Roman"/>
          <w:sz w:val="18"/>
          <w:szCs w:val="18"/>
          <w:color w:val="auto"/>
        </w:rPr>
        <w:t>Valuation is based on inputs such as quoted market prices for similar assets or liabilities in active markets or other inputs that are observable for the asset or liability, either directly or indirectly, for substantially the full term of the financial instrument.</w:t>
      </w:r>
    </w:p>
    <w:p>
      <w:pPr>
        <w:spacing w:after="0" w:line="64" w:lineRule="exact"/>
        <w:rPr>
          <w:sz w:val="20"/>
          <w:szCs w:val="20"/>
          <w:color w:val="auto"/>
        </w:rPr>
      </w:pPr>
    </w:p>
    <w:p>
      <w:pPr>
        <w:ind w:left="640"/>
        <w:spacing w:after="0"/>
        <w:tabs>
          <w:tab w:leader="none" w:pos="1360" w:val="left"/>
        </w:tabs>
        <w:rPr>
          <w:sz w:val="20"/>
          <w:szCs w:val="20"/>
          <w:color w:val="auto"/>
        </w:rPr>
      </w:pPr>
      <w:r>
        <w:rPr>
          <w:rFonts w:ascii="Times New Roman" w:cs="Times New Roman" w:eastAsia="Times New Roman" w:hAnsi="Times New Roman"/>
          <w:sz w:val="18"/>
          <w:szCs w:val="18"/>
          <w:i w:val="1"/>
          <w:iCs w:val="1"/>
          <w:color w:val="auto"/>
        </w:rPr>
        <w:t>Level 3:</w:t>
      </w:r>
      <w:r>
        <w:rPr>
          <w:sz w:val="20"/>
          <w:szCs w:val="20"/>
          <w:color w:val="auto"/>
        </w:rPr>
        <w:tab/>
      </w:r>
      <w:r>
        <w:rPr>
          <w:rFonts w:ascii="Times New Roman" w:cs="Times New Roman" w:eastAsia="Times New Roman" w:hAnsi="Times New Roman"/>
          <w:sz w:val="17"/>
          <w:szCs w:val="17"/>
          <w:color w:val="auto"/>
        </w:rPr>
        <w:t>Valuation is based upon other unobservable inputs that are significant to the fair value measurement.</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making fair value measurements, observable market data must be used when available. When inputs used to measure fair value fall within different levels of the hierarchy, the level within which the fair value measurement is categorized is based on the lowest level input that is significant to the fair value measurement.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methods were used to estimate the fair values of each class of financial instrument:</w:t>
      </w:r>
    </w:p>
    <w:p>
      <w:pPr>
        <w:spacing w:after="0" w:line="151" w:lineRule="exact"/>
        <w:rPr>
          <w:sz w:val="20"/>
          <w:szCs w:val="20"/>
          <w:color w:val="auto"/>
        </w:rPr>
      </w:pPr>
    </w:p>
    <w:p>
      <w:pPr>
        <w:ind w:left="500" w:hanging="330"/>
        <w:spacing w:after="0" w:line="284" w:lineRule="auto"/>
        <w:tabs>
          <w:tab w:leader="none" w:pos="495" w:val="left"/>
        </w:tabs>
        <w:numPr>
          <w:ilvl w:val="1"/>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 xml:space="preserve">short-term financial instruments (cash and cash equivalents, accounts and notes receivable, accounts payable and variable-rate debt) </w:t>
      </w:r>
      <w:r>
        <w:rPr>
          <w:rFonts w:ascii="Times New Roman" w:cs="Times New Roman" w:eastAsia="Times New Roman" w:hAnsi="Times New Roman"/>
          <w:sz w:val="18"/>
          <w:szCs w:val="18"/>
          <w:color w:val="auto"/>
        </w:rPr>
        <w:t>— recorded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amount approximates fair value because of the short maturity period;</w:t>
      </w:r>
    </w:p>
    <w:p>
      <w:pPr>
        <w:spacing w:after="0" w:line="104" w:lineRule="exact"/>
        <w:rPr>
          <w:rFonts w:ascii="Times New Roman" w:cs="Times New Roman" w:eastAsia="Times New Roman" w:hAnsi="Times New Roman"/>
          <w:sz w:val="18"/>
          <w:szCs w:val="18"/>
          <w:b w:val="1"/>
          <w:bCs w:val="1"/>
          <w:color w:val="auto"/>
        </w:rPr>
      </w:pPr>
    </w:p>
    <w:p>
      <w:pPr>
        <w:ind w:left="500" w:hanging="330"/>
        <w:spacing w:after="0" w:line="284" w:lineRule="auto"/>
        <w:tabs>
          <w:tab w:leader="none" w:pos="495" w:val="left"/>
        </w:tabs>
        <w:numPr>
          <w:ilvl w:val="1"/>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 xml:space="preserve">long-term fixed-rate debt, including current maturities </w:t>
      </w:r>
      <w:r>
        <w:rPr>
          <w:rFonts w:ascii="Times New Roman" w:cs="Times New Roman" w:eastAsia="Times New Roman" w:hAnsi="Times New Roman"/>
          <w:sz w:val="18"/>
          <w:szCs w:val="18"/>
          <w:color w:val="auto"/>
        </w:rPr>
        <w:t>— fair value is based on market quotes available for issuance of debt with similar terms,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are inputs that are classified as Level 2 in the valuation hierarchy defined above;</w:t>
      </w:r>
    </w:p>
    <w:p>
      <w:pPr>
        <w:spacing w:after="0" w:line="104" w:lineRule="exact"/>
        <w:rPr>
          <w:rFonts w:ascii="Times New Roman" w:cs="Times New Roman" w:eastAsia="Times New Roman" w:hAnsi="Times New Roman"/>
          <w:sz w:val="18"/>
          <w:szCs w:val="18"/>
          <w:b w:val="1"/>
          <w:bCs w:val="1"/>
          <w:color w:val="auto"/>
        </w:rPr>
      </w:pPr>
    </w:p>
    <w:p>
      <w:pPr>
        <w:jc w:val="both"/>
        <w:ind w:left="500" w:hanging="330"/>
        <w:spacing w:after="0" w:line="267" w:lineRule="auto"/>
        <w:tabs>
          <w:tab w:leader="none" w:pos="495" w:val="left"/>
        </w:tabs>
        <w:numPr>
          <w:ilvl w:val="1"/>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 xml:space="preserve">foreign currency contracts, interest rate swap and collar agreements </w:t>
      </w:r>
      <w:r>
        <w:rPr>
          <w:rFonts w:ascii="Times New Roman" w:cs="Times New Roman" w:eastAsia="Times New Roman" w:hAnsi="Times New Roman"/>
          <w:sz w:val="18"/>
          <w:szCs w:val="18"/>
          <w:color w:val="auto"/>
        </w:rPr>
        <w:t>— fair values are determined through the use of models that consider various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assumptions, including time value, yield curves, as well as other relevant economic measures, which are inputs that are classified as Level 2 in the valuation hierarchy defined above; and</w:t>
      </w:r>
    </w:p>
    <w:p>
      <w:pPr>
        <w:spacing w:after="0" w:line="119" w:lineRule="exact"/>
        <w:rPr>
          <w:rFonts w:ascii="Times New Roman" w:cs="Times New Roman" w:eastAsia="Times New Roman" w:hAnsi="Times New Roman"/>
          <w:sz w:val="18"/>
          <w:szCs w:val="18"/>
          <w:b w:val="1"/>
          <w:bCs w:val="1"/>
          <w:color w:val="auto"/>
        </w:rPr>
      </w:pPr>
    </w:p>
    <w:p>
      <w:pPr>
        <w:jc w:val="both"/>
        <w:ind w:left="460" w:hanging="331"/>
        <w:spacing w:after="0" w:line="261" w:lineRule="auto"/>
        <w:tabs>
          <w:tab w:leader="none" w:pos="455"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 xml:space="preserve">deferred compensation plan assets (mutual funds, common/collective trusts and cash equivalents for payment of certain non-qualified benefits for retired, terminated and active employees) </w:t>
      </w:r>
      <w:r>
        <w:rPr>
          <w:rFonts w:ascii="Times New Roman" w:cs="Times New Roman" w:eastAsia="Times New Roman" w:hAnsi="Times New Roman"/>
          <w:sz w:val="18"/>
          <w:szCs w:val="18"/>
          <w:color w:val="auto"/>
        </w:rPr>
        <w:t>— fair value of mutual funds and cash equivalents are based on quoted market prices in active markets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classified as Level 1 in the valuation hierarchy defined above; fair value of common/collective trusts are valued at net asset value (“NAV”), which is based on the fair value of the underlying securities owned by the fund and divided by the number of shares outstanding.</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recorded amounts and estimated fair values of total debt, excluding unamortized issuance costs and discounts, were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20" w:type="dxa"/>
            <w:vAlign w:val="bottom"/>
            <w:gridSpan w:val="4"/>
          </w:tcPr>
          <w:p>
            <w:pPr>
              <w:ind w:left="5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00" w:type="dxa"/>
            <w:vAlign w:val="bottom"/>
          </w:tcPr>
          <w:p>
            <w:pPr>
              <w:spacing w:after="0"/>
              <w:rPr>
                <w:sz w:val="18"/>
                <w:szCs w:val="18"/>
                <w:color w:val="auto"/>
              </w:rPr>
            </w:pPr>
          </w:p>
        </w:tc>
        <w:tc>
          <w:tcPr>
            <w:tcW w:w="2320" w:type="dxa"/>
            <w:vAlign w:val="bottom"/>
            <w:gridSpan w:val="3"/>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1"/>
        </w:trPr>
        <w:tc>
          <w:tcPr>
            <w:tcW w:w="6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9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61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00" w:type="dxa"/>
            <w:vAlign w:val="bottom"/>
          </w:tcPr>
          <w:p>
            <w:pPr>
              <w:spacing w:after="0"/>
              <w:rPr>
                <w:sz w:val="14"/>
                <w:szCs w:val="14"/>
                <w:color w:val="auto"/>
              </w:rPr>
            </w:pPr>
          </w:p>
        </w:tc>
        <w:tc>
          <w:tcPr>
            <w:tcW w:w="1040" w:type="dxa"/>
            <w:vAlign w:val="bottom"/>
          </w:tcPr>
          <w:p>
            <w:pPr>
              <w:jc w:val="right"/>
              <w:ind w:right="150"/>
              <w:spacing w:after="0" w:line="171" w:lineRule="exact"/>
              <w:rPr>
                <w:sz w:val="20"/>
                <w:szCs w:val="20"/>
                <w:color w:val="auto"/>
              </w:rPr>
            </w:pPr>
            <w:r>
              <w:rPr>
                <w:rFonts w:ascii="Times New Roman" w:cs="Times New Roman" w:eastAsia="Times New Roman" w:hAnsi="Times New Roman"/>
                <w:sz w:val="18"/>
                <w:szCs w:val="18"/>
                <w:b w:val="1"/>
                <w:bCs w:val="1"/>
                <w:color w:val="auto"/>
              </w:rPr>
              <w:t>Recorded</w:t>
            </w:r>
          </w:p>
        </w:tc>
        <w:tc>
          <w:tcPr>
            <w:tcW w:w="320" w:type="dxa"/>
            <w:vAlign w:val="bottom"/>
          </w:tcPr>
          <w:p>
            <w:pPr>
              <w:spacing w:after="0"/>
              <w:rPr>
                <w:sz w:val="14"/>
                <w:szCs w:val="14"/>
                <w:color w:val="auto"/>
              </w:rPr>
            </w:pPr>
          </w:p>
        </w:tc>
        <w:tc>
          <w:tcPr>
            <w:tcW w:w="960" w:type="dxa"/>
            <w:vAlign w:val="bottom"/>
          </w:tcPr>
          <w:p>
            <w:pPr>
              <w:jc w:val="center"/>
              <w:ind w:right="210"/>
              <w:spacing w:after="0" w:line="171" w:lineRule="exact"/>
              <w:rPr>
                <w:sz w:val="20"/>
                <w:szCs w:val="20"/>
                <w:color w:val="auto"/>
              </w:rPr>
            </w:pPr>
            <w:r>
              <w:rPr>
                <w:rFonts w:ascii="Times New Roman" w:cs="Times New Roman" w:eastAsia="Times New Roman" w:hAnsi="Times New Roman"/>
                <w:sz w:val="18"/>
                <w:szCs w:val="18"/>
                <w:b w:val="1"/>
                <w:bCs w:val="1"/>
                <w:color w:val="auto"/>
              </w:rPr>
              <w:t>Fair</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right"/>
              <w:ind w:right="150"/>
              <w:spacing w:after="0" w:line="171" w:lineRule="exact"/>
              <w:rPr>
                <w:sz w:val="20"/>
                <w:szCs w:val="20"/>
                <w:color w:val="auto"/>
              </w:rPr>
            </w:pPr>
            <w:r>
              <w:rPr>
                <w:rFonts w:ascii="Times New Roman" w:cs="Times New Roman" w:eastAsia="Times New Roman" w:hAnsi="Times New Roman"/>
                <w:sz w:val="18"/>
                <w:szCs w:val="18"/>
                <w:b w:val="1"/>
                <w:bCs w:val="1"/>
                <w:color w:val="auto"/>
              </w:rPr>
              <w:t>Recorded</w:t>
            </w:r>
          </w:p>
        </w:tc>
        <w:tc>
          <w:tcPr>
            <w:tcW w:w="320" w:type="dxa"/>
            <w:vAlign w:val="bottom"/>
          </w:tcPr>
          <w:p>
            <w:pPr>
              <w:spacing w:after="0"/>
              <w:rPr>
                <w:sz w:val="14"/>
                <w:szCs w:val="14"/>
                <w:color w:val="auto"/>
              </w:rPr>
            </w:pPr>
          </w:p>
        </w:tc>
        <w:tc>
          <w:tcPr>
            <w:tcW w:w="960" w:type="dxa"/>
            <w:vAlign w:val="bottom"/>
          </w:tcPr>
          <w:p>
            <w:pPr>
              <w:jc w:val="right"/>
              <w:ind w:right="370"/>
              <w:spacing w:after="0" w:line="171" w:lineRule="exact"/>
              <w:rPr>
                <w:sz w:val="20"/>
                <w:szCs w:val="20"/>
                <w:color w:val="auto"/>
              </w:rPr>
            </w:pPr>
            <w:r>
              <w:rPr>
                <w:rFonts w:ascii="Times New Roman" w:cs="Times New Roman" w:eastAsia="Times New Roman" w:hAnsi="Times New Roman"/>
                <w:sz w:val="18"/>
                <w:szCs w:val="18"/>
                <w:b w:val="1"/>
                <w:bCs w:val="1"/>
                <w:color w:val="auto"/>
              </w:rPr>
              <w:t>Fair</w:t>
            </w:r>
          </w:p>
        </w:tc>
        <w:tc>
          <w:tcPr>
            <w:tcW w:w="0" w:type="dxa"/>
            <w:vAlign w:val="bottom"/>
          </w:tcPr>
          <w:p>
            <w:pPr>
              <w:spacing w:after="0"/>
              <w:rPr>
                <w:sz w:val="1"/>
                <w:szCs w:val="1"/>
                <w:color w:val="auto"/>
              </w:rPr>
            </w:pPr>
          </w:p>
        </w:tc>
      </w:tr>
      <w:tr>
        <w:trPr>
          <w:trHeight w:val="243"/>
        </w:trPr>
        <w:tc>
          <w:tcPr>
            <w:tcW w:w="6100" w:type="dxa"/>
            <w:vAlign w:val="bottom"/>
            <w:tcBorders>
              <w:bottom w:val="single" w:sz="8" w:color="auto"/>
            </w:tcBorders>
            <w:vMerge w:val="continue"/>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2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3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0" w:type="dxa"/>
            <w:vAlign w:val="bottom"/>
          </w:tcPr>
          <w:p>
            <w:pPr>
              <w:spacing w:after="0"/>
              <w:rPr>
                <w:sz w:val="1"/>
                <w:szCs w:val="1"/>
                <w:color w:val="auto"/>
              </w:rPr>
            </w:pPr>
          </w:p>
        </w:tc>
      </w:tr>
      <w:tr>
        <w:trPr>
          <w:trHeight w:val="223"/>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Variable rate debt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825.0</w:t>
            </w:r>
          </w:p>
        </w:tc>
        <w:tc>
          <w:tcPr>
            <w:tcW w:w="3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1,187.5</w:t>
            </w:r>
          </w:p>
        </w:tc>
        <w:tc>
          <w:tcPr>
            <w:tcW w:w="3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1,187.5</w:t>
            </w:r>
          </w:p>
        </w:tc>
        <w:tc>
          <w:tcPr>
            <w:tcW w:w="0" w:type="dxa"/>
            <w:vAlign w:val="bottom"/>
          </w:tcPr>
          <w:p>
            <w:pPr>
              <w:spacing w:after="0"/>
              <w:rPr>
                <w:sz w:val="1"/>
                <w:szCs w:val="1"/>
                <w:color w:val="auto"/>
              </w:rPr>
            </w:pPr>
          </w:p>
        </w:tc>
      </w:tr>
      <w:tr>
        <w:trPr>
          <w:trHeight w:val="230"/>
        </w:trPr>
        <w:tc>
          <w:tcPr>
            <w:tcW w:w="6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Fixed rate debt</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819.3</w:t>
            </w: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834.9</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819.3</w:t>
            </w: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824.5</w:t>
            </w:r>
          </w:p>
        </w:tc>
        <w:tc>
          <w:tcPr>
            <w:tcW w:w="0" w:type="dxa"/>
            <w:vAlign w:val="bottom"/>
          </w:tcPr>
          <w:p>
            <w:pPr>
              <w:spacing w:after="0"/>
              <w:rPr>
                <w:sz w:val="1"/>
                <w:szCs w:val="1"/>
                <w:color w:val="auto"/>
              </w:rPr>
            </w:pPr>
          </w:p>
        </w:tc>
      </w:tr>
      <w:tr>
        <w:trPr>
          <w:trHeight w:val="248"/>
        </w:trPr>
        <w:tc>
          <w:tcPr>
            <w:tcW w:w="6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debt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1,644.3</w:t>
            </w:r>
          </w:p>
        </w:tc>
        <w:tc>
          <w:tcPr>
            <w:tcW w:w="3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1,659.9</w:t>
            </w:r>
          </w:p>
        </w:tc>
        <w:tc>
          <w:tcPr>
            <w:tcW w:w="10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2,006.8</w:t>
            </w:r>
          </w:p>
        </w:tc>
        <w:tc>
          <w:tcPr>
            <w:tcW w:w="3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2,012.0</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Pentair plc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assets and liabilities measured at fair value on a recurring and nonrecurring basis were as follows: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4"/>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8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r>
      <w:tr>
        <w:trPr>
          <w:trHeight w:val="223"/>
        </w:trPr>
        <w:tc>
          <w:tcPr>
            <w:tcW w:w="5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NAV</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Recurring fair value measurements</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rate contract liabilities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contract liabilities</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w:t>
            </w:r>
          </w:p>
        </w:tc>
      </w:tr>
      <w:tr>
        <w:trPr>
          <w:trHeight w:val="230"/>
        </w:trPr>
        <w:tc>
          <w:tcPr>
            <w:tcW w:w="5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Deferred compensation plan assets</w:t>
            </w: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w:t>
            </w:r>
          </w:p>
        </w:tc>
      </w:tr>
      <w:tr>
        <w:trPr>
          <w:trHeight w:val="248"/>
        </w:trPr>
        <w:tc>
          <w:tcPr>
            <w:tcW w:w="5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recurring fair value measurements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2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r>
      <w:tr>
        <w:trPr>
          <w:trHeight w:val="20"/>
        </w:trPr>
        <w:tc>
          <w:tcPr>
            <w:tcW w:w="54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4"/>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8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r>
      <w:tr>
        <w:trPr>
          <w:trHeight w:val="223"/>
        </w:trPr>
        <w:tc>
          <w:tcPr>
            <w:tcW w:w="5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NAV</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Recurring fair value measurements</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0"/>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rate contract assets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contract assets</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29"/>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contract liabilities</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200" w:type="dxa"/>
            <w:vAlign w:val="bottom"/>
          </w:tcPr>
          <w:p>
            <w:pPr>
              <w:spacing w:after="0"/>
              <w:rPr>
                <w:sz w:val="19"/>
                <w:szCs w:val="19"/>
                <w:color w:val="auto"/>
              </w:rPr>
            </w:pPr>
          </w:p>
        </w:tc>
        <w:tc>
          <w:tcPr>
            <w:tcW w:w="9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r>
      <w:tr>
        <w:trPr>
          <w:trHeight w:val="230"/>
        </w:trPr>
        <w:tc>
          <w:tcPr>
            <w:tcW w:w="5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compensation plan assets</w:t>
            </w: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r>
      <w:tr>
        <w:trPr>
          <w:trHeight w:val="223"/>
        </w:trPr>
        <w:tc>
          <w:tcPr>
            <w:tcW w:w="5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recurring fair value measurements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2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w:t>
            </w:r>
          </w:p>
        </w:tc>
      </w:tr>
      <w:tr>
        <w:trPr>
          <w:trHeight w:val="21"/>
        </w:trPr>
        <w:tc>
          <w:tcPr>
            <w:tcW w:w="54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ind w:left="400" w:hanging="392"/>
        <w:spacing w:after="0"/>
        <w:tabs>
          <w:tab w:leader="none" w:pos="40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manage our affairs so that we are centrally managed and controlled in the United Kingdom (“U.K.”) and therefore have our tax residency in the U.K. The provision for income taxes consists of provisions for the U.K. and international income taxes. We operate in an international environment with operations in various locations outside the U.K. Accordingly, the consolidated income tax rate is a composite rate reflecting the earnings in the various locations and the applicable rates.</w:t>
      </w:r>
    </w:p>
    <w:p>
      <w:pPr>
        <w:spacing w:after="0" w:line="13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effective income tax rate for the nine months ended September 30, 2024 was 14.1%, compared to 14.5% for the nine months ended September 30, 2023. We continue to actively pursue initiatives to reduce our effective tax rate. The tax rate in any quarter can be affected positively or negatively by the mix of global earnings or adjustments that are required to be reported in the specific quarter of resolution.</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total gross liability for uncertain tax positions was $36.8 million and $38.6 million at September 30, 2024 and December 31, 2023, respectively. We record penalties and interest related to unrecognized tax benefits in </w:t>
      </w:r>
      <w:r>
        <w:rPr>
          <w:rFonts w:ascii="Times New Roman" w:cs="Times New Roman" w:eastAsia="Times New Roman" w:hAnsi="Times New Roman"/>
          <w:sz w:val="18"/>
          <w:szCs w:val="18"/>
          <w:i w:val="1"/>
          <w:iCs w:val="1"/>
          <w:color w:val="auto"/>
        </w:rPr>
        <w:t>Provision for income taxes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Net interest expense</w:t>
      </w:r>
      <w:r>
        <w:rPr>
          <w:rFonts w:ascii="Times New Roman" w:cs="Times New Roman" w:eastAsia="Times New Roman" w:hAnsi="Times New Roman"/>
          <w:sz w:val="18"/>
          <w:szCs w:val="18"/>
          <w:color w:val="auto"/>
        </w:rPr>
        <w:t>, respectively, on the Condensed Consolidated Statements of Operations and Comprehensive Income, which is consistent with our past practices.</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Organization for Economic Co-operation and Development Pillar Two Model Rules (“Pillar Two”) for a global 15.0% minimum tax are in the process of being adopted by a number of jurisdictions in which we operate. In particular, the U.K. completed passage of legislation to comply with the Pillar Two framework which became effective on January 1, 2024. For the nine months ended September 30, 2024, the impact of Pillar Two on our condensed consolidated financial statements was not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Pentair plc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Benefit Plans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Components of net periodic benefit expense for our pension plans for the three and nine months ended September 30, 2024 and 2023 were as follows: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40" w:type="dxa"/>
            <w:vAlign w:val="bottom"/>
            <w:gridSpan w:val="4"/>
          </w:tcPr>
          <w:p>
            <w:pPr>
              <w:ind w:left="5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60" w:type="dxa"/>
            <w:vAlign w:val="bottom"/>
          </w:tcPr>
          <w:p>
            <w:pPr>
              <w:spacing w:after="0"/>
              <w:rPr>
                <w:sz w:val="20"/>
                <w:szCs w:val="20"/>
                <w:color w:val="auto"/>
              </w:rPr>
            </w:pPr>
          </w:p>
        </w:tc>
        <w:tc>
          <w:tcPr>
            <w:tcW w:w="2840" w:type="dxa"/>
            <w:vAlign w:val="bottom"/>
            <w:gridSpan w:val="3"/>
          </w:tcPr>
          <w:p>
            <w:pPr>
              <w:ind w:left="60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169"/>
        </w:trPr>
        <w:tc>
          <w:tcPr>
            <w:tcW w:w="51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6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jc w:val="center"/>
              <w:ind w:right="70"/>
              <w:spacing w:after="0" w:line="169" w:lineRule="exact"/>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6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jc w:val="center"/>
              <w:ind w:right="70"/>
              <w:spacing w:after="0" w:line="169" w:lineRule="exact"/>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jc w:val="center"/>
              <w:ind w:right="70"/>
              <w:spacing w:after="0" w:line="169" w:lineRule="exact"/>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6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jc w:val="center"/>
              <w:ind w:right="70"/>
              <w:spacing w:after="0" w:line="169" w:lineRule="exact"/>
              <w:rPr>
                <w:sz w:val="20"/>
                <w:szCs w:val="20"/>
                <w:color w:val="auto"/>
              </w:rPr>
            </w:pPr>
            <w:r>
              <w:rPr>
                <w:rFonts w:ascii="Times New Roman" w:cs="Times New Roman" w:eastAsia="Times New Roman" w:hAnsi="Times New Roman"/>
                <w:sz w:val="18"/>
                <w:szCs w:val="18"/>
                <w:b w:val="1"/>
                <w:bCs w:val="1"/>
                <w:color w:val="auto"/>
                <w:w w:val="99"/>
              </w:rPr>
              <w:t>September 30,</w:t>
            </w:r>
          </w:p>
        </w:tc>
        <w:tc>
          <w:tcPr>
            <w:tcW w:w="0" w:type="dxa"/>
            <w:vAlign w:val="bottom"/>
          </w:tcPr>
          <w:p>
            <w:pPr>
              <w:spacing w:after="0"/>
              <w:rPr>
                <w:sz w:val="1"/>
                <w:szCs w:val="1"/>
                <w:color w:val="auto"/>
              </w:rPr>
            </w:pPr>
          </w:p>
        </w:tc>
      </w:tr>
      <w:tr>
        <w:trPr>
          <w:trHeight w:val="243"/>
        </w:trPr>
        <w:tc>
          <w:tcPr>
            <w:tcW w:w="5140" w:type="dxa"/>
            <w:vAlign w:val="bottom"/>
            <w:tcBorders>
              <w:bottom w:val="single" w:sz="8" w:color="auto"/>
            </w:tcBorders>
            <w:vMerge w:val="continue"/>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23"/>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center"/>
              <w:ind w:left="870"/>
              <w:spacing w:after="0"/>
              <w:rPr>
                <w:sz w:val="20"/>
                <w:szCs w:val="20"/>
                <w:color w:val="auto"/>
              </w:rPr>
            </w:pPr>
            <w:r>
              <w:rPr>
                <w:rFonts w:ascii="Times New Roman" w:cs="Times New Roman" w:eastAsia="Times New Roman" w:hAnsi="Times New Roman"/>
                <w:sz w:val="18"/>
                <w:szCs w:val="18"/>
                <w:color w:val="auto"/>
                <w:w w:val="97"/>
              </w:rPr>
              <w:t>0.4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center"/>
              <w:ind w:left="870"/>
              <w:spacing w:after="0"/>
              <w:rPr>
                <w:sz w:val="20"/>
                <w:szCs w:val="20"/>
                <w:color w:val="auto"/>
              </w:rPr>
            </w:pPr>
            <w:r>
              <w:rPr>
                <w:rFonts w:ascii="Times New Roman" w:cs="Times New Roman" w:eastAsia="Times New Roman" w:hAnsi="Times New Roman"/>
                <w:sz w:val="18"/>
                <w:szCs w:val="18"/>
                <w:color w:val="auto"/>
                <w:w w:val="97"/>
              </w:rPr>
              <w:t>0.4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center"/>
              <w:ind w:left="870"/>
              <w:spacing w:after="0"/>
              <w:rPr>
                <w:sz w:val="20"/>
                <w:szCs w:val="20"/>
                <w:color w:val="auto"/>
              </w:rPr>
            </w:pPr>
            <w:r>
              <w:rPr>
                <w:rFonts w:ascii="Times New Roman" w:cs="Times New Roman" w:eastAsia="Times New Roman" w:hAnsi="Times New Roman"/>
                <w:sz w:val="18"/>
                <w:szCs w:val="18"/>
                <w:color w:val="auto"/>
                <w:w w:val="97"/>
              </w:rPr>
              <w:t>1.2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center"/>
              <w:ind w:left="870"/>
              <w:spacing w:after="0"/>
              <w:rPr>
                <w:sz w:val="20"/>
                <w:szCs w:val="20"/>
                <w:color w:val="auto"/>
              </w:rPr>
            </w:pPr>
            <w:r>
              <w:rPr>
                <w:rFonts w:ascii="Times New Roman" w:cs="Times New Roman" w:eastAsia="Times New Roman" w:hAnsi="Times New Roman"/>
                <w:sz w:val="18"/>
                <w:szCs w:val="18"/>
                <w:color w:val="auto"/>
                <w:w w:val="97"/>
              </w:rPr>
              <w:t>1.2</w:t>
            </w:r>
          </w:p>
        </w:tc>
        <w:tc>
          <w:tcPr>
            <w:tcW w:w="0" w:type="dxa"/>
            <w:vAlign w:val="bottom"/>
          </w:tcPr>
          <w:p>
            <w:pPr>
              <w:spacing w:after="0"/>
              <w:rPr>
                <w:sz w:val="1"/>
                <w:szCs w:val="1"/>
                <w:color w:val="auto"/>
              </w:rPr>
            </w:pPr>
          </w:p>
        </w:tc>
      </w:tr>
      <w:tr>
        <w:trPr>
          <w:trHeight w:val="229"/>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160" w:type="dxa"/>
            <w:vAlign w:val="bottom"/>
          </w:tcPr>
          <w:p>
            <w:pPr>
              <w:spacing w:after="0"/>
              <w:rPr>
                <w:sz w:val="19"/>
                <w:szCs w:val="19"/>
                <w:color w:val="auto"/>
              </w:rPr>
            </w:pPr>
          </w:p>
        </w:tc>
        <w:tc>
          <w:tcPr>
            <w:tcW w:w="1340" w:type="dxa"/>
            <w:vAlign w:val="bottom"/>
          </w:tcPr>
          <w:p>
            <w:pPr>
              <w:jc w:val="center"/>
              <w:ind w:left="870"/>
              <w:spacing w:after="0"/>
              <w:rPr>
                <w:sz w:val="20"/>
                <w:szCs w:val="20"/>
                <w:color w:val="auto"/>
              </w:rPr>
            </w:pPr>
            <w:r>
              <w:rPr>
                <w:rFonts w:ascii="Times New Roman" w:cs="Times New Roman" w:eastAsia="Times New Roman" w:hAnsi="Times New Roman"/>
                <w:sz w:val="18"/>
                <w:szCs w:val="18"/>
                <w:color w:val="auto"/>
                <w:w w:val="97"/>
              </w:rPr>
              <w:t>1.0</w:t>
            </w:r>
          </w:p>
        </w:tc>
        <w:tc>
          <w:tcPr>
            <w:tcW w:w="160" w:type="dxa"/>
            <w:vAlign w:val="bottom"/>
          </w:tcPr>
          <w:p>
            <w:pPr>
              <w:spacing w:after="0"/>
              <w:rPr>
                <w:sz w:val="19"/>
                <w:szCs w:val="19"/>
                <w:color w:val="auto"/>
              </w:rPr>
            </w:pPr>
          </w:p>
        </w:tc>
        <w:tc>
          <w:tcPr>
            <w:tcW w:w="1340" w:type="dxa"/>
            <w:vAlign w:val="bottom"/>
          </w:tcPr>
          <w:p>
            <w:pPr>
              <w:jc w:val="center"/>
              <w:ind w:left="870"/>
              <w:spacing w:after="0"/>
              <w:rPr>
                <w:sz w:val="20"/>
                <w:szCs w:val="20"/>
                <w:color w:val="auto"/>
              </w:rPr>
            </w:pPr>
            <w:r>
              <w:rPr>
                <w:rFonts w:ascii="Times New Roman" w:cs="Times New Roman" w:eastAsia="Times New Roman" w:hAnsi="Times New Roman"/>
                <w:sz w:val="18"/>
                <w:szCs w:val="18"/>
                <w:color w:val="auto"/>
                <w:w w:val="97"/>
              </w:rPr>
              <w:t>1.0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center"/>
              <w:ind w:left="870"/>
              <w:spacing w:after="0"/>
              <w:rPr>
                <w:sz w:val="20"/>
                <w:szCs w:val="20"/>
                <w:color w:val="auto"/>
              </w:rPr>
            </w:pPr>
            <w:r>
              <w:rPr>
                <w:rFonts w:ascii="Times New Roman" w:cs="Times New Roman" w:eastAsia="Times New Roman" w:hAnsi="Times New Roman"/>
                <w:sz w:val="18"/>
                <w:szCs w:val="18"/>
                <w:color w:val="auto"/>
                <w:w w:val="97"/>
              </w:rPr>
              <w:t>3.0</w:t>
            </w:r>
          </w:p>
        </w:tc>
        <w:tc>
          <w:tcPr>
            <w:tcW w:w="160" w:type="dxa"/>
            <w:vAlign w:val="bottom"/>
          </w:tcPr>
          <w:p>
            <w:pPr>
              <w:spacing w:after="0"/>
              <w:rPr>
                <w:sz w:val="19"/>
                <w:szCs w:val="19"/>
                <w:color w:val="auto"/>
              </w:rPr>
            </w:pPr>
          </w:p>
        </w:tc>
        <w:tc>
          <w:tcPr>
            <w:tcW w:w="1340" w:type="dxa"/>
            <w:vAlign w:val="bottom"/>
          </w:tcPr>
          <w:p>
            <w:pPr>
              <w:jc w:val="center"/>
              <w:ind w:left="870"/>
              <w:spacing w:after="0"/>
              <w:rPr>
                <w:sz w:val="20"/>
                <w:szCs w:val="20"/>
                <w:color w:val="auto"/>
              </w:rPr>
            </w:pPr>
            <w:r>
              <w:rPr>
                <w:rFonts w:ascii="Times New Roman" w:cs="Times New Roman" w:eastAsia="Times New Roman" w:hAnsi="Times New Roman"/>
                <w:sz w:val="18"/>
                <w:szCs w:val="18"/>
                <w:color w:val="auto"/>
                <w:w w:val="97"/>
              </w:rPr>
              <w:t>3.0</w:t>
            </w:r>
          </w:p>
        </w:tc>
        <w:tc>
          <w:tcPr>
            <w:tcW w:w="0" w:type="dxa"/>
            <w:vAlign w:val="bottom"/>
          </w:tcPr>
          <w:p>
            <w:pPr>
              <w:spacing w:after="0"/>
              <w:rPr>
                <w:sz w:val="1"/>
                <w:szCs w:val="1"/>
                <w:color w:val="auto"/>
              </w:rPr>
            </w:pPr>
          </w:p>
        </w:tc>
      </w:tr>
      <w:tr>
        <w:trPr>
          <w:trHeight w:val="230"/>
        </w:trPr>
        <w:tc>
          <w:tcPr>
            <w:tcW w:w="5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center"/>
              <w:ind w:left="830"/>
              <w:spacing w:after="0"/>
              <w:rPr>
                <w:sz w:val="20"/>
                <w:szCs w:val="20"/>
                <w:color w:val="auto"/>
              </w:rPr>
            </w:pPr>
            <w:r>
              <w:rPr>
                <w:rFonts w:ascii="Times New Roman" w:cs="Times New Roman" w:eastAsia="Times New Roman" w:hAnsi="Times New Roman"/>
                <w:sz w:val="18"/>
                <w:szCs w:val="18"/>
                <w:color w:val="auto"/>
                <w:w w:val="98"/>
              </w:rPr>
              <w:t>(0.1)</w:t>
            </w: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center"/>
              <w:ind w:left="830"/>
              <w:spacing w:after="0"/>
              <w:rPr>
                <w:sz w:val="20"/>
                <w:szCs w:val="20"/>
                <w:color w:val="auto"/>
              </w:rPr>
            </w:pPr>
            <w:r>
              <w:rPr>
                <w:rFonts w:ascii="Times New Roman" w:cs="Times New Roman" w:eastAsia="Times New Roman" w:hAnsi="Times New Roman"/>
                <w:sz w:val="18"/>
                <w:szCs w:val="18"/>
                <w:color w:val="auto"/>
                <w:w w:val="98"/>
              </w:rPr>
              <w:t>(0.2)</w:t>
            </w: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center"/>
              <w:ind w:left="850"/>
              <w:spacing w:after="0"/>
              <w:rPr>
                <w:sz w:val="20"/>
                <w:szCs w:val="20"/>
                <w:color w:val="auto"/>
              </w:rPr>
            </w:pPr>
            <w:r>
              <w:rPr>
                <w:rFonts w:ascii="Times New Roman" w:cs="Times New Roman" w:eastAsia="Times New Roman" w:hAnsi="Times New Roman"/>
                <w:sz w:val="18"/>
                <w:szCs w:val="18"/>
                <w:color w:val="auto"/>
              </w:rPr>
              <w:t>(0.3)</w:t>
            </w: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center"/>
              <w:ind w:left="850"/>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23"/>
        </w:trPr>
        <w:tc>
          <w:tcPr>
            <w:tcW w:w="5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periodic benefit expense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center"/>
              <w:ind w:left="870"/>
              <w:spacing w:after="0"/>
              <w:rPr>
                <w:sz w:val="20"/>
                <w:szCs w:val="20"/>
                <w:color w:val="auto"/>
              </w:rPr>
            </w:pPr>
            <w:r>
              <w:rPr>
                <w:rFonts w:ascii="Times New Roman" w:cs="Times New Roman" w:eastAsia="Times New Roman" w:hAnsi="Times New Roman"/>
                <w:sz w:val="18"/>
                <w:szCs w:val="18"/>
                <w:color w:val="auto"/>
                <w:w w:val="97"/>
              </w:rPr>
              <w:t>1.3</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center"/>
              <w:ind w:left="870"/>
              <w:spacing w:after="0"/>
              <w:rPr>
                <w:sz w:val="20"/>
                <w:szCs w:val="20"/>
                <w:color w:val="auto"/>
              </w:rPr>
            </w:pPr>
            <w:r>
              <w:rPr>
                <w:rFonts w:ascii="Times New Roman" w:cs="Times New Roman" w:eastAsia="Times New Roman" w:hAnsi="Times New Roman"/>
                <w:sz w:val="18"/>
                <w:szCs w:val="18"/>
                <w:color w:val="auto"/>
                <w:w w:val="97"/>
              </w:rPr>
              <w:t>1.2</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center"/>
              <w:ind w:left="870"/>
              <w:spacing w:after="0"/>
              <w:rPr>
                <w:sz w:val="20"/>
                <w:szCs w:val="20"/>
                <w:color w:val="auto"/>
              </w:rPr>
            </w:pPr>
            <w:r>
              <w:rPr>
                <w:rFonts w:ascii="Times New Roman" w:cs="Times New Roman" w:eastAsia="Times New Roman" w:hAnsi="Times New Roman"/>
                <w:sz w:val="18"/>
                <w:szCs w:val="18"/>
                <w:color w:val="auto"/>
                <w:w w:val="97"/>
              </w:rPr>
              <w:t>3.9</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center"/>
              <w:ind w:left="870"/>
              <w:spacing w:after="0"/>
              <w:rPr>
                <w:sz w:val="20"/>
                <w:szCs w:val="20"/>
                <w:color w:val="auto"/>
              </w:rPr>
            </w:pPr>
            <w:r>
              <w:rPr>
                <w:rFonts w:ascii="Times New Roman" w:cs="Times New Roman" w:eastAsia="Times New Roman" w:hAnsi="Times New Roman"/>
                <w:sz w:val="18"/>
                <w:szCs w:val="18"/>
                <w:color w:val="auto"/>
                <w:w w:val="97"/>
              </w:rPr>
              <w:t>3.6</w:t>
            </w:r>
          </w:p>
        </w:tc>
        <w:tc>
          <w:tcPr>
            <w:tcW w:w="0" w:type="dxa"/>
            <w:vAlign w:val="bottom"/>
          </w:tcPr>
          <w:p>
            <w:pPr>
              <w:spacing w:after="0"/>
              <w:rPr>
                <w:sz w:val="1"/>
                <w:szCs w:val="1"/>
                <w:color w:val="auto"/>
              </w:rPr>
            </w:pPr>
          </w:p>
        </w:tc>
      </w:tr>
      <w:tr>
        <w:trPr>
          <w:trHeight w:val="21"/>
        </w:trPr>
        <w:tc>
          <w:tcPr>
            <w:tcW w:w="5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Components of net periodic benefit expense for our other post-retirement plans for the three and nine months ended September 30, 2024 and 2023 were not material.</w:t>
      </w:r>
    </w:p>
    <w:p>
      <w:pPr>
        <w:spacing w:after="0" w:line="185" w:lineRule="exact"/>
        <w:rPr>
          <w:sz w:val="20"/>
          <w:szCs w:val="20"/>
          <w:color w:val="auto"/>
        </w:rPr>
      </w:pPr>
    </w:p>
    <w:p>
      <w:pPr>
        <w:ind w:right="9200" w:firstLine="8"/>
        <w:spacing w:after="0" w:line="263" w:lineRule="auto"/>
        <w:tabs>
          <w:tab w:leader="none" w:pos="405"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Shareholders’ Equity </w:t>
      </w:r>
      <w:r>
        <w:rPr>
          <w:rFonts w:ascii="Times New Roman" w:cs="Times New Roman" w:eastAsia="Times New Roman" w:hAnsi="Times New Roman"/>
          <w:sz w:val="18"/>
          <w:szCs w:val="18"/>
          <w:b w:val="1"/>
          <w:bCs w:val="1"/>
          <w:i w:val="1"/>
          <w:iCs w:val="1"/>
          <w:color w:val="auto"/>
        </w:rPr>
        <w:t>Share repurchases</w:t>
      </w:r>
    </w:p>
    <w:p>
      <w:pPr>
        <w:jc w:val="both"/>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December 2020, the Board of Directors authorized the repurchase of our ordinary shares up to a maximum dollar limit of $750.0 million. The authorization expires on December 31, 2025. During the nine months ended September 30, 2024, we repurchased 1.2 million of our ordinary shares for $100.0 million. As of September 30, 2024, we had $500.0 million available for share repurchases under this authorization.</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 payable</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On September 23, 2024, the Board of Directors declared a quarterly cash dividend of $0.23 per share, payable on November 1, 2024 to shareholders of record at the close of business on October 18, 2024. As a result, the balance of dividends payable included in </w:t>
      </w:r>
      <w:r>
        <w:rPr>
          <w:rFonts w:ascii="Times New Roman" w:cs="Times New Roman" w:eastAsia="Times New Roman" w:hAnsi="Times New Roman"/>
          <w:sz w:val="18"/>
          <w:szCs w:val="18"/>
          <w:i w:val="1"/>
          <w:iCs w:val="1"/>
          <w:color w:val="auto"/>
        </w:rPr>
        <w:t>Other current liabilities</w:t>
      </w:r>
      <w:r>
        <w:rPr>
          <w:rFonts w:ascii="Times New Roman" w:cs="Times New Roman" w:eastAsia="Times New Roman" w:hAnsi="Times New Roman"/>
          <w:sz w:val="18"/>
          <w:szCs w:val="18"/>
          <w:color w:val="auto"/>
        </w:rPr>
        <w:t xml:space="preserve"> on our Condensed Consolidated Balance Sheets was $38.0 million at both September 30, 2024 and December 31, 2023, respectively.</w:t>
      </w:r>
    </w:p>
    <w:p>
      <w:pPr>
        <w:spacing w:after="0" w:line="141"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7"/>
          <w:szCs w:val="17"/>
          <w:b w:val="1"/>
          <w:bCs w:val="1"/>
          <w:color w:val="auto"/>
        </w:rPr>
        <w:t>Segment Information</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are composed of three reporting segments: Flow, Water Solutions and Pool. We evaluate performance based on net sales and reportable segment income and use a variety of ratios to measure performance of our reporting segments. These results are not necessarily indicative of the results of operations that would have occurred had each segment been an independent, stand-alone entity during the periods presented. Reportable segment income represents operating income of each reportable segment inclusive of equity income of unconsolidated subsidiaries and exclusive of intangible amortization, costs of restructuring and transformation activities, impairments, legal accrual adjustments and settlements and other unusual non-operating items. “Corporate and other” activity primarily consists of corporate expenses not allocated to the segments, including executive office, board of directors, and centrally-managed corporate functional or shared service costs related to finance, human resources, communications and corporate development. These activities do not meet the criteria for a stand-alone reporting segment under accounting standards codification (“ASC”) 280.</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sales of the Company’s reportable segments as well as Corporate and other were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40" w:type="dxa"/>
            <w:vAlign w:val="bottom"/>
            <w:gridSpan w:val="4"/>
          </w:tcPr>
          <w:p>
            <w:pPr>
              <w:ind w:left="5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60" w:type="dxa"/>
            <w:vAlign w:val="bottom"/>
          </w:tcPr>
          <w:p>
            <w:pPr>
              <w:spacing w:after="0"/>
              <w:rPr>
                <w:sz w:val="20"/>
                <w:szCs w:val="20"/>
                <w:color w:val="auto"/>
              </w:rPr>
            </w:pPr>
          </w:p>
        </w:tc>
        <w:tc>
          <w:tcPr>
            <w:tcW w:w="2840" w:type="dxa"/>
            <w:vAlign w:val="bottom"/>
            <w:gridSpan w:val="3"/>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174"/>
        </w:trPr>
        <w:tc>
          <w:tcPr>
            <w:tcW w:w="51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6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jc w:val="right"/>
              <w:ind w:right="70"/>
              <w:spacing w:after="0" w:line="174"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20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jc w:val="right"/>
              <w:ind w:right="110"/>
              <w:spacing w:after="0" w:line="174"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jc w:val="right"/>
              <w:ind w:right="90"/>
              <w:spacing w:after="0" w:line="174"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8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jc w:val="right"/>
              <w:ind w:right="110"/>
              <w:spacing w:after="0" w:line="174"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38"/>
        </w:trPr>
        <w:tc>
          <w:tcPr>
            <w:tcW w:w="5140" w:type="dxa"/>
            <w:vAlign w:val="bottom"/>
            <w:tcBorders>
              <w:bottom w:val="single" w:sz="8" w:color="auto"/>
            </w:tcBorders>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23"/>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Flow</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1,203.6</w:t>
            </w:r>
          </w:p>
        </w:tc>
        <w:tc>
          <w:tcPr>
            <w:tcW w:w="0" w:type="dxa"/>
            <w:vAlign w:val="bottom"/>
          </w:tcPr>
          <w:p>
            <w:pPr>
              <w:spacing w:after="0"/>
              <w:rPr>
                <w:sz w:val="1"/>
                <w:szCs w:val="1"/>
                <w:color w:val="auto"/>
              </w:rPr>
            </w:pPr>
          </w:p>
        </w:tc>
      </w:tr>
      <w:tr>
        <w:trPr>
          <w:trHeight w:val="229"/>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Water Solutions</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289.5</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873.1</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907.6</w:t>
            </w:r>
          </w:p>
        </w:tc>
        <w:tc>
          <w:tcPr>
            <w:tcW w:w="0" w:type="dxa"/>
            <w:vAlign w:val="bottom"/>
          </w:tcPr>
          <w:p>
            <w:pPr>
              <w:spacing w:after="0"/>
              <w:rPr>
                <w:sz w:val="1"/>
                <w:szCs w:val="1"/>
                <w:color w:val="auto"/>
              </w:rPr>
            </w:pPr>
          </w:p>
        </w:tc>
      </w:tr>
      <w:tr>
        <w:trPr>
          <w:trHeight w:val="230"/>
        </w:trPr>
        <w:tc>
          <w:tcPr>
            <w:tcW w:w="5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Pool</w:t>
            </w: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331.4</w:t>
            </w: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308.8</w:t>
            </w: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1,082.4</w:t>
            </w: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1,007.4</w:t>
            </w:r>
          </w:p>
        </w:tc>
        <w:tc>
          <w:tcPr>
            <w:tcW w:w="0" w:type="dxa"/>
            <w:vAlign w:val="bottom"/>
          </w:tcPr>
          <w:p>
            <w:pPr>
              <w:spacing w:after="0"/>
              <w:rPr>
                <w:sz w:val="1"/>
                <w:szCs w:val="1"/>
                <w:color w:val="auto"/>
              </w:rPr>
            </w:pPr>
          </w:p>
        </w:tc>
      </w:tr>
      <w:tr>
        <w:trPr>
          <w:trHeight w:val="223"/>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Reportable segment net sales</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993.1</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3,108.8</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3,118.6</w:t>
            </w:r>
          </w:p>
        </w:tc>
        <w:tc>
          <w:tcPr>
            <w:tcW w:w="0" w:type="dxa"/>
            <w:vAlign w:val="bottom"/>
          </w:tcPr>
          <w:p>
            <w:pPr>
              <w:spacing w:after="0"/>
              <w:rPr>
                <w:sz w:val="1"/>
                <w:szCs w:val="1"/>
                <w:color w:val="auto"/>
              </w:rPr>
            </w:pPr>
          </w:p>
        </w:tc>
      </w:tr>
      <w:tr>
        <w:trPr>
          <w:trHeight w:val="230"/>
        </w:trPr>
        <w:tc>
          <w:tcPr>
            <w:tcW w:w="5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3"/>
        </w:trPr>
        <w:tc>
          <w:tcPr>
            <w:tcW w:w="5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993.4</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1,008.8</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3,109.9</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3,119.9</w:t>
            </w:r>
          </w:p>
        </w:tc>
        <w:tc>
          <w:tcPr>
            <w:tcW w:w="0" w:type="dxa"/>
            <w:vAlign w:val="bottom"/>
          </w:tcPr>
          <w:p>
            <w:pPr>
              <w:spacing w:after="0"/>
              <w:rPr>
                <w:sz w:val="1"/>
                <w:szCs w:val="1"/>
                <w:color w:val="auto"/>
              </w:rPr>
            </w:pPr>
          </w:p>
        </w:tc>
      </w:tr>
      <w:tr>
        <w:trPr>
          <w:trHeight w:val="20"/>
        </w:trPr>
        <w:tc>
          <w:tcPr>
            <w:tcW w:w="5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Pentair plc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reconciliation of reportable segment income to consolidated income from continuing operations before income taxes:</w:t>
      </w:r>
    </w:p>
    <w:p>
      <w:pPr>
        <w:spacing w:after="0" w:line="140"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40" w:type="dxa"/>
            <w:vAlign w:val="bottom"/>
            <w:gridSpan w:val="4"/>
          </w:tcPr>
          <w:p>
            <w:pPr>
              <w:ind w:left="5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60" w:type="dxa"/>
            <w:vAlign w:val="bottom"/>
          </w:tcPr>
          <w:p>
            <w:pPr>
              <w:spacing w:after="0"/>
              <w:rPr>
                <w:sz w:val="20"/>
                <w:szCs w:val="20"/>
                <w:color w:val="auto"/>
              </w:rPr>
            </w:pPr>
          </w:p>
        </w:tc>
        <w:tc>
          <w:tcPr>
            <w:tcW w:w="2840" w:type="dxa"/>
            <w:vAlign w:val="bottom"/>
            <w:gridSpan w:val="3"/>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169"/>
        </w:trPr>
        <w:tc>
          <w:tcPr>
            <w:tcW w:w="51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6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jc w:val="right"/>
              <w:ind w:right="110"/>
              <w:spacing w:after="0" w:line="169"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6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jc w:val="right"/>
              <w:ind w:right="110"/>
              <w:spacing w:after="0" w:line="169"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jc w:val="right"/>
              <w:ind w:right="110"/>
              <w:spacing w:after="0" w:line="169"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6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jc w:val="right"/>
              <w:ind w:right="110"/>
              <w:spacing w:after="0" w:line="169"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43"/>
        </w:trPr>
        <w:tc>
          <w:tcPr>
            <w:tcW w:w="5100" w:type="dxa"/>
            <w:vAlign w:val="bottom"/>
            <w:tcBorders>
              <w:bottom w:val="single" w:sz="8" w:color="auto"/>
            </w:tcBorders>
            <w:vMerge w:val="continue"/>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23"/>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Reportable segment income</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Flow</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217.3</w:t>
            </w:r>
          </w:p>
        </w:tc>
        <w:tc>
          <w:tcPr>
            <w:tcW w:w="0" w:type="dxa"/>
            <w:vAlign w:val="bottom"/>
          </w:tcPr>
          <w:p>
            <w:pPr>
              <w:spacing w:after="0"/>
              <w:rPr>
                <w:sz w:val="1"/>
                <w:szCs w:val="1"/>
                <w:color w:val="auto"/>
              </w:rPr>
            </w:pPr>
          </w:p>
        </w:tc>
      </w:tr>
      <w:tr>
        <w:trPr>
          <w:trHeight w:val="229"/>
        </w:trPr>
        <w:tc>
          <w:tcPr>
            <w:tcW w:w="5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Water Solutions</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192.9</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196.0</w:t>
            </w:r>
          </w:p>
        </w:tc>
        <w:tc>
          <w:tcPr>
            <w:tcW w:w="0" w:type="dxa"/>
            <w:vAlign w:val="bottom"/>
          </w:tcPr>
          <w:p>
            <w:pPr>
              <w:spacing w:after="0"/>
              <w:rPr>
                <w:sz w:val="1"/>
                <w:szCs w:val="1"/>
                <w:color w:val="auto"/>
              </w:rPr>
            </w:pPr>
          </w:p>
        </w:tc>
      </w:tr>
      <w:tr>
        <w:trPr>
          <w:trHeight w:val="229"/>
        </w:trPr>
        <w:tc>
          <w:tcPr>
            <w:tcW w:w="51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Pool</w:t>
            </w: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112.7</w:t>
            </w: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90.6</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357.1</w:t>
            </w: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311.9</w:t>
            </w:r>
          </w:p>
        </w:tc>
        <w:tc>
          <w:tcPr>
            <w:tcW w:w="0" w:type="dxa"/>
            <w:vAlign w:val="bottom"/>
          </w:tcPr>
          <w:p>
            <w:pPr>
              <w:spacing w:after="0"/>
              <w:rPr>
                <w:sz w:val="1"/>
                <w:szCs w:val="1"/>
                <w:color w:val="auto"/>
              </w:rPr>
            </w:pPr>
          </w:p>
        </w:tc>
      </w:tr>
      <w:tr>
        <w:trPr>
          <w:trHeight w:val="223"/>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Reportable segment income</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259.9</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794.5</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725.2</w:t>
            </w:r>
          </w:p>
        </w:tc>
        <w:tc>
          <w:tcPr>
            <w:tcW w:w="0" w:type="dxa"/>
            <w:vAlign w:val="bottom"/>
          </w:tcPr>
          <w:p>
            <w:pPr>
              <w:spacing w:after="0"/>
              <w:rPr>
                <w:sz w:val="1"/>
                <w:szCs w:val="1"/>
                <w:color w:val="auto"/>
              </w:rPr>
            </w:pPr>
          </w:p>
        </w:tc>
      </w:tr>
      <w:tr>
        <w:trPr>
          <w:trHeight w:val="229"/>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0" w:type="dxa"/>
            <w:vAlign w:val="bottom"/>
          </w:tcPr>
          <w:p>
            <w:pPr>
              <w:spacing w:after="0"/>
              <w:rPr>
                <w:sz w:val="1"/>
                <w:szCs w:val="1"/>
                <w:color w:val="auto"/>
              </w:rPr>
            </w:pPr>
          </w:p>
        </w:tc>
      </w:tr>
      <w:tr>
        <w:trPr>
          <w:trHeight w:val="230"/>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 impairment and write-offs</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29"/>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and other</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29"/>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Transformation costs</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0" w:type="dxa"/>
            <w:vAlign w:val="bottom"/>
          </w:tcPr>
          <w:p>
            <w:pPr>
              <w:spacing w:after="0"/>
              <w:rPr>
                <w:sz w:val="1"/>
                <w:szCs w:val="1"/>
                <w:color w:val="auto"/>
              </w:rPr>
            </w:pPr>
          </w:p>
        </w:tc>
      </w:tr>
      <w:tr>
        <w:trPr>
          <w:trHeight w:val="230"/>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amortization</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0" w:type="dxa"/>
            <w:vAlign w:val="bottom"/>
          </w:tcPr>
          <w:p>
            <w:pPr>
              <w:spacing w:after="0"/>
              <w:rPr>
                <w:sz w:val="1"/>
                <w:szCs w:val="1"/>
                <w:color w:val="auto"/>
              </w:rPr>
            </w:pPr>
          </w:p>
        </w:tc>
      </w:tr>
      <w:tr>
        <w:trPr>
          <w:trHeight w:val="229"/>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Legal accrual adjustments and settlements</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6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30"/>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w:t>
            </w:r>
          </w:p>
        </w:tc>
        <w:tc>
          <w:tcPr>
            <w:tcW w:w="0" w:type="dxa"/>
            <w:vAlign w:val="bottom"/>
          </w:tcPr>
          <w:p>
            <w:pPr>
              <w:spacing w:after="0"/>
              <w:rPr>
                <w:sz w:val="1"/>
                <w:szCs w:val="1"/>
                <w:color w:val="auto"/>
              </w:rPr>
            </w:pPr>
          </w:p>
        </w:tc>
      </w:tr>
      <w:tr>
        <w:trPr>
          <w:trHeight w:val="229"/>
        </w:trPr>
        <w:tc>
          <w:tcPr>
            <w:tcW w:w="5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income</w:t>
            </w: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23"/>
        </w:trPr>
        <w:tc>
          <w:tcPr>
            <w:tcW w:w="5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Income from continuing operations before income taxes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160.2</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152.9</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534.5</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484.9</w:t>
            </w:r>
          </w:p>
        </w:tc>
        <w:tc>
          <w:tcPr>
            <w:tcW w:w="0" w:type="dxa"/>
            <w:vAlign w:val="bottom"/>
          </w:tcPr>
          <w:p>
            <w:pPr>
              <w:spacing w:after="0"/>
              <w:rPr>
                <w:sz w:val="1"/>
                <w:szCs w:val="1"/>
                <w:color w:val="auto"/>
              </w:rPr>
            </w:pPr>
          </w:p>
        </w:tc>
      </w:tr>
      <w:tr>
        <w:trPr>
          <w:trHeight w:val="20"/>
        </w:trPr>
        <w:tc>
          <w:tcPr>
            <w:tcW w:w="5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ind w:right="8280" w:firstLine="8"/>
        <w:spacing w:after="0" w:line="263" w:lineRule="auto"/>
        <w:tabs>
          <w:tab w:leader="none" w:pos="405"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Commitments and Contingencies </w:t>
      </w:r>
      <w:r>
        <w:rPr>
          <w:rFonts w:ascii="Times New Roman" w:cs="Times New Roman" w:eastAsia="Times New Roman" w:hAnsi="Times New Roman"/>
          <w:sz w:val="18"/>
          <w:szCs w:val="18"/>
          <w:b w:val="1"/>
          <w:bCs w:val="1"/>
          <w:i w:val="1"/>
          <w:iCs w:val="1"/>
          <w:color w:val="auto"/>
        </w:rPr>
        <w:t>Warranties</w:t>
      </w:r>
    </w:p>
    <w:p>
      <w:pPr>
        <w:spacing w:after="0" w:line="26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provide service and warranty policies on our products. Liability under service and warranty policies is based upon a review of historical warranty and service claim experience. Adjustments are made to accruals as claim data and historical experience warrant.</w:t>
      </w:r>
    </w:p>
    <w:p>
      <w:pPr>
        <w:spacing w:after="0" w:line="1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changes in the carrying amount of service and product warranties from continuing operations for the nine months ended September 30, 2024 were as follows: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3560" w:type="dxa"/>
            <w:vAlign w:val="bottom"/>
          </w:tcPr>
          <w:p>
            <w:pPr>
              <w:spacing w:after="0"/>
              <w:rPr>
                <w:sz w:val="18"/>
                <w:szCs w:val="18"/>
                <w:color w:val="auto"/>
              </w:rPr>
            </w:pPr>
          </w:p>
        </w:tc>
        <w:tc>
          <w:tcPr>
            <w:tcW w:w="14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38"/>
        </w:trPr>
        <w:tc>
          <w:tcPr>
            <w:tcW w:w="6260" w:type="dxa"/>
            <w:vAlign w:val="bottom"/>
            <w:tcBorders>
              <w:bottom w:val="single" w:sz="8" w:color="auto"/>
            </w:tcBorders>
            <w:vMerge w:val="continue"/>
          </w:tcPr>
          <w:p>
            <w:pPr>
              <w:spacing w:after="0"/>
              <w:rPr>
                <w:sz w:val="20"/>
                <w:szCs w:val="20"/>
                <w:color w:val="auto"/>
              </w:rPr>
            </w:pPr>
          </w:p>
        </w:tc>
        <w:tc>
          <w:tcPr>
            <w:tcW w:w="35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23"/>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3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0" w:type="dxa"/>
            <w:vAlign w:val="bottom"/>
          </w:tcPr>
          <w:p>
            <w:pPr>
              <w:spacing w:after="0"/>
              <w:rPr>
                <w:sz w:val="1"/>
                <w:szCs w:val="1"/>
                <w:color w:val="auto"/>
              </w:rPr>
            </w:pPr>
          </w:p>
        </w:tc>
      </w:tr>
      <w:tr>
        <w:trPr>
          <w:trHeight w:val="230"/>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 and product warranty provision</w:t>
            </w:r>
          </w:p>
        </w:tc>
        <w:tc>
          <w:tcPr>
            <w:tcW w:w="35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0" w:type="dxa"/>
            <w:vAlign w:val="bottom"/>
          </w:tcPr>
          <w:p>
            <w:pPr>
              <w:spacing w:after="0"/>
              <w:rPr>
                <w:sz w:val="1"/>
                <w:szCs w:val="1"/>
                <w:color w:val="auto"/>
              </w:rPr>
            </w:pPr>
          </w:p>
        </w:tc>
      </w:tr>
      <w:tr>
        <w:trPr>
          <w:trHeight w:val="230"/>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w:t>
            </w:r>
          </w:p>
        </w:tc>
        <w:tc>
          <w:tcPr>
            <w:tcW w:w="35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0" w:type="dxa"/>
            <w:vAlign w:val="bottom"/>
          </w:tcPr>
          <w:p>
            <w:pPr>
              <w:spacing w:after="0"/>
              <w:rPr>
                <w:sz w:val="1"/>
                <w:szCs w:val="1"/>
                <w:color w:val="auto"/>
              </w:rPr>
            </w:pPr>
          </w:p>
        </w:tc>
      </w:tr>
      <w:tr>
        <w:trPr>
          <w:trHeight w:val="229"/>
        </w:trPr>
        <w:tc>
          <w:tcPr>
            <w:tcW w:w="6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35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48"/>
        </w:trPr>
        <w:tc>
          <w:tcPr>
            <w:tcW w:w="6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3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0" w:type="dxa"/>
            <w:vAlign w:val="bottom"/>
          </w:tcPr>
          <w:p>
            <w:pPr>
              <w:spacing w:after="0"/>
              <w:rPr>
                <w:sz w:val="1"/>
                <w:szCs w:val="1"/>
                <w:color w:val="auto"/>
              </w:rPr>
            </w:pPr>
          </w:p>
        </w:tc>
      </w:tr>
      <w:tr>
        <w:trPr>
          <w:trHeight w:val="20"/>
        </w:trPr>
        <w:tc>
          <w:tcPr>
            <w:tcW w:w="6260" w:type="dxa"/>
            <w:vAlign w:val="bottom"/>
            <w:tcBorders>
              <w:top w:val="single" w:sz="8" w:color="CCEEFF"/>
              <w:bottom w:val="single" w:sz="8" w:color="auto"/>
            </w:tcBorders>
          </w:tcPr>
          <w:p>
            <w:pPr>
              <w:spacing w:after="0" w:line="20" w:lineRule="exact"/>
              <w:rPr>
                <w:sz w:val="1"/>
                <w:szCs w:val="1"/>
                <w:color w:val="auto"/>
              </w:rPr>
            </w:pPr>
          </w:p>
        </w:tc>
        <w:tc>
          <w:tcPr>
            <w:tcW w:w="35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Stand-by letters of credit, bank guarantees and bonds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ordinary course of business, we are required to commit to bonds, letters of credit and bank guarantees that require payments to our customers for any non-performance. The outstanding face value of these instruments fluctuates with the value of our projects in process and in our backlog. In addition, we issue financial stand-by letters of credit primarily to secure our performance to third parties under self-insurance programs.</w:t>
      </w:r>
    </w:p>
    <w:p>
      <w:pPr>
        <w:spacing w:after="0" w:line="13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September 30, 2024 and December 31, 2023, the outstanding value of bonds, letters of credit and bank guarantees totaled $105.1 million and $124.3 million, respectively.</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1100"/>
        <w:spacing w:after="0" w:line="350" w:lineRule="auto"/>
        <w:rPr>
          <w:sz w:val="20"/>
          <w:szCs w:val="20"/>
          <w:color w:val="auto"/>
        </w:rPr>
      </w:pPr>
      <w:r>
        <w:rPr>
          <w:rFonts w:ascii="Times New Roman" w:cs="Times New Roman" w:eastAsia="Times New Roman" w:hAnsi="Times New Roman"/>
          <w:sz w:val="18"/>
          <w:szCs w:val="18"/>
          <w:b w:val="1"/>
          <w:bCs w:val="1"/>
          <w:color w:val="auto"/>
        </w:rPr>
        <w:t xml:space="preserve">ITEM 2. MANAGEMENT’S DISCUSSION AND ANALYSIS OF FINANCIAL CONDITION AND RESULTS OF OPERATIONS </w:t>
      </w:r>
      <w:r>
        <w:rPr>
          <w:rFonts w:ascii="Times New Roman" w:cs="Times New Roman" w:eastAsia="Times New Roman" w:hAnsi="Times New Roman"/>
          <w:sz w:val="18"/>
          <w:szCs w:val="18"/>
          <w:b w:val="1"/>
          <w:bCs w:val="1"/>
          <w:i w:val="1"/>
          <w:iCs w:val="1"/>
          <w:color w:val="auto"/>
        </w:rPr>
        <w:t>Forward-looking Statements</w:t>
      </w:r>
    </w:p>
    <w:p>
      <w:pPr>
        <w:spacing w:after="0" w:line="1"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This report contains statements that we believe to be “forward-looking statements” within the meaning of the Private Securities Litigation Reform Act of 1995. All statements, other than statements of historical fact, are forward-looking statements. Without limitation, any statements preceded or followed by or that include the words “targets,” “plans,” “believes,” “expects,” “intends,” “will,” “likely,” “may,” “anticipates,” “estimates,” “projects,” “should,” “would,” “could,” “positioned,” “strategy,” or “future” or words, phrases, or terms of similar substance or the negative thereof are forward-looking statements. These forward-looking statements are not guarantees of future performance and are subject to risks, uncertainties, assumptions and other factors, some of which are beyond our control, which could cause actual results to differ materially from those expressed or implied by such forward-looking statements. These factors include the overall global economic and business conditions impacting our business, including the strength of housing and related markets and conditions relating to international hostilities; supply, demand, logistics, competition and pricing pressures related to and in the markets we serve; the ability to achieve the benefits of our restructuring plans, cost reduction initiatives and Transformation Program; the impact of raw material, logistics and labor costs and other inflation; volatility in currency exchange rates and interest rates; failure of markets to accept new product introductions and enhancements; the ability to successfully identify, finance, complete and integrate acquisitions; risks associated with operating foreign businesses; the impact of seasonality of sales and weather conditions; our ability to comply with laws and regulations; the impact of changes in laws, regulations and administrative policy, including those that limit U.S. tax benefits or impact trade agreements and tariffs; the outcome of litigation and governmental proceedings; and the ability to achieve our long-term strategic operating and environmental, social and governance (“ESG”) goals and targets. Additional information concerning these and other factors is contained in our filings with the U.S. Securities and Exchange Commission, including this Form 10-Q and our Annual Report on Form 10-K for the year ended December 31, 2023. All forward-looking statements speak only as of the date of this report. Pentair assumes no obligation, and disclaims any obligation, to update the information contained in this report.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terms “us,” “we,” “our” or “Pentair” refer to Pentair plc and its consolidated subsidiaries. At Pentair, we believe the health of our world depends on reliable access to clean water. We deliver a comprehensive range of smart, sustainable water solutions to homes, businesses and industries around the world. Our industry-leading and proven portfolio of solutions enables our customers to access clean, safe water; reduce water consumption; and recover and reuse water. Whether it’s moving, improving or helping people enjoy water, we help manage life’s most essential resource. We are composed of three reporting segments: Flow, Water Solutions and Pool. For the first nine months of 2024, the Flow, Water Solutions and Pool segments represented approximately 37%, 28% and 35% of total revenues, respectively. We classify our operations into reporting segments based primarily on types of products offered and markets served:</w:t>
      </w:r>
    </w:p>
    <w:p>
      <w:pPr>
        <w:spacing w:after="0" w:line="130" w:lineRule="exact"/>
        <w:rPr>
          <w:sz w:val="20"/>
          <w:szCs w:val="20"/>
          <w:color w:val="auto"/>
        </w:rPr>
      </w:pPr>
    </w:p>
    <w:p>
      <w:pPr>
        <w:jc w:val="both"/>
        <w:ind w:left="660" w:hanging="328"/>
        <w:spacing w:after="0" w:line="256"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Flow </w:t>
      </w:r>
      <w:r>
        <w:rPr>
          <w:rFonts w:ascii="Times New Roman" w:cs="Times New Roman" w:eastAsia="Times New Roman" w:hAnsi="Times New Roman"/>
          <w:sz w:val="18"/>
          <w:szCs w:val="18"/>
          <w:color w:val="auto"/>
        </w:rPr>
        <w:t>— The focus of this segment is to deliver water where it is needed, when it is needed, more efficiently and to transform waste into value.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This segment designs, manufactures and sells a variety of fluid treatment and pump products and systems, including pressure vessels, gas recovery solutions, membrane bioreactors, wastewater reuse systems and advanced membrane filtration, separation systems, water disposal pumps, water supply pumps, fluid transfer pumps, turbine pumps, solid handling pumps and agricultural spray nozzles, while serving the global residential, commercial and industrial markets. These products and systems are used in a range of applications, including fluid delivery, ion exchange, desalination, food and beverage, separation technologies for the oil and gas industry, residential and municipal wells, water treatment, wastewater solids handling, pressure boosting, circulation and transfer, fire suppression, flood control, agricultural irrigation and crop spray.</w:t>
      </w:r>
    </w:p>
    <w:p>
      <w:pPr>
        <w:spacing w:after="0" w:line="128" w:lineRule="exact"/>
        <w:rPr>
          <w:rFonts w:ascii="Times New Roman" w:cs="Times New Roman" w:eastAsia="Times New Roman" w:hAnsi="Times New Roman"/>
          <w:sz w:val="18"/>
          <w:szCs w:val="18"/>
          <w:color w:val="auto"/>
        </w:rPr>
      </w:pPr>
    </w:p>
    <w:p>
      <w:pPr>
        <w:jc w:val="both"/>
        <w:ind w:left="660" w:hanging="328"/>
        <w:spacing w:after="0" w:line="257"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Water Solutions </w:t>
      </w:r>
      <w:r>
        <w:rPr>
          <w:rFonts w:ascii="Times New Roman" w:cs="Times New Roman" w:eastAsia="Times New Roman" w:hAnsi="Times New Roman"/>
          <w:sz w:val="18"/>
          <w:szCs w:val="18"/>
          <w:color w:val="auto"/>
        </w:rPr>
        <w:t>— The focus of this segment is to provide great-tasting, higher-quality water and ice while helping people use water more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productively. This segment designs, manufactures and sells commercial and residential water treatment products and systems including pressure tanks, control valves, activated carbon products, commercial ice machines, conventional filtration products, and point-of-entry and point-of-use water treatment systems. These water treatment products and systems are used in residential whole home water filtration, drinking water filtration and water softening solutions in addition to commercial total water management and filtration in foodservice operations. In addition, our water solutions business also provides installation and preventative services for water management solutions for commercial operators.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ind w:left="660" w:hanging="328"/>
        <w:spacing w:after="0" w:line="26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Pool </w:t>
      </w:r>
      <w:r>
        <w:rPr>
          <w:rFonts w:ascii="Times New Roman" w:cs="Times New Roman" w:eastAsia="Times New Roman" w:hAnsi="Times New Roman"/>
          <w:sz w:val="18"/>
          <w:szCs w:val="18"/>
          <w:color w:val="auto"/>
        </w:rPr>
        <w:t>— The focus of this segment is to provide innovative, energy-efficient pool solutions to help people more sustainably enjoy water. This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segment designs, manufactures and sells a complete line of energy-efficient residential and commercial pool equipment and accessories including pumps, filters, heaters, lights, automatic controls, automatic cleaners, maintenance equipment and pool accessories. Applications for our pool products include residential and commercial pool maintenance, pool repair, renovation, service, construction and aquaculture solutions.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Key Trends and Uncertainties Regarding Our Existing Business</w:t>
      </w:r>
    </w:p>
    <w:p>
      <w:pPr>
        <w:spacing w:after="0" w:line="31"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The following trends and uncertainties affected our financial performance in the first nine months of 2024 and are reasonably likely to impact our results in the future:</w:t>
      </w:r>
    </w:p>
    <w:p>
      <w:pPr>
        <w:spacing w:after="0" w:line="127" w:lineRule="exact"/>
        <w:rPr>
          <w:sz w:val="20"/>
          <w:szCs w:val="20"/>
          <w:color w:val="auto"/>
        </w:rPr>
      </w:pPr>
    </w:p>
    <w:p>
      <w:pPr>
        <w:jc w:val="both"/>
        <w:ind w:left="660" w:hanging="328"/>
        <w:spacing w:after="0" w:line="258"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2021, we created a transformation office and launched and committed resources to the Transformation Program designed to accelerate growth and drive margin expansion by driving operational excellence, reducing complexity and streamlining our processes. During 2023 and the first nine months of 2024, we made strategic progress on our Transformation Program initiatives with a focus on our four key themes of pricing excellence, strategic sourcing, operations excellence and organizational effectiveness. We expect to continue to execute on our key Transformation Program initiatives to drive margin expansion and to continue to incur transformation costs throughout the remainder of 2024 and beyond.</w:t>
      </w:r>
    </w:p>
    <w:p>
      <w:pPr>
        <w:spacing w:after="0" w:line="129"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2024, we began using 80/20 guiding principles to enable our Transformation Program. This 80/20 analysis is expected to create value by focusing on the right customers and products through quadrant based strategies. We expect the analysis to result in actions to improve operating performance by reducing lower margin sales and removing complexity in the future.</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2023 and the first nine months of 2024, we executed certain business restructuring initiatives aimed at reducing our fixed cost structure and realigning our business. We expect these actions to continue throughout the remainder of 2024 and to drive margin growth.</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2023 and the first nine months of 2024, we experienced inflationary cost increases for certain raw materials as well as logistics and transportation costs. The current volatile market for commodities has the potential to continue to drive price increases in our supply chain. While we have taken pricing actions and implemented transformation initiatives that we expect to improve productivity and offset cost increases, we anticipate inflationary cost increases to continue for the remainder of 2024.</w:t>
      </w:r>
    </w:p>
    <w:p>
      <w:pPr>
        <w:spacing w:after="0" w:line="1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Organization for Economic Co-operation and Development Pillar Two Model Rules (“Pillar Two”) for a global 15.0% minimum tax are in the process of being adopted by a number of jurisdictions in which we operate. Pillar Two has negatively impacted our effective tax rate in 2024. That impact could change in the future as we continue to evaluate the enacted legislative changes and as new guidance becomes available.</w:t>
      </w:r>
    </w:p>
    <w:p>
      <w:pPr>
        <w:spacing w:after="0" w:line="12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identified specific product and geographic market opportunities that we find attractive and continue to pursue, both within and outside the U.S. We expect to continue investing in our businesses to drive these opportunities through research and development and additional sales and marketing resources. Unless we successfully penetrate these markets, our core sales growth will likely be limited or may decline.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2024, our operating objectives focus on delivering our core and building our future. We expect to execute these objectives by:</w:t>
      </w:r>
    </w:p>
    <w:p>
      <w:pPr>
        <w:spacing w:after="0" w:line="171"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Delivering profitable revenue growth and productivity for customers and shareholders;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to focus on capital allocation through:</w:t>
      </w:r>
    </w:p>
    <w:p>
      <w:pPr>
        <w:spacing w:after="0" w:line="17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Committing to maintain our investment grade rating;</w:t>
      </w:r>
    </w:p>
    <w:p>
      <w:pPr>
        <w:spacing w:after="0" w:line="17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Focusing on reducing our long-term debt;</w:t>
      </w:r>
    </w:p>
    <w:p>
      <w:pPr>
        <w:spacing w:after="0" w:line="17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Returning cash to shareholders through dividends and share repurchases; and</w:t>
      </w:r>
    </w:p>
    <w:p>
      <w:pPr>
        <w:spacing w:after="0" w:line="17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Accelerating our performance with strategically aligned mergers and acquisitions;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Focusing growth initiatives that accelerate our investments in digital, innovation, technology and ESG;</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66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to implement our Transformation Program initiatives that will drive operational excellence, reduce complexity and improve our organizational structure, which includes the focus on 80/20 actions to drive profitable growth; and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Building a high performance growth culture and delivering on our commitments while living our Win Right values.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RESULTS OF OPERATIONS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consolidated results of operations for the three months ended September 30, 2024 and 2023 were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3"/>
          </w:tcPr>
          <w:p>
            <w:pPr>
              <w:ind w:left="4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52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60" w:type="dxa"/>
            <w:vAlign w:val="bottom"/>
          </w:tcPr>
          <w:p>
            <w:pPr>
              <w:spacing w:after="0"/>
              <w:rPr>
                <w:sz w:val="14"/>
                <w:szCs w:val="14"/>
                <w:color w:val="auto"/>
              </w:rPr>
            </w:pPr>
          </w:p>
        </w:tc>
        <w:tc>
          <w:tcPr>
            <w:tcW w:w="1420" w:type="dxa"/>
            <w:vAlign w:val="bottom"/>
          </w:tcPr>
          <w:p>
            <w:pPr>
              <w:jc w:val="right"/>
              <w:ind w:right="150"/>
              <w:spacing w:after="0" w:line="169"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60" w:type="dxa"/>
            <w:vAlign w:val="bottom"/>
          </w:tcPr>
          <w:p>
            <w:pPr>
              <w:spacing w:after="0"/>
              <w:rPr>
                <w:sz w:val="14"/>
                <w:szCs w:val="14"/>
                <w:color w:val="auto"/>
              </w:rPr>
            </w:pPr>
          </w:p>
        </w:tc>
        <w:tc>
          <w:tcPr>
            <w:tcW w:w="1400" w:type="dxa"/>
            <w:vAlign w:val="bottom"/>
          </w:tcPr>
          <w:p>
            <w:pPr>
              <w:jc w:val="right"/>
              <w:ind w:right="150"/>
              <w:spacing w:after="0" w:line="169"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220" w:type="dxa"/>
            <w:vAlign w:val="bottom"/>
          </w:tcPr>
          <w:p>
            <w:pPr>
              <w:spacing w:after="0"/>
              <w:rPr>
                <w:sz w:val="14"/>
                <w:szCs w:val="14"/>
                <w:color w:val="auto"/>
              </w:rPr>
            </w:pPr>
          </w:p>
        </w:tc>
        <w:tc>
          <w:tcPr>
            <w:tcW w:w="1220" w:type="dxa"/>
            <w:vAlign w:val="bottom"/>
          </w:tcPr>
          <w:p>
            <w:pPr>
              <w:jc w:val="right"/>
              <w:ind w:right="690"/>
              <w:spacing w:after="0" w:line="169" w:lineRule="exact"/>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Pr>
          <w:p>
            <w:pPr>
              <w:jc w:val="right"/>
              <w:ind w:right="70"/>
              <w:spacing w:after="0" w:line="169" w:lineRule="exact"/>
              <w:rPr>
                <w:sz w:val="20"/>
                <w:szCs w:val="20"/>
                <w:color w:val="auto"/>
              </w:rPr>
            </w:pPr>
            <w:r>
              <w:rPr>
                <w:rFonts w:ascii="Times New Roman" w:cs="Times New Roman" w:eastAsia="Times New Roman" w:hAnsi="Times New Roman"/>
                <w:sz w:val="18"/>
                <w:szCs w:val="18"/>
                <w:b w:val="1"/>
                <w:bCs w:val="1"/>
                <w:color w:val="auto"/>
              </w:rPr>
              <w:t>% / Point</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280" w:type="dxa"/>
            <w:vAlign w:val="bottom"/>
            <w:tcBorders>
              <w:bottom w:val="single" w:sz="8" w:color="auto"/>
            </w:tcBorders>
            <w:vMerge w:val="continue"/>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1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993.4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1,008.8</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(15.4)</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600.2</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637.0</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(36.8)</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393.2</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371.8</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21.4</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280" w:type="dxa"/>
            <w:vAlign w:val="bottom"/>
          </w:tcPr>
          <w:p>
            <w:pPr>
              <w:ind w:left="300"/>
              <w:spacing w:after="0"/>
              <w:rPr>
                <w:sz w:val="20"/>
                <w:szCs w:val="20"/>
                <w:color w:val="auto"/>
              </w:rPr>
            </w:pPr>
            <w:r>
              <w:rPr>
                <w:rFonts w:ascii="Times New Roman" w:cs="Times New Roman" w:eastAsia="Times New Roman" w:hAnsi="Times New Roman"/>
                <w:sz w:val="18"/>
                <w:szCs w:val="18"/>
                <w:i w:val="1"/>
                <w:iCs w:val="1"/>
                <w:color w:val="auto"/>
              </w:rPr>
              <w:t>% of net sales</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39.6 %</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36.9 %</w:t>
            </w: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2.7</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pts</w:t>
            </w: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60" w:type="dxa"/>
            <w:vAlign w:val="bottom"/>
          </w:tcPr>
          <w:p>
            <w:pPr>
              <w:spacing w:after="0"/>
              <w:rPr>
                <w:sz w:val="19"/>
                <w:szCs w:val="19"/>
                <w:color w:val="auto"/>
              </w:rPr>
            </w:pP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190.4</w:t>
            </w:r>
          </w:p>
        </w:tc>
        <w:tc>
          <w:tcPr>
            <w:tcW w:w="160" w:type="dxa"/>
            <w:vAlign w:val="bottom"/>
          </w:tcPr>
          <w:p>
            <w:pPr>
              <w:spacing w:after="0"/>
              <w:rPr>
                <w:sz w:val="19"/>
                <w:szCs w:val="19"/>
                <w:color w:val="auto"/>
              </w:rPr>
            </w:pP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166.2</w:t>
            </w:r>
          </w:p>
        </w:tc>
        <w:tc>
          <w:tcPr>
            <w:tcW w:w="220" w:type="dxa"/>
            <w:vAlign w:val="bottom"/>
          </w:tcPr>
          <w:p>
            <w:pPr>
              <w:spacing w:after="0"/>
              <w:rPr>
                <w:sz w:val="19"/>
                <w:szCs w:val="19"/>
                <w:color w:val="auto"/>
              </w:rPr>
            </w:pPr>
          </w:p>
        </w:tc>
        <w:tc>
          <w:tcPr>
            <w:tcW w:w="12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24.2</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i w:val="1"/>
                <w:iCs w:val="1"/>
                <w:color w:val="auto"/>
              </w:rPr>
              <w:t>% of net sales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19.2 %</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16.5 %</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2.7</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pts</w:t>
            </w:r>
          </w:p>
        </w:tc>
        <w:tc>
          <w:tcPr>
            <w:tcW w:w="0" w:type="dxa"/>
            <w:vAlign w:val="bottom"/>
          </w:tcPr>
          <w:p>
            <w:pPr>
              <w:spacing w:after="0"/>
              <w:rPr>
                <w:sz w:val="1"/>
                <w:szCs w:val="1"/>
                <w:color w:val="auto"/>
              </w:rPr>
            </w:pPr>
          </w:p>
        </w:tc>
      </w:tr>
      <w:tr>
        <w:trPr>
          <w:trHeight w:val="229"/>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tcPr>
          <w:p>
            <w:pPr>
              <w:spacing w:after="0"/>
              <w:rPr>
                <w:sz w:val="19"/>
                <w:szCs w:val="19"/>
                <w:color w:val="auto"/>
              </w:rPr>
            </w:pP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22.9</w:t>
            </w:r>
          </w:p>
        </w:tc>
        <w:tc>
          <w:tcPr>
            <w:tcW w:w="160" w:type="dxa"/>
            <w:vAlign w:val="bottom"/>
          </w:tcPr>
          <w:p>
            <w:pPr>
              <w:spacing w:after="0"/>
              <w:rPr>
                <w:sz w:val="19"/>
                <w:szCs w:val="19"/>
                <w:color w:val="auto"/>
              </w:rPr>
            </w:pP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25.5</w:t>
            </w:r>
          </w:p>
        </w:tc>
        <w:tc>
          <w:tcPr>
            <w:tcW w:w="220" w:type="dxa"/>
            <w:vAlign w:val="bottom"/>
          </w:tcPr>
          <w:p>
            <w:pPr>
              <w:spacing w:after="0"/>
              <w:rPr>
                <w:sz w:val="19"/>
                <w:szCs w:val="19"/>
                <w:color w:val="auto"/>
              </w:rPr>
            </w:pPr>
          </w:p>
        </w:tc>
        <w:tc>
          <w:tcPr>
            <w:tcW w:w="12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(2.6)</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i w:val="1"/>
                <w:iCs w:val="1"/>
                <w:color w:val="auto"/>
              </w:rPr>
              <w:t>% of net sales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2.3 %</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2.5 %</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(0.2) pts</w:t>
            </w:r>
          </w:p>
        </w:tc>
        <w:tc>
          <w:tcPr>
            <w:tcW w:w="0" w:type="dxa"/>
            <w:vAlign w:val="bottom"/>
          </w:tcPr>
          <w:p>
            <w:pPr>
              <w:spacing w:after="0"/>
              <w:rPr>
                <w:sz w:val="1"/>
                <w:szCs w:val="1"/>
                <w:color w:val="auto"/>
              </w:rPr>
            </w:pPr>
          </w:p>
        </w:tc>
      </w:tr>
      <w:tr>
        <w:trPr>
          <w:trHeight w:val="256"/>
        </w:trPr>
        <w:tc>
          <w:tcPr>
            <w:tcW w:w="5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179.9</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180.1</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(0.2)</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280" w:type="dxa"/>
            <w:vAlign w:val="bottom"/>
          </w:tcPr>
          <w:p>
            <w:pPr>
              <w:ind w:left="300"/>
              <w:spacing w:after="0"/>
              <w:rPr>
                <w:sz w:val="20"/>
                <w:szCs w:val="20"/>
                <w:color w:val="auto"/>
              </w:rPr>
            </w:pPr>
            <w:r>
              <w:rPr>
                <w:rFonts w:ascii="Times New Roman" w:cs="Times New Roman" w:eastAsia="Times New Roman" w:hAnsi="Times New Roman"/>
                <w:sz w:val="18"/>
                <w:szCs w:val="18"/>
                <w:i w:val="1"/>
                <w:iCs w:val="1"/>
                <w:color w:val="auto"/>
              </w:rPr>
              <w:t>% of net sales</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18.1 %</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17.9 %</w:t>
            </w: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0.2</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pts</w:t>
            </w:r>
          </w:p>
        </w:tc>
        <w:tc>
          <w:tcPr>
            <w:tcW w:w="0" w:type="dxa"/>
            <w:vAlign w:val="bottom"/>
          </w:tcPr>
          <w:p>
            <w:pPr>
              <w:spacing w:after="0"/>
              <w:rPr>
                <w:sz w:val="1"/>
                <w:szCs w:val="1"/>
                <w:color w:val="auto"/>
              </w:rPr>
            </w:pPr>
          </w:p>
        </w:tc>
      </w:tr>
      <w:tr>
        <w:trPr>
          <w:trHeight w:val="257"/>
        </w:trPr>
        <w:tc>
          <w:tcPr>
            <w:tcW w:w="52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160" w:type="dxa"/>
            <w:vAlign w:val="bottom"/>
          </w:tcPr>
          <w:p>
            <w:pPr>
              <w:spacing w:after="0"/>
              <w:rPr>
                <w:sz w:val="19"/>
                <w:szCs w:val="19"/>
                <w:color w:val="auto"/>
              </w:rPr>
            </w:pPr>
          </w:p>
        </w:tc>
        <w:tc>
          <w:tcPr>
            <w:tcW w:w="14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tcPr>
          <w:p>
            <w:pPr>
              <w:spacing w:after="0"/>
              <w:rPr>
                <w:sz w:val="19"/>
                <w:szCs w:val="19"/>
                <w:color w:val="auto"/>
              </w:rPr>
            </w:pPr>
          </w:p>
        </w:tc>
        <w:tc>
          <w:tcPr>
            <w:tcW w:w="14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(0.3)</w:t>
            </w:r>
          </w:p>
        </w:tc>
        <w:tc>
          <w:tcPr>
            <w:tcW w:w="220" w:type="dxa"/>
            <w:vAlign w:val="bottom"/>
          </w:tcPr>
          <w:p>
            <w:pPr>
              <w:spacing w:after="0"/>
              <w:rPr>
                <w:sz w:val="19"/>
                <w:szCs w:val="19"/>
                <w:color w:val="auto"/>
              </w:rPr>
            </w:pPr>
          </w:p>
        </w:tc>
        <w:tc>
          <w:tcPr>
            <w:tcW w:w="12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0.2</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interest expense</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19.8</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27.5</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(7.7)</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5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continuing operations before income taxes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160.2</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152.9</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7.3</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60" w:type="dxa"/>
            <w:vAlign w:val="bottom"/>
          </w:tcPr>
          <w:p>
            <w:pPr>
              <w:spacing w:after="0"/>
              <w:rPr>
                <w:sz w:val="19"/>
                <w:szCs w:val="19"/>
                <w:color w:val="auto"/>
              </w:rPr>
            </w:pP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20.6</w:t>
            </w:r>
          </w:p>
        </w:tc>
        <w:tc>
          <w:tcPr>
            <w:tcW w:w="160" w:type="dxa"/>
            <w:vAlign w:val="bottom"/>
          </w:tcPr>
          <w:p>
            <w:pPr>
              <w:spacing w:after="0"/>
              <w:rPr>
                <w:sz w:val="19"/>
                <w:szCs w:val="19"/>
                <w:color w:val="auto"/>
              </w:rPr>
            </w:pP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20.8</w:t>
            </w:r>
          </w:p>
        </w:tc>
        <w:tc>
          <w:tcPr>
            <w:tcW w:w="220" w:type="dxa"/>
            <w:vAlign w:val="bottom"/>
          </w:tcPr>
          <w:p>
            <w:pPr>
              <w:spacing w:after="0"/>
              <w:rPr>
                <w:sz w:val="19"/>
                <w:szCs w:val="19"/>
                <w:color w:val="auto"/>
              </w:rPr>
            </w:pPr>
          </w:p>
        </w:tc>
        <w:tc>
          <w:tcPr>
            <w:tcW w:w="12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(0.2)</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i w:val="1"/>
                <w:iCs w:val="1"/>
                <w:color w:val="auto"/>
              </w:rPr>
              <w:t>Effective tax rate</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12.9 %</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13.6 %</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(0.7) pts</w:t>
            </w:r>
          </w:p>
        </w:tc>
        <w:tc>
          <w:tcPr>
            <w:tcW w:w="0" w:type="dxa"/>
            <w:vAlign w:val="bottom"/>
          </w:tcPr>
          <w:p>
            <w:pPr>
              <w:spacing w:after="0"/>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 Not Meaningful</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consolidated results of operations for the nine months ended September 30, 2024 and 2023 were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3"/>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1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52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80" w:type="dxa"/>
            <w:vAlign w:val="bottom"/>
          </w:tcPr>
          <w:p>
            <w:pPr>
              <w:spacing w:after="0"/>
              <w:rPr>
                <w:sz w:val="14"/>
                <w:szCs w:val="14"/>
                <w:color w:val="auto"/>
              </w:rPr>
            </w:pPr>
          </w:p>
        </w:tc>
        <w:tc>
          <w:tcPr>
            <w:tcW w:w="1400" w:type="dxa"/>
            <w:vAlign w:val="bottom"/>
          </w:tcPr>
          <w:p>
            <w:pPr>
              <w:jc w:val="right"/>
              <w:ind w:right="150"/>
              <w:spacing w:after="0" w:line="169"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60" w:type="dxa"/>
            <w:vAlign w:val="bottom"/>
          </w:tcPr>
          <w:p>
            <w:pPr>
              <w:spacing w:after="0"/>
              <w:rPr>
                <w:sz w:val="14"/>
                <w:szCs w:val="14"/>
                <w:color w:val="auto"/>
              </w:rPr>
            </w:pPr>
          </w:p>
        </w:tc>
        <w:tc>
          <w:tcPr>
            <w:tcW w:w="1420" w:type="dxa"/>
            <w:vAlign w:val="bottom"/>
          </w:tcPr>
          <w:p>
            <w:pPr>
              <w:jc w:val="right"/>
              <w:ind w:right="150"/>
              <w:spacing w:after="0" w:line="169"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220" w:type="dxa"/>
            <w:vAlign w:val="bottom"/>
          </w:tcPr>
          <w:p>
            <w:pPr>
              <w:spacing w:after="0"/>
              <w:rPr>
                <w:sz w:val="14"/>
                <w:szCs w:val="14"/>
                <w:color w:val="auto"/>
              </w:rPr>
            </w:pPr>
          </w:p>
        </w:tc>
        <w:tc>
          <w:tcPr>
            <w:tcW w:w="1220" w:type="dxa"/>
            <w:vAlign w:val="bottom"/>
          </w:tcPr>
          <w:p>
            <w:pPr>
              <w:jc w:val="right"/>
              <w:ind w:right="690"/>
              <w:spacing w:after="0" w:line="169" w:lineRule="exact"/>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Pr>
          <w:p>
            <w:pPr>
              <w:jc w:val="right"/>
              <w:ind w:right="70"/>
              <w:spacing w:after="0" w:line="169" w:lineRule="exact"/>
              <w:rPr>
                <w:sz w:val="20"/>
                <w:szCs w:val="20"/>
                <w:color w:val="auto"/>
              </w:rPr>
            </w:pPr>
            <w:r>
              <w:rPr>
                <w:rFonts w:ascii="Times New Roman" w:cs="Times New Roman" w:eastAsia="Times New Roman" w:hAnsi="Times New Roman"/>
                <w:sz w:val="18"/>
                <w:szCs w:val="18"/>
                <w:b w:val="1"/>
                <w:bCs w:val="1"/>
                <w:color w:val="auto"/>
              </w:rPr>
              <w:t>% / Point</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280" w:type="dxa"/>
            <w:vAlign w:val="bottom"/>
            <w:tcBorders>
              <w:bottom w:val="single" w:sz="8" w:color="auto"/>
            </w:tcBorders>
            <w:vMerge w:val="continue"/>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1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3,109.9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3,119.9</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(10.0)</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1,888.7</w:t>
            </w: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1,966.8</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(78.1)</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1,221.2</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1,153.1</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68.1</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280" w:type="dxa"/>
            <w:vAlign w:val="bottom"/>
          </w:tcPr>
          <w:p>
            <w:pPr>
              <w:ind w:left="300"/>
              <w:spacing w:after="0"/>
              <w:rPr>
                <w:sz w:val="20"/>
                <w:szCs w:val="20"/>
                <w:color w:val="auto"/>
              </w:rPr>
            </w:pPr>
            <w:r>
              <w:rPr>
                <w:rFonts w:ascii="Times New Roman" w:cs="Times New Roman" w:eastAsia="Times New Roman" w:hAnsi="Times New Roman"/>
                <w:sz w:val="18"/>
                <w:szCs w:val="18"/>
                <w:i w:val="1"/>
                <w:iCs w:val="1"/>
                <w:color w:val="auto"/>
              </w:rPr>
              <w:t>% of net sales</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39.3 %</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37.0 %</w:t>
            </w: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2.3</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pts</w:t>
            </w:r>
          </w:p>
        </w:tc>
        <w:tc>
          <w:tcPr>
            <w:tcW w:w="0" w:type="dxa"/>
            <w:vAlign w:val="bottom"/>
          </w:tcPr>
          <w:p>
            <w:pPr>
              <w:spacing w:after="0"/>
              <w:rPr>
                <w:sz w:val="1"/>
                <w:szCs w:val="1"/>
                <w:color w:val="auto"/>
              </w:rPr>
            </w:pPr>
          </w:p>
        </w:tc>
      </w:tr>
      <w:tr>
        <w:trPr>
          <w:trHeight w:val="256"/>
        </w:trPr>
        <w:tc>
          <w:tcPr>
            <w:tcW w:w="52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80" w:type="dxa"/>
            <w:vAlign w:val="bottom"/>
          </w:tcPr>
          <w:p>
            <w:pPr>
              <w:spacing w:after="0"/>
              <w:rPr>
                <w:sz w:val="19"/>
                <w:szCs w:val="19"/>
                <w:color w:val="auto"/>
              </w:rPr>
            </w:pP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540.7</w:t>
            </w:r>
          </w:p>
        </w:tc>
        <w:tc>
          <w:tcPr>
            <w:tcW w:w="160" w:type="dxa"/>
            <w:vAlign w:val="bottom"/>
          </w:tcPr>
          <w:p>
            <w:pPr>
              <w:spacing w:after="0"/>
              <w:rPr>
                <w:sz w:val="19"/>
                <w:szCs w:val="19"/>
                <w:color w:val="auto"/>
              </w:rPr>
            </w:pP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504.6</w:t>
            </w:r>
          </w:p>
        </w:tc>
        <w:tc>
          <w:tcPr>
            <w:tcW w:w="220" w:type="dxa"/>
            <w:vAlign w:val="bottom"/>
          </w:tcPr>
          <w:p>
            <w:pPr>
              <w:spacing w:after="0"/>
              <w:rPr>
                <w:sz w:val="19"/>
                <w:szCs w:val="19"/>
                <w:color w:val="auto"/>
              </w:rPr>
            </w:pPr>
          </w:p>
        </w:tc>
        <w:tc>
          <w:tcPr>
            <w:tcW w:w="12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36.1</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i w:val="1"/>
                <w:iCs w:val="1"/>
                <w:color w:val="auto"/>
              </w:rPr>
              <w:t>% of net sales</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17.4 %</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16.2 %</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1.2</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pts</w:t>
            </w:r>
          </w:p>
        </w:tc>
        <w:tc>
          <w:tcPr>
            <w:tcW w:w="0" w:type="dxa"/>
            <w:vAlign w:val="bottom"/>
          </w:tcPr>
          <w:p>
            <w:pPr>
              <w:spacing w:after="0"/>
              <w:rPr>
                <w:sz w:val="1"/>
                <w:szCs w:val="1"/>
                <w:color w:val="auto"/>
              </w:rPr>
            </w:pPr>
          </w:p>
        </w:tc>
      </w:tr>
      <w:tr>
        <w:trPr>
          <w:trHeight w:val="230"/>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80" w:type="dxa"/>
            <w:vAlign w:val="bottom"/>
          </w:tcPr>
          <w:p>
            <w:pPr>
              <w:spacing w:after="0"/>
              <w:rPr>
                <w:sz w:val="19"/>
                <w:szCs w:val="19"/>
                <w:color w:val="auto"/>
              </w:rPr>
            </w:pP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71.8</w:t>
            </w:r>
          </w:p>
        </w:tc>
        <w:tc>
          <w:tcPr>
            <w:tcW w:w="160" w:type="dxa"/>
            <w:vAlign w:val="bottom"/>
          </w:tcPr>
          <w:p>
            <w:pPr>
              <w:spacing w:after="0"/>
              <w:rPr>
                <w:sz w:val="19"/>
                <w:szCs w:val="19"/>
                <w:color w:val="auto"/>
              </w:rPr>
            </w:pP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76.3</w:t>
            </w:r>
          </w:p>
        </w:tc>
        <w:tc>
          <w:tcPr>
            <w:tcW w:w="220" w:type="dxa"/>
            <w:vAlign w:val="bottom"/>
          </w:tcPr>
          <w:p>
            <w:pPr>
              <w:spacing w:after="0"/>
              <w:rPr>
                <w:sz w:val="19"/>
                <w:szCs w:val="19"/>
                <w:color w:val="auto"/>
              </w:rPr>
            </w:pPr>
          </w:p>
        </w:tc>
        <w:tc>
          <w:tcPr>
            <w:tcW w:w="12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(4.5)</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i w:val="1"/>
                <w:iCs w:val="1"/>
                <w:color w:val="auto"/>
              </w:rPr>
              <w:t>% of net sales</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2.3 %</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2.4 %</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(0.1) pts</w:t>
            </w:r>
          </w:p>
        </w:tc>
        <w:tc>
          <w:tcPr>
            <w:tcW w:w="0" w:type="dxa"/>
            <w:vAlign w:val="bottom"/>
          </w:tcPr>
          <w:p>
            <w:pPr>
              <w:spacing w:after="0"/>
              <w:rPr>
                <w:sz w:val="1"/>
                <w:szCs w:val="1"/>
                <w:color w:val="auto"/>
              </w:rPr>
            </w:pPr>
          </w:p>
        </w:tc>
      </w:tr>
      <w:tr>
        <w:trPr>
          <w:trHeight w:val="257"/>
        </w:trPr>
        <w:tc>
          <w:tcPr>
            <w:tcW w:w="5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608.7</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572.2</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36.5</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280" w:type="dxa"/>
            <w:vAlign w:val="bottom"/>
          </w:tcPr>
          <w:p>
            <w:pPr>
              <w:ind w:left="300"/>
              <w:spacing w:after="0"/>
              <w:rPr>
                <w:sz w:val="20"/>
                <w:szCs w:val="20"/>
                <w:color w:val="auto"/>
              </w:rPr>
            </w:pPr>
            <w:r>
              <w:rPr>
                <w:rFonts w:ascii="Times New Roman" w:cs="Times New Roman" w:eastAsia="Times New Roman" w:hAnsi="Times New Roman"/>
                <w:sz w:val="18"/>
                <w:szCs w:val="18"/>
                <w:i w:val="1"/>
                <w:iCs w:val="1"/>
                <w:color w:val="auto"/>
              </w:rPr>
              <w:t>% of net sales</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19.6 %</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18.3 %</w:t>
            </w: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1.3</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pts</w:t>
            </w:r>
          </w:p>
        </w:tc>
        <w:tc>
          <w:tcPr>
            <w:tcW w:w="0" w:type="dxa"/>
            <w:vAlign w:val="bottom"/>
          </w:tcPr>
          <w:p>
            <w:pPr>
              <w:spacing w:after="0"/>
              <w:rPr>
                <w:sz w:val="1"/>
                <w:szCs w:val="1"/>
                <w:color w:val="auto"/>
              </w:rPr>
            </w:pPr>
          </w:p>
        </w:tc>
      </w:tr>
      <w:tr>
        <w:trPr>
          <w:trHeight w:val="257"/>
        </w:trPr>
        <w:tc>
          <w:tcPr>
            <w:tcW w:w="52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 (income)</w:t>
            </w:r>
          </w:p>
        </w:tc>
        <w:tc>
          <w:tcPr>
            <w:tcW w:w="180" w:type="dxa"/>
            <w:vAlign w:val="bottom"/>
          </w:tcPr>
          <w:p>
            <w:pPr>
              <w:spacing w:after="0"/>
              <w:rPr>
                <w:sz w:val="19"/>
                <w:szCs w:val="19"/>
                <w:color w:val="auto"/>
              </w:rPr>
            </w:pP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0.8</w:t>
            </w:r>
          </w:p>
        </w:tc>
        <w:tc>
          <w:tcPr>
            <w:tcW w:w="160" w:type="dxa"/>
            <w:vAlign w:val="bottom"/>
          </w:tcPr>
          <w:p>
            <w:pPr>
              <w:spacing w:after="0"/>
              <w:rPr>
                <w:sz w:val="19"/>
                <w:szCs w:val="19"/>
                <w:color w:val="auto"/>
              </w:rPr>
            </w:pPr>
          </w:p>
        </w:tc>
        <w:tc>
          <w:tcPr>
            <w:tcW w:w="14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(4.4)</w:t>
            </w:r>
          </w:p>
        </w:tc>
        <w:tc>
          <w:tcPr>
            <w:tcW w:w="220" w:type="dxa"/>
            <w:vAlign w:val="bottom"/>
          </w:tcPr>
          <w:p>
            <w:pPr>
              <w:spacing w:after="0"/>
              <w:rPr>
                <w:sz w:val="19"/>
                <w:szCs w:val="19"/>
                <w:color w:val="auto"/>
              </w:rPr>
            </w:pPr>
          </w:p>
        </w:tc>
        <w:tc>
          <w:tcPr>
            <w:tcW w:w="12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5.2</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interest expense</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73.4</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91.7</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(18.3)</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5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continuing operations before income taxes</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534.5</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484.9</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49.6</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80" w:type="dxa"/>
            <w:vAlign w:val="bottom"/>
          </w:tcPr>
          <w:p>
            <w:pPr>
              <w:spacing w:after="0"/>
              <w:rPr>
                <w:sz w:val="19"/>
                <w:szCs w:val="19"/>
                <w:color w:val="auto"/>
              </w:rPr>
            </w:pP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75.3</w:t>
            </w:r>
          </w:p>
        </w:tc>
        <w:tc>
          <w:tcPr>
            <w:tcW w:w="160" w:type="dxa"/>
            <w:vAlign w:val="bottom"/>
          </w:tcPr>
          <w:p>
            <w:pPr>
              <w:spacing w:after="0"/>
              <w:rPr>
                <w:sz w:val="19"/>
                <w:szCs w:val="19"/>
                <w:color w:val="auto"/>
              </w:rPr>
            </w:pP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70.1</w:t>
            </w:r>
          </w:p>
        </w:tc>
        <w:tc>
          <w:tcPr>
            <w:tcW w:w="220" w:type="dxa"/>
            <w:vAlign w:val="bottom"/>
          </w:tcPr>
          <w:p>
            <w:pPr>
              <w:spacing w:after="0"/>
              <w:rPr>
                <w:sz w:val="19"/>
                <w:szCs w:val="19"/>
                <w:color w:val="auto"/>
              </w:rPr>
            </w:pPr>
          </w:p>
        </w:tc>
        <w:tc>
          <w:tcPr>
            <w:tcW w:w="12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5.2</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i w:val="1"/>
                <w:iCs w:val="1"/>
                <w:color w:val="auto"/>
              </w:rPr>
              <w:t>Effective tax rate</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14.1 %</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14.5 %</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(0.4) pts</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 Not Meaningful</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the consolidated net sales change from the prior period were as follows: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760" w:type="dxa"/>
            <w:vAlign w:val="bottom"/>
          </w:tcPr>
          <w:p>
            <w:pPr>
              <w:spacing w:after="0"/>
              <w:rPr>
                <w:sz w:val="19"/>
                <w:szCs w:val="19"/>
                <w:color w:val="auto"/>
              </w:rPr>
            </w:pPr>
          </w:p>
        </w:tc>
        <w:tc>
          <w:tcPr>
            <w:tcW w:w="4760" w:type="dxa"/>
            <w:vAlign w:val="bottom"/>
          </w:tcPr>
          <w:p>
            <w:pPr>
              <w:ind w:left="1000"/>
              <w:spacing w:after="0"/>
              <w:rPr>
                <w:sz w:val="20"/>
                <w:szCs w:val="20"/>
                <w:color w:val="auto"/>
              </w:rPr>
            </w:pPr>
            <w:r>
              <w:rPr>
                <w:rFonts w:ascii="Times New Roman" w:cs="Times New Roman" w:eastAsia="Times New Roman" w:hAnsi="Times New Roman"/>
                <w:sz w:val="18"/>
                <w:szCs w:val="18"/>
                <w:b w:val="1"/>
                <w:bCs w:val="1"/>
                <w:color w:val="auto"/>
              </w:rPr>
              <w:t>Three months ended September 30, 2024</w:t>
            </w:r>
          </w:p>
        </w:tc>
        <w:tc>
          <w:tcPr>
            <w:tcW w:w="372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Nine months ended September 30, 2024</w:t>
            </w:r>
          </w:p>
        </w:tc>
      </w:tr>
      <w:tr>
        <w:trPr>
          <w:trHeight w:val="238"/>
        </w:trPr>
        <w:tc>
          <w:tcPr>
            <w:tcW w:w="2760" w:type="dxa"/>
            <w:vAlign w:val="bottom"/>
            <w:tcBorders>
              <w:bottom w:val="single" w:sz="8" w:color="auto"/>
            </w:tcBorders>
          </w:tcPr>
          <w:p>
            <w:pPr>
              <w:spacing w:after="0"/>
              <w:rPr>
                <w:sz w:val="20"/>
                <w:szCs w:val="20"/>
                <w:color w:val="auto"/>
              </w:rPr>
            </w:pPr>
          </w:p>
        </w:tc>
        <w:tc>
          <w:tcPr>
            <w:tcW w:w="4760" w:type="dxa"/>
            <w:vAlign w:val="bottom"/>
            <w:tcBorders>
              <w:bottom w:val="single" w:sz="8" w:color="auto"/>
            </w:tcBorders>
          </w:tcPr>
          <w:p>
            <w:pPr>
              <w:ind w:left="1560"/>
              <w:spacing w:after="0"/>
              <w:rPr>
                <w:sz w:val="20"/>
                <w:szCs w:val="20"/>
                <w:color w:val="auto"/>
              </w:rPr>
            </w:pPr>
            <w:r>
              <w:rPr>
                <w:rFonts w:ascii="Times New Roman" w:cs="Times New Roman" w:eastAsia="Times New Roman" w:hAnsi="Times New Roman"/>
                <w:sz w:val="18"/>
                <w:szCs w:val="18"/>
                <w:b w:val="1"/>
                <w:bCs w:val="1"/>
                <w:color w:val="auto"/>
              </w:rPr>
              <w:t>over the prior year period</w:t>
            </w:r>
          </w:p>
        </w:tc>
        <w:tc>
          <w:tcPr>
            <w:tcW w:w="372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8"/>
                <w:szCs w:val="18"/>
                <w:b w:val="1"/>
                <w:bCs w:val="1"/>
                <w:color w:val="auto"/>
              </w:rPr>
              <w:t>over the prior year period</w:t>
            </w:r>
          </w:p>
        </w:tc>
      </w:tr>
      <w:tr>
        <w:trPr>
          <w:trHeight w:val="223"/>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Volume</w:t>
            </w:r>
          </w:p>
        </w:tc>
        <w:tc>
          <w:tcPr>
            <w:tcW w:w="4760" w:type="dxa"/>
            <w:vAlign w:val="bottom"/>
            <w:shd w:val="clear" w:color="auto" w:fill="CCEEFF"/>
          </w:tcPr>
          <w:p>
            <w:pPr>
              <w:ind w:left="4020"/>
              <w:spacing w:after="0"/>
              <w:rPr>
                <w:sz w:val="20"/>
                <w:szCs w:val="20"/>
                <w:color w:val="auto"/>
              </w:rPr>
            </w:pPr>
            <w:r>
              <w:rPr>
                <w:rFonts w:ascii="Times New Roman" w:cs="Times New Roman" w:eastAsia="Times New Roman" w:hAnsi="Times New Roman"/>
                <w:sz w:val="18"/>
                <w:szCs w:val="18"/>
                <w:color w:val="auto"/>
              </w:rPr>
              <w:t>(3.7)%</w:t>
            </w:r>
          </w:p>
        </w:tc>
        <w:tc>
          <w:tcPr>
            <w:tcW w:w="3720" w:type="dxa"/>
            <w:vAlign w:val="bottom"/>
            <w:shd w:val="clear" w:color="auto" w:fill="CCEEFF"/>
          </w:tcPr>
          <w:p>
            <w:pPr>
              <w:ind w:left="3200"/>
              <w:spacing w:after="0"/>
              <w:rPr>
                <w:sz w:val="20"/>
                <w:szCs w:val="20"/>
                <w:color w:val="auto"/>
              </w:rPr>
            </w:pPr>
            <w:r>
              <w:rPr>
                <w:rFonts w:ascii="Times New Roman" w:cs="Times New Roman" w:eastAsia="Times New Roman" w:hAnsi="Times New Roman"/>
                <w:sz w:val="18"/>
                <w:szCs w:val="18"/>
                <w:color w:val="auto"/>
              </w:rPr>
              <w:t>(2.1)%</w:t>
            </w:r>
          </w:p>
        </w:tc>
      </w:tr>
      <w:tr>
        <w:trPr>
          <w:trHeight w:val="230"/>
        </w:trPr>
        <w:tc>
          <w:tcPr>
            <w:tcW w:w="2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Price</w:t>
            </w:r>
          </w:p>
        </w:tc>
        <w:tc>
          <w:tcPr>
            <w:tcW w:w="4760" w:type="dxa"/>
            <w:vAlign w:val="bottom"/>
            <w:tcBorders>
              <w:bottom w:val="single" w:sz="8" w:color="auto"/>
            </w:tcBorders>
          </w:tcPr>
          <w:p>
            <w:pPr>
              <w:ind w:left="4100"/>
              <w:spacing w:after="0"/>
              <w:rPr>
                <w:sz w:val="20"/>
                <w:szCs w:val="20"/>
                <w:color w:val="auto"/>
              </w:rPr>
            </w:pPr>
            <w:r>
              <w:rPr>
                <w:rFonts w:ascii="Times New Roman" w:cs="Times New Roman" w:eastAsia="Times New Roman" w:hAnsi="Times New Roman"/>
                <w:sz w:val="18"/>
                <w:szCs w:val="18"/>
                <w:color w:val="auto"/>
              </w:rPr>
              <w:t>2.2</w:t>
            </w:r>
          </w:p>
        </w:tc>
        <w:tc>
          <w:tcPr>
            <w:tcW w:w="3720" w:type="dxa"/>
            <w:vAlign w:val="bottom"/>
            <w:tcBorders>
              <w:bottom w:val="single" w:sz="8" w:color="auto"/>
            </w:tcBorders>
          </w:tcPr>
          <w:p>
            <w:pPr>
              <w:ind w:left="3280"/>
              <w:spacing w:after="0"/>
              <w:rPr>
                <w:sz w:val="20"/>
                <w:szCs w:val="20"/>
                <w:color w:val="auto"/>
              </w:rPr>
            </w:pPr>
            <w:r>
              <w:rPr>
                <w:rFonts w:ascii="Times New Roman" w:cs="Times New Roman" w:eastAsia="Times New Roman" w:hAnsi="Times New Roman"/>
                <w:sz w:val="18"/>
                <w:szCs w:val="18"/>
                <w:color w:val="auto"/>
              </w:rPr>
              <w:t>2.0</w:t>
            </w:r>
          </w:p>
        </w:tc>
      </w:tr>
      <w:tr>
        <w:trPr>
          <w:trHeight w:val="223"/>
        </w:trPr>
        <w:tc>
          <w:tcPr>
            <w:tcW w:w="2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Core growth</w:t>
            </w:r>
          </w:p>
        </w:tc>
        <w:tc>
          <w:tcPr>
            <w:tcW w:w="4760" w:type="dxa"/>
            <w:vAlign w:val="bottom"/>
            <w:shd w:val="clear" w:color="auto" w:fill="CCEEFF"/>
          </w:tcPr>
          <w:p>
            <w:pPr>
              <w:ind w:left="4020"/>
              <w:spacing w:after="0"/>
              <w:rPr>
                <w:sz w:val="20"/>
                <w:szCs w:val="20"/>
                <w:color w:val="auto"/>
              </w:rPr>
            </w:pPr>
            <w:r>
              <w:rPr>
                <w:rFonts w:ascii="Times New Roman" w:cs="Times New Roman" w:eastAsia="Times New Roman" w:hAnsi="Times New Roman"/>
                <w:sz w:val="18"/>
                <w:szCs w:val="18"/>
                <w:color w:val="auto"/>
              </w:rPr>
              <w:t>(1.5)</w:t>
            </w:r>
          </w:p>
        </w:tc>
        <w:tc>
          <w:tcPr>
            <w:tcW w:w="3720" w:type="dxa"/>
            <w:vAlign w:val="bottom"/>
            <w:shd w:val="clear" w:color="auto" w:fill="CCEEFF"/>
          </w:tcPr>
          <w:p>
            <w:pPr>
              <w:ind w:left="3200"/>
              <w:spacing w:after="0"/>
              <w:rPr>
                <w:sz w:val="20"/>
                <w:szCs w:val="20"/>
                <w:color w:val="auto"/>
              </w:rPr>
            </w:pPr>
            <w:r>
              <w:rPr>
                <w:rFonts w:ascii="Times New Roman" w:cs="Times New Roman" w:eastAsia="Times New Roman" w:hAnsi="Times New Roman"/>
                <w:sz w:val="18"/>
                <w:szCs w:val="18"/>
                <w:color w:val="auto"/>
              </w:rPr>
              <w:t>(0.1)</w:t>
            </w:r>
          </w:p>
        </w:tc>
      </w:tr>
      <w:tr>
        <w:trPr>
          <w:trHeight w:val="230"/>
        </w:trPr>
        <w:tc>
          <w:tcPr>
            <w:tcW w:w="2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Acquisition/Divestitures</w:t>
            </w:r>
          </w:p>
        </w:tc>
        <w:tc>
          <w:tcPr>
            <w:tcW w:w="4760" w:type="dxa"/>
            <w:vAlign w:val="bottom"/>
          </w:tcPr>
          <w:p>
            <w:pPr>
              <w:ind w:left="4020"/>
              <w:spacing w:after="0"/>
              <w:rPr>
                <w:sz w:val="20"/>
                <w:szCs w:val="20"/>
                <w:color w:val="auto"/>
              </w:rPr>
            </w:pPr>
            <w:r>
              <w:rPr>
                <w:rFonts w:ascii="Times New Roman" w:cs="Times New Roman" w:eastAsia="Times New Roman" w:hAnsi="Times New Roman"/>
                <w:sz w:val="18"/>
                <w:szCs w:val="18"/>
                <w:color w:val="auto"/>
              </w:rPr>
              <w:t>(0.2)</w:t>
            </w:r>
          </w:p>
        </w:tc>
        <w:tc>
          <w:tcPr>
            <w:tcW w:w="3720" w:type="dxa"/>
            <w:vAlign w:val="bottom"/>
          </w:tcPr>
          <w:p>
            <w:pPr>
              <w:ind w:left="3200"/>
              <w:spacing w:after="0"/>
              <w:rPr>
                <w:sz w:val="20"/>
                <w:szCs w:val="20"/>
                <w:color w:val="auto"/>
              </w:rPr>
            </w:pPr>
            <w:r>
              <w:rPr>
                <w:rFonts w:ascii="Times New Roman" w:cs="Times New Roman" w:eastAsia="Times New Roman" w:hAnsi="Times New Roman"/>
                <w:sz w:val="18"/>
                <w:szCs w:val="18"/>
                <w:color w:val="auto"/>
              </w:rPr>
              <w:t>(0.1)</w:t>
            </w:r>
          </w:p>
        </w:tc>
      </w:tr>
      <w:tr>
        <w:trPr>
          <w:trHeight w:val="229"/>
        </w:trPr>
        <w:tc>
          <w:tcPr>
            <w:tcW w:w="27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Currency</w:t>
            </w:r>
          </w:p>
        </w:tc>
        <w:tc>
          <w:tcPr>
            <w:tcW w:w="4760" w:type="dxa"/>
            <w:vAlign w:val="bottom"/>
            <w:tcBorders>
              <w:bottom w:val="single" w:sz="8" w:color="auto"/>
            </w:tcBorders>
            <w:shd w:val="clear" w:color="auto" w:fill="CCEEFF"/>
          </w:tcPr>
          <w:p>
            <w:pPr>
              <w:ind w:left="4100"/>
              <w:spacing w:after="0"/>
              <w:rPr>
                <w:sz w:val="20"/>
                <w:szCs w:val="20"/>
                <w:color w:val="auto"/>
              </w:rPr>
            </w:pPr>
            <w:r>
              <w:rPr>
                <w:rFonts w:ascii="Times New Roman" w:cs="Times New Roman" w:eastAsia="Times New Roman" w:hAnsi="Times New Roman"/>
                <w:sz w:val="18"/>
                <w:szCs w:val="18"/>
                <w:color w:val="auto"/>
              </w:rPr>
              <w:t>0.2</w:t>
            </w:r>
          </w:p>
        </w:tc>
        <w:tc>
          <w:tcPr>
            <w:tcW w:w="3720" w:type="dxa"/>
            <w:vAlign w:val="bottom"/>
            <w:tcBorders>
              <w:bottom w:val="single" w:sz="8" w:color="auto"/>
            </w:tcBorders>
            <w:shd w:val="clear" w:color="auto" w:fill="CCEEFF"/>
          </w:tcPr>
          <w:p>
            <w:pPr>
              <w:ind w:left="3200"/>
              <w:spacing w:after="0"/>
              <w:rPr>
                <w:sz w:val="20"/>
                <w:szCs w:val="20"/>
                <w:color w:val="auto"/>
              </w:rPr>
            </w:pPr>
            <w:r>
              <w:rPr>
                <w:rFonts w:ascii="Times New Roman" w:cs="Times New Roman" w:eastAsia="Times New Roman" w:hAnsi="Times New Roman"/>
                <w:sz w:val="18"/>
                <w:szCs w:val="18"/>
                <w:color w:val="auto"/>
              </w:rPr>
              <w:t>(0.1)</w:t>
            </w:r>
          </w:p>
        </w:tc>
      </w:tr>
      <w:tr>
        <w:trPr>
          <w:trHeight w:val="223"/>
        </w:trPr>
        <w:tc>
          <w:tcPr>
            <w:tcW w:w="2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760" w:type="dxa"/>
            <w:vAlign w:val="bottom"/>
            <w:tcBorders>
              <w:bottom w:val="single" w:sz="8" w:color="auto"/>
            </w:tcBorders>
          </w:tcPr>
          <w:p>
            <w:pPr>
              <w:ind w:left="4020"/>
              <w:spacing w:after="0"/>
              <w:rPr>
                <w:sz w:val="20"/>
                <w:szCs w:val="20"/>
                <w:color w:val="auto"/>
              </w:rPr>
            </w:pPr>
            <w:r>
              <w:rPr>
                <w:rFonts w:ascii="Times New Roman" w:cs="Times New Roman" w:eastAsia="Times New Roman" w:hAnsi="Times New Roman"/>
                <w:sz w:val="18"/>
                <w:szCs w:val="18"/>
                <w:color w:val="auto"/>
              </w:rPr>
              <w:t>(1.5)%</w:t>
            </w:r>
          </w:p>
        </w:tc>
        <w:tc>
          <w:tcPr>
            <w:tcW w:w="3720" w:type="dxa"/>
            <w:vAlign w:val="bottom"/>
            <w:tcBorders>
              <w:bottom w:val="single" w:sz="8" w:color="auto"/>
            </w:tcBorders>
          </w:tcPr>
          <w:p>
            <w:pPr>
              <w:ind w:left="3200"/>
              <w:spacing w:after="0"/>
              <w:rPr>
                <w:sz w:val="20"/>
                <w:szCs w:val="20"/>
                <w:color w:val="auto"/>
              </w:rPr>
            </w:pPr>
            <w:r>
              <w:rPr>
                <w:rFonts w:ascii="Times New Roman" w:cs="Times New Roman" w:eastAsia="Times New Roman" w:hAnsi="Times New Roman"/>
                <w:sz w:val="18"/>
                <w:szCs w:val="18"/>
                <w:color w:val="auto"/>
              </w:rPr>
              <w:t>(0.3)%</w:t>
            </w:r>
          </w:p>
        </w:tc>
      </w:tr>
      <w:tr>
        <w:trPr>
          <w:trHeight w:val="21"/>
        </w:trPr>
        <w:tc>
          <w:tcPr>
            <w:tcW w:w="2760" w:type="dxa"/>
            <w:vAlign w:val="bottom"/>
            <w:tcBorders>
              <w:bottom w:val="single" w:sz="8" w:color="auto"/>
            </w:tcBorders>
          </w:tcPr>
          <w:p>
            <w:pPr>
              <w:spacing w:after="0" w:line="20" w:lineRule="exact"/>
              <w:rPr>
                <w:sz w:val="1"/>
                <w:szCs w:val="1"/>
                <w:color w:val="auto"/>
              </w:rPr>
            </w:pPr>
          </w:p>
        </w:tc>
        <w:tc>
          <w:tcPr>
            <w:tcW w:w="4760" w:type="dxa"/>
            <w:vAlign w:val="bottom"/>
            <w:tcBorders>
              <w:bottom w:val="single" w:sz="8" w:color="auto"/>
            </w:tcBorders>
          </w:tcPr>
          <w:p>
            <w:pPr>
              <w:spacing w:after="0" w:line="20" w:lineRule="exact"/>
              <w:rPr>
                <w:sz w:val="1"/>
                <w:szCs w:val="1"/>
                <w:color w:val="auto"/>
              </w:rPr>
            </w:pPr>
          </w:p>
        </w:tc>
        <w:tc>
          <w:tcPr>
            <w:tcW w:w="3720" w:type="dxa"/>
            <w:vAlign w:val="bottom"/>
            <w:tcBorders>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1.5 and 0.3 percent decreases in net sales in the third quarter and first nine months, respectively, of 2024 from 2023 were primarily driven by:</w:t>
      </w:r>
    </w:p>
    <w:p>
      <w:pPr>
        <w:spacing w:after="0" w:line="173" w:lineRule="exact"/>
        <w:rPr>
          <w:sz w:val="20"/>
          <w:szCs w:val="20"/>
          <w:color w:val="auto"/>
        </w:rPr>
      </w:pPr>
    </w:p>
    <w:p>
      <w:pPr>
        <w:ind w:left="480" w:hanging="310"/>
        <w:spacing w:after="0"/>
        <w:tabs>
          <w:tab w:leader="none" w:pos="4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sales volume in our residential flow and industrial solutions businesses within our Flow segment compared to the prior year;</w:t>
      </w:r>
    </w:p>
    <w:p>
      <w:pPr>
        <w:spacing w:after="0" w:line="171" w:lineRule="exact"/>
        <w:rPr>
          <w:rFonts w:ascii="Times New Roman" w:cs="Times New Roman" w:eastAsia="Times New Roman" w:hAnsi="Times New Roman"/>
          <w:sz w:val="18"/>
          <w:szCs w:val="18"/>
          <w:color w:val="auto"/>
        </w:rPr>
      </w:pPr>
    </w:p>
    <w:p>
      <w:pPr>
        <w:ind w:left="500" w:hanging="330"/>
        <w:spacing w:after="0" w:line="282" w:lineRule="auto"/>
        <w:tabs>
          <w:tab w:leader="none" w:pos="49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sales volume within our commercial and residential businesses in our Water Solutions segment compared to the prior year, in addition to the completion of a large project in 2023 within our commercial business that did not recur in the first nine months of 2024; and</w:t>
      </w:r>
    </w:p>
    <w:p>
      <w:pPr>
        <w:spacing w:after="0" w:line="107"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product line exit in our Pool segment that occurred in the first nine months of 2024.</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These decreases were partially offset by:</w:t>
      </w:r>
    </w:p>
    <w:p>
      <w:pPr>
        <w:spacing w:after="0" w:line="173" w:lineRule="exact"/>
        <w:rPr>
          <w:sz w:val="20"/>
          <w:szCs w:val="20"/>
          <w:color w:val="auto"/>
        </w:rPr>
      </w:pPr>
    </w:p>
    <w:p>
      <w:pPr>
        <w:ind w:left="500" w:hanging="330"/>
        <w:spacing w:after="0" w:line="282" w:lineRule="auto"/>
        <w:tabs>
          <w:tab w:leader="none" w:pos="49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selling prices in our Flow segment, in our commercial business within our Water Solutions segment and in our Pool segment to mitigate inflationary cost increases;</w:t>
      </w:r>
    </w:p>
    <w:p>
      <w:pPr>
        <w:spacing w:after="0" w:line="107"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sales volume in our commercial flow business within our Flow segment compared to the prior year;</w:t>
      </w:r>
    </w:p>
    <w:p>
      <w:pPr>
        <w:spacing w:after="0" w:line="171"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sales volume within our Pool segment due to higher demand compared to the prior year; and</w:t>
      </w:r>
    </w:p>
    <w:p>
      <w:pPr>
        <w:spacing w:after="0" w:line="171"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favorable foreign currency effects compared to the third quarter of the prior year.</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2.7 and 2.3 percentage point increases in gross profit as a percentage of net sales in the third quarter and first nine months, respectively, of 2024 from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2023 were primarily driven by:</w:t>
      </w:r>
    </w:p>
    <w:p>
      <w:pPr>
        <w:spacing w:after="0" w:line="153" w:lineRule="exact"/>
        <w:rPr>
          <w:sz w:val="20"/>
          <w:szCs w:val="20"/>
          <w:color w:val="auto"/>
        </w:rPr>
      </w:pPr>
    </w:p>
    <w:p>
      <w:pPr>
        <w:ind w:left="480" w:hanging="310"/>
        <w:spacing w:after="0"/>
        <w:tabs>
          <w:tab w:leader="none" w:pos="4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selling prices to mitigate impacts of inflationary costs;</w:t>
      </w:r>
    </w:p>
    <w:p>
      <w:pPr>
        <w:spacing w:after="0" w:line="171"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productivity mainly driven by transformation initiatives across all segments and manufacturing leverage within our Pool segment; and</w:t>
      </w:r>
    </w:p>
    <w:p>
      <w:pPr>
        <w:spacing w:after="0" w:line="171"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 impairment and write-offs of $3.5 million recorded in the first nine months of 2024, compared to $5.3 million in the first nine months of 2023.</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These increases were partially offset by:</w:t>
      </w:r>
    </w:p>
    <w:p>
      <w:pPr>
        <w:spacing w:after="0" w:line="173" w:lineRule="exact"/>
        <w:rPr>
          <w:sz w:val="20"/>
          <w:szCs w:val="20"/>
          <w:color w:val="auto"/>
        </w:rPr>
      </w:pPr>
    </w:p>
    <w:p>
      <w:pPr>
        <w:ind w:left="480" w:hanging="310"/>
        <w:spacing w:after="0"/>
        <w:tabs>
          <w:tab w:leader="none" w:pos="4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inflationary cost increases related to labor costs and certain raw materials.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 (“SG&amp;A”)</w:t>
      </w:r>
    </w:p>
    <w:p>
      <w:pPr>
        <w:spacing w:after="0" w:line="3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i w:val="1"/>
          <w:iCs w:val="1"/>
          <w:color w:val="auto"/>
        </w:rPr>
        <w:t>The 2.7 and 1.2 percentage point increases in SG&amp;A as a percentage of net sales in the third quarter and first nine months, respectively, of 2024 from 2023 were primarily driven by:</w:t>
      </w:r>
    </w:p>
    <w:p>
      <w:pPr>
        <w:spacing w:after="0" w:line="127" w:lineRule="exact"/>
        <w:rPr>
          <w:sz w:val="20"/>
          <w:szCs w:val="20"/>
          <w:color w:val="auto"/>
        </w:rPr>
      </w:pPr>
    </w:p>
    <w:p>
      <w:pPr>
        <w:ind w:left="480" w:hanging="310"/>
        <w:spacing w:after="0"/>
        <w:tabs>
          <w:tab w:leader="none" w:pos="4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transformation costs of $41.4 million in the first nine months of 2024, compared to $28.0 million in the first nine months of 2023;</w:t>
      </w:r>
    </w:p>
    <w:p>
      <w:pPr>
        <w:spacing w:after="0" w:line="171" w:lineRule="exact"/>
        <w:rPr>
          <w:rFonts w:ascii="Times New Roman" w:cs="Times New Roman" w:eastAsia="Times New Roman" w:hAnsi="Times New Roman"/>
          <w:sz w:val="18"/>
          <w:szCs w:val="18"/>
          <w:color w:val="auto"/>
        </w:rPr>
      </w:pPr>
    </w:p>
    <w:p>
      <w:pPr>
        <w:ind w:left="500" w:hanging="330"/>
        <w:spacing w:after="0" w:line="282" w:lineRule="auto"/>
        <w:tabs>
          <w:tab w:leader="none" w:pos="49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restructuring and other costs of $23.4 million in the third quarter of 2024, compared to $1.6 million in the third quarter of 2023, and $33.9 million in the first nine months of 2024, compared to $5.1 million in the first nine months of 2023; and</w:t>
      </w:r>
    </w:p>
    <w:p>
      <w:pPr>
        <w:spacing w:after="0" w:line="107" w:lineRule="exact"/>
        <w:rPr>
          <w:rFonts w:ascii="Times New Roman" w:cs="Times New Roman" w:eastAsia="Times New Roman" w:hAnsi="Times New Roman"/>
          <w:sz w:val="18"/>
          <w:szCs w:val="18"/>
          <w:color w:val="auto"/>
        </w:rPr>
      </w:pPr>
    </w:p>
    <w:p>
      <w:pPr>
        <w:ind w:left="500" w:hanging="330"/>
        <w:spacing w:after="0" w:line="282" w:lineRule="auto"/>
        <w:tabs>
          <w:tab w:leader="none" w:pos="49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 impairment charges of $5.7 million in third quarter of 2024, compared to $0.4 million in the third quarter of 2023, and $5.8 million in the first nine months of 2024, compared to $0.9 million in the first nine months of 2023.</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These increases were partially offset by:</w:t>
      </w:r>
    </w:p>
    <w:p>
      <w:pPr>
        <w:spacing w:after="0" w:line="173" w:lineRule="exact"/>
        <w:rPr>
          <w:sz w:val="20"/>
          <w:szCs w:val="20"/>
          <w:color w:val="auto"/>
        </w:rPr>
      </w:pPr>
    </w:p>
    <w:p>
      <w:pPr>
        <w:ind w:left="500" w:hanging="330"/>
        <w:spacing w:after="0" w:line="282" w:lineRule="auto"/>
        <w:tabs>
          <w:tab w:leader="none" w:pos="49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our legal accrual of $7.5 million in the first nine months of 2024, compared to an increase in our legal accrual of $2.2 million in the first nine months of 2023.</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interest expense</w:t>
      </w:r>
    </w:p>
    <w:p>
      <w:pPr>
        <w:spacing w:after="0" w:line="3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i w:val="1"/>
          <w:iCs w:val="1"/>
          <w:color w:val="auto"/>
        </w:rPr>
        <w:t>The 28.0 and 20.0 percent decreases in net interest expense in the third quarter and first nine months, respectively, of 2024 from 2023 were primarily driven by:</w:t>
      </w:r>
    </w:p>
    <w:p>
      <w:pPr>
        <w:spacing w:after="0" w:line="127" w:lineRule="exact"/>
        <w:rPr>
          <w:sz w:val="20"/>
          <w:szCs w:val="20"/>
          <w:color w:val="auto"/>
        </w:rPr>
      </w:pPr>
    </w:p>
    <w:p>
      <w:pPr>
        <w:ind w:left="480" w:hanging="310"/>
        <w:spacing w:after="0"/>
        <w:tabs>
          <w:tab w:leader="none" w:pos="4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variable debt compared to the same period of the prior year.</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3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i w:val="1"/>
          <w:iCs w:val="1"/>
          <w:color w:val="auto"/>
        </w:rPr>
        <w:t xml:space="preserve">The 0.7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0.4 percentage point decreases in the effective tax rate in the third quarter and first nine months, respectively, of 2024 from 2023 were primarily driven by:</w:t>
      </w:r>
    </w:p>
    <w:p>
      <w:pPr>
        <w:spacing w:after="0" w:line="127" w:lineRule="exact"/>
        <w:rPr>
          <w:sz w:val="20"/>
          <w:szCs w:val="20"/>
          <w:color w:val="auto"/>
        </w:rPr>
      </w:pPr>
    </w:p>
    <w:p>
      <w:pPr>
        <w:ind w:left="480" w:hanging="310"/>
        <w:spacing w:after="0"/>
        <w:tabs>
          <w:tab w:leader="none" w:pos="4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favorable impact of discrete items that occurred during the first nine months of 2024 that did not occur in the same period of the prior year.</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These decreases were partially offset by:</w:t>
      </w:r>
    </w:p>
    <w:p>
      <w:pPr>
        <w:spacing w:after="0" w:line="173" w:lineRule="exact"/>
        <w:rPr>
          <w:sz w:val="20"/>
          <w:szCs w:val="20"/>
          <w:color w:val="auto"/>
        </w:rPr>
      </w:pPr>
    </w:p>
    <w:p>
      <w:pPr>
        <w:ind w:left="480" w:hanging="310"/>
        <w:spacing w:after="0"/>
        <w:tabs>
          <w:tab w:leader="none" w:pos="4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unfavorable mix of global earnings.</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RESULTS OF OPERATIONS</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summary that follows provides a discussion of the results of operations of our three reportable segments (Flow, Water Solutions and Pool). Each of these segments comprises various product offerings that serve multiple end users.</w:t>
      </w:r>
    </w:p>
    <w:p>
      <w:pPr>
        <w:spacing w:after="0" w:line="1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evaluate performance based on net sales and reportable segment income (“segment income”) and use a variety of ratios to measure performance of our reporting segments. Segment income represents operating income of each reportable segment inclusive of equity income of unconsolidated subsidiaries and exclusive of intangible amortization, costs of restructuring and transformation activities, impairments, legal accrual adjustments and settlements and other unusual non-operating items.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Flow</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net sales and segment income for Flow were as follows: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3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3"/>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4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3"/>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3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80" w:type="dxa"/>
            <w:vAlign w:val="bottom"/>
          </w:tcPr>
          <w:p>
            <w:pPr>
              <w:spacing w:after="0"/>
              <w:rPr>
                <w:sz w:val="14"/>
                <w:szCs w:val="14"/>
                <w:color w:val="auto"/>
              </w:rPr>
            </w:pPr>
          </w:p>
        </w:tc>
        <w:tc>
          <w:tcPr>
            <w:tcW w:w="1280" w:type="dxa"/>
            <w:vAlign w:val="bottom"/>
          </w:tcPr>
          <w:p>
            <w:pPr>
              <w:jc w:val="right"/>
              <w:ind w:right="30"/>
              <w:spacing w:after="0" w:line="169"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260" w:type="dxa"/>
            <w:vAlign w:val="bottom"/>
          </w:tcPr>
          <w:p>
            <w:pPr>
              <w:spacing w:after="0"/>
              <w:rPr>
                <w:sz w:val="14"/>
                <w:szCs w:val="14"/>
                <w:color w:val="auto"/>
              </w:rPr>
            </w:pPr>
          </w:p>
        </w:tc>
        <w:tc>
          <w:tcPr>
            <w:tcW w:w="1400" w:type="dxa"/>
            <w:vAlign w:val="bottom"/>
          </w:tcPr>
          <w:p>
            <w:pPr>
              <w:jc w:val="right"/>
              <w:ind w:right="150"/>
              <w:spacing w:after="0" w:line="169"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440" w:type="dxa"/>
            <w:vAlign w:val="bottom"/>
          </w:tcPr>
          <w:p>
            <w:pPr>
              <w:jc w:val="right"/>
              <w:ind w:right="270"/>
              <w:spacing w:after="0" w:line="169" w:lineRule="exact"/>
              <w:rPr>
                <w:sz w:val="20"/>
                <w:szCs w:val="20"/>
                <w:color w:val="auto"/>
              </w:rPr>
            </w:pPr>
            <w:r>
              <w:rPr>
                <w:rFonts w:ascii="Times New Roman" w:cs="Times New Roman" w:eastAsia="Times New Roman" w:hAnsi="Times New Roman"/>
                <w:sz w:val="18"/>
                <w:szCs w:val="18"/>
                <w:b w:val="1"/>
                <w:bCs w:val="1"/>
                <w:color w:val="auto"/>
              </w:rPr>
              <w:t>% / Point</w:t>
            </w:r>
          </w:p>
        </w:tc>
        <w:tc>
          <w:tcPr>
            <w:tcW w:w="160" w:type="dxa"/>
            <w:vAlign w:val="bottom"/>
          </w:tcPr>
          <w:p>
            <w:pPr>
              <w:spacing w:after="0"/>
              <w:rPr>
                <w:sz w:val="14"/>
                <w:szCs w:val="14"/>
                <w:color w:val="auto"/>
              </w:rPr>
            </w:pPr>
          </w:p>
        </w:tc>
        <w:tc>
          <w:tcPr>
            <w:tcW w:w="1260" w:type="dxa"/>
            <w:vAlign w:val="bottom"/>
          </w:tcPr>
          <w:p>
            <w:pPr>
              <w:jc w:val="right"/>
              <w:ind w:right="30"/>
              <w:spacing w:after="0" w:line="169"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240" w:type="dxa"/>
            <w:vAlign w:val="bottom"/>
          </w:tcPr>
          <w:p>
            <w:pPr>
              <w:spacing w:after="0"/>
              <w:rPr>
                <w:sz w:val="14"/>
                <w:szCs w:val="14"/>
                <w:color w:val="auto"/>
              </w:rPr>
            </w:pPr>
          </w:p>
        </w:tc>
        <w:tc>
          <w:tcPr>
            <w:tcW w:w="1360" w:type="dxa"/>
            <w:vAlign w:val="bottom"/>
          </w:tcPr>
          <w:p>
            <w:pPr>
              <w:jc w:val="right"/>
              <w:ind w:right="110"/>
              <w:spacing w:after="0" w:line="169"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340" w:type="dxa"/>
            <w:vAlign w:val="bottom"/>
          </w:tcPr>
          <w:p>
            <w:pPr>
              <w:jc w:val="right"/>
              <w:ind w:right="150"/>
              <w:spacing w:after="0" w:line="169" w:lineRule="exact"/>
              <w:rPr>
                <w:sz w:val="20"/>
                <w:szCs w:val="20"/>
                <w:color w:val="auto"/>
              </w:rPr>
            </w:pPr>
            <w:r>
              <w:rPr>
                <w:rFonts w:ascii="Times New Roman" w:cs="Times New Roman" w:eastAsia="Times New Roman" w:hAnsi="Times New Roman"/>
                <w:sz w:val="18"/>
                <w:szCs w:val="18"/>
                <w:b w:val="1"/>
                <w:bCs w:val="1"/>
                <w:color w:val="auto"/>
              </w:rPr>
              <w:t>% / Point</w:t>
            </w:r>
          </w:p>
        </w:tc>
        <w:tc>
          <w:tcPr>
            <w:tcW w:w="0" w:type="dxa"/>
            <w:vAlign w:val="bottom"/>
          </w:tcPr>
          <w:p>
            <w:pPr>
              <w:spacing w:after="0"/>
              <w:rPr>
                <w:sz w:val="1"/>
                <w:szCs w:val="1"/>
                <w:color w:val="auto"/>
              </w:rPr>
            </w:pPr>
          </w:p>
        </w:tc>
      </w:tr>
      <w:tr>
        <w:trPr>
          <w:trHeight w:val="243"/>
        </w:trPr>
        <w:tc>
          <w:tcPr>
            <w:tcW w:w="2320" w:type="dxa"/>
            <w:vAlign w:val="bottom"/>
            <w:tcBorders>
              <w:bottom w:val="single" w:sz="8" w:color="auto"/>
            </w:tcBorders>
            <w:vMerge w:val="continue"/>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4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3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23"/>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372.2</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400.2</w:t>
            </w:r>
          </w:p>
        </w:tc>
        <w:tc>
          <w:tcPr>
            <w:tcW w:w="14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(7.0)%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1,153.3</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1,203.6</w:t>
            </w:r>
          </w:p>
        </w:tc>
        <w:tc>
          <w:tcPr>
            <w:tcW w:w="1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29"/>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income</w:t>
            </w:r>
          </w:p>
        </w:tc>
        <w:tc>
          <w:tcPr>
            <w:tcW w:w="180" w:type="dxa"/>
            <w:vAlign w:val="bottom"/>
          </w:tcPr>
          <w:p>
            <w:pPr>
              <w:spacing w:after="0"/>
              <w:rPr>
                <w:sz w:val="19"/>
                <w:szCs w:val="19"/>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82.8</w:t>
            </w:r>
          </w:p>
        </w:tc>
        <w:tc>
          <w:tcPr>
            <w:tcW w:w="260" w:type="dxa"/>
            <w:vAlign w:val="bottom"/>
          </w:tcPr>
          <w:p>
            <w:pPr>
              <w:spacing w:after="0"/>
              <w:rPr>
                <w:sz w:val="19"/>
                <w:szCs w:val="19"/>
                <w:color w:val="auto"/>
              </w:rPr>
            </w:pP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77.5</w:t>
            </w:r>
          </w:p>
        </w:tc>
        <w:tc>
          <w:tcPr>
            <w:tcW w:w="14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6.8%</w:t>
            </w:r>
          </w:p>
        </w:tc>
        <w:tc>
          <w:tcPr>
            <w:tcW w:w="160" w:type="dxa"/>
            <w:vAlign w:val="bottom"/>
          </w:tcPr>
          <w:p>
            <w:pPr>
              <w:spacing w:after="0"/>
              <w:rPr>
                <w:sz w:val="19"/>
                <w:szCs w:val="19"/>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244.5</w:t>
            </w:r>
          </w:p>
        </w:tc>
        <w:tc>
          <w:tcPr>
            <w:tcW w:w="240" w:type="dxa"/>
            <w:vAlign w:val="bottom"/>
          </w:tcPr>
          <w:p>
            <w:pPr>
              <w:spacing w:after="0"/>
              <w:rPr>
                <w:sz w:val="19"/>
                <w:szCs w:val="19"/>
                <w:color w:val="auto"/>
              </w:rPr>
            </w:pP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217.3</w:t>
            </w: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bl>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3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i w:val="1"/>
                <w:iCs w:val="1"/>
                <w:color w:val="auto"/>
              </w:rPr>
              <w:t>% of net sales</w:t>
            </w:r>
          </w:p>
        </w:tc>
        <w:tc>
          <w:tcPr>
            <w:tcW w:w="17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i w:val="1"/>
                <w:iCs w:val="1"/>
                <w:color w:val="auto"/>
              </w:rPr>
              <w:t>22.2 %</w:t>
            </w:r>
          </w:p>
        </w:tc>
        <w:tc>
          <w:tcPr>
            <w:tcW w:w="17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i w:val="1"/>
                <w:iCs w:val="1"/>
                <w:color w:val="auto"/>
              </w:rPr>
              <w:t>19.4 %</w:t>
            </w:r>
          </w:p>
        </w:tc>
        <w:tc>
          <w:tcPr>
            <w:tcW w:w="166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i w:val="1"/>
                <w:iCs w:val="1"/>
                <w:color w:val="auto"/>
              </w:rPr>
              <w:t>2.8 pts</w:t>
            </w:r>
          </w:p>
        </w:tc>
        <w:tc>
          <w:tcPr>
            <w:tcW w:w="14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i w:val="1"/>
                <w:iCs w:val="1"/>
                <w:color w:val="auto"/>
              </w:rPr>
              <w:t>21.2 %</w:t>
            </w:r>
          </w:p>
        </w:tc>
        <w:tc>
          <w:tcPr>
            <w:tcW w:w="158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i w:val="1"/>
                <w:iCs w:val="1"/>
                <w:color w:val="auto"/>
              </w:rPr>
              <w:t>18.1 %</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3.1 pts</w:t>
            </w:r>
          </w:p>
        </w:tc>
      </w:tr>
      <w:tr>
        <w:trPr>
          <w:trHeight w:val="454"/>
        </w:trPr>
        <w:tc>
          <w:tcPr>
            <w:tcW w:w="23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tc>
        <w:tc>
          <w:tcPr>
            <w:tcW w:w="17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34"/>
        </w:trPr>
        <w:tc>
          <w:tcPr>
            <w:tcW w:w="74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components of the change in Flow net sales from the prior period were as follows:</w:t>
            </w:r>
          </w:p>
        </w:tc>
        <w:tc>
          <w:tcPr>
            <w:tcW w:w="14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329"/>
        </w:trPr>
        <w:tc>
          <w:tcPr>
            <w:tcW w:w="2320" w:type="dxa"/>
            <w:vAlign w:val="bottom"/>
          </w:tcPr>
          <w:p>
            <w:pPr>
              <w:spacing w:after="0"/>
              <w:rPr>
                <w:sz w:val="24"/>
                <w:szCs w:val="24"/>
                <w:color w:val="auto"/>
              </w:rPr>
            </w:pPr>
          </w:p>
        </w:tc>
        <w:tc>
          <w:tcPr>
            <w:tcW w:w="5160" w:type="dxa"/>
            <w:vAlign w:val="bottom"/>
            <w:gridSpan w:val="3"/>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Three months ended September 30, 2024</w:t>
            </w:r>
          </w:p>
        </w:tc>
        <w:tc>
          <w:tcPr>
            <w:tcW w:w="3760" w:type="dxa"/>
            <w:vAlign w:val="bottom"/>
            <w:gridSpan w:val="3"/>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Nine months ended September 30, 2024</w:t>
            </w:r>
          </w:p>
        </w:tc>
      </w:tr>
      <w:tr>
        <w:trPr>
          <w:trHeight w:val="238"/>
        </w:trPr>
        <w:tc>
          <w:tcPr>
            <w:tcW w:w="23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spacing w:after="0"/>
              <w:rPr>
                <w:sz w:val="20"/>
                <w:szCs w:val="20"/>
                <w:color w:val="auto"/>
              </w:rPr>
            </w:pPr>
          </w:p>
        </w:tc>
        <w:tc>
          <w:tcPr>
            <w:tcW w:w="3420" w:type="dxa"/>
            <w:vAlign w:val="bottom"/>
            <w:tcBorders>
              <w:bottom w:val="single" w:sz="8" w:color="auto"/>
            </w:tcBorders>
            <w:gridSpan w:val="2"/>
          </w:tcPr>
          <w:p>
            <w:pPr>
              <w:jc w:val="right"/>
              <w:ind w:right="1150"/>
              <w:spacing w:after="0"/>
              <w:rPr>
                <w:sz w:val="20"/>
                <w:szCs w:val="20"/>
                <w:color w:val="auto"/>
              </w:rPr>
            </w:pPr>
            <w:r>
              <w:rPr>
                <w:rFonts w:ascii="Times New Roman" w:cs="Times New Roman" w:eastAsia="Times New Roman" w:hAnsi="Times New Roman"/>
                <w:sz w:val="18"/>
                <w:szCs w:val="18"/>
                <w:b w:val="1"/>
                <w:bCs w:val="1"/>
                <w:color w:val="auto"/>
              </w:rPr>
              <w:t>over the prior year period</w:t>
            </w:r>
          </w:p>
        </w:tc>
        <w:tc>
          <w:tcPr>
            <w:tcW w:w="2980" w:type="dxa"/>
            <w:vAlign w:val="bottom"/>
            <w:tcBorders>
              <w:bottom w:val="single" w:sz="8" w:color="auto"/>
            </w:tcBorders>
            <w:gridSpan w:val="2"/>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w w:val="99"/>
              </w:rPr>
              <w:t>over the prior year period</w:t>
            </w:r>
          </w:p>
        </w:tc>
        <w:tc>
          <w:tcPr>
            <w:tcW w:w="780" w:type="dxa"/>
            <w:vAlign w:val="bottom"/>
            <w:tcBorders>
              <w:bottom w:val="single" w:sz="8" w:color="auto"/>
            </w:tcBorders>
          </w:tcPr>
          <w:p>
            <w:pPr>
              <w:spacing w:after="0"/>
              <w:rPr>
                <w:sz w:val="20"/>
                <w:szCs w:val="20"/>
                <w:color w:val="auto"/>
              </w:rPr>
            </w:pPr>
          </w:p>
        </w:tc>
      </w:tr>
      <w:tr>
        <w:trPr>
          <w:trHeight w:val="223"/>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Volume</w:t>
            </w:r>
          </w:p>
        </w:tc>
        <w:tc>
          <w:tcPr>
            <w:tcW w:w="174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66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(9.1)%</w:t>
            </w:r>
          </w:p>
        </w:tc>
        <w:tc>
          <w:tcPr>
            <w:tcW w:w="14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29"/>
        </w:trPr>
        <w:tc>
          <w:tcPr>
            <w:tcW w:w="2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Price</w:t>
            </w:r>
          </w:p>
        </w:tc>
        <w:tc>
          <w:tcPr>
            <w:tcW w:w="174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1.8</w:t>
            </w:r>
          </w:p>
        </w:tc>
        <w:tc>
          <w:tcPr>
            <w:tcW w:w="14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1.7</w:t>
            </w:r>
          </w:p>
        </w:tc>
      </w:tr>
      <w:tr>
        <w:trPr>
          <w:trHeight w:val="223"/>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Core growth</w:t>
            </w:r>
          </w:p>
        </w:tc>
        <w:tc>
          <w:tcPr>
            <w:tcW w:w="174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66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(7.3)</w:t>
            </w:r>
          </w:p>
        </w:tc>
        <w:tc>
          <w:tcPr>
            <w:tcW w:w="14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(4.2)</w:t>
            </w:r>
          </w:p>
        </w:tc>
      </w:tr>
      <w:tr>
        <w:trPr>
          <w:trHeight w:val="230"/>
        </w:trPr>
        <w:tc>
          <w:tcPr>
            <w:tcW w:w="2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Currency</w:t>
            </w:r>
          </w:p>
        </w:tc>
        <w:tc>
          <w:tcPr>
            <w:tcW w:w="174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0.3</w:t>
            </w:r>
          </w:p>
        </w:tc>
        <w:tc>
          <w:tcPr>
            <w:tcW w:w="14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2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740" w:type="dxa"/>
            <w:vAlign w:val="bottom"/>
            <w:tcBorders>
              <w:bottom w:val="single" w:sz="8" w:color="auto"/>
            </w:tcBorders>
            <w:shd w:val="clear" w:color="auto" w:fill="CCEEFF"/>
          </w:tcPr>
          <w:p>
            <w:pPr>
              <w:spacing w:after="0"/>
              <w:rPr>
                <w:sz w:val="21"/>
                <w:szCs w:val="21"/>
                <w:color w:val="auto"/>
              </w:rPr>
            </w:pPr>
          </w:p>
        </w:tc>
        <w:tc>
          <w:tcPr>
            <w:tcW w:w="1760" w:type="dxa"/>
            <w:vAlign w:val="bottom"/>
            <w:tcBorders>
              <w:bottom w:val="single" w:sz="8" w:color="auto"/>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(7.0)%</w:t>
            </w:r>
          </w:p>
        </w:tc>
        <w:tc>
          <w:tcPr>
            <w:tcW w:w="1400" w:type="dxa"/>
            <w:vAlign w:val="bottom"/>
            <w:tcBorders>
              <w:bottom w:val="single" w:sz="8" w:color="auto"/>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0"/>
        </w:trPr>
        <w:tc>
          <w:tcPr>
            <w:tcW w:w="232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The 7.0 and 4.2 percent decreases in net sales for Flow in the third quarter and first nine months, respectively, of 2024 from 2023 were primarily driven by:</w:t>
      </w:r>
    </w:p>
    <w:p>
      <w:pPr>
        <w:spacing w:after="0" w:line="185" w:lineRule="exact"/>
        <w:rPr>
          <w:sz w:val="20"/>
          <w:szCs w:val="20"/>
          <w:color w:val="auto"/>
        </w:rPr>
      </w:pPr>
    </w:p>
    <w:p>
      <w:pPr>
        <w:ind w:left="480" w:hanging="310"/>
        <w:spacing w:after="0"/>
        <w:tabs>
          <w:tab w:leader="none" w:pos="4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sales volume in our residential flow and industrial solutions businesses compared to the prior year.</w:t>
      </w:r>
    </w:p>
    <w:p>
      <w:pPr>
        <w:spacing w:after="0" w:line="16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These decreases were partially offset by:</w:t>
      </w:r>
    </w:p>
    <w:p>
      <w:pPr>
        <w:spacing w:after="0" w:line="173" w:lineRule="exact"/>
        <w:rPr>
          <w:sz w:val="20"/>
          <w:szCs w:val="20"/>
          <w:color w:val="auto"/>
        </w:rPr>
      </w:pPr>
    </w:p>
    <w:p>
      <w:pPr>
        <w:ind w:left="480" w:hanging="310"/>
        <w:spacing w:after="0"/>
        <w:tabs>
          <w:tab w:leader="none" w:pos="4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sales volume in our commercial flow business compared to the prior year;</w:t>
      </w:r>
    </w:p>
    <w:p>
      <w:pPr>
        <w:spacing w:after="0" w:line="171"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selling prices to mitigate inflationary cost increases; and</w:t>
      </w:r>
    </w:p>
    <w:p>
      <w:pPr>
        <w:spacing w:after="0" w:line="171"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favorable foreign currency effects compared to the third quarter of the prior year.</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income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the change in Flow segment income as a percentage of net sales from the prior period were as follows:</w:t>
      </w:r>
    </w:p>
    <w:p>
      <w:pPr>
        <w:spacing w:after="0" w:line="108"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2300" w:type="dxa"/>
            <w:vAlign w:val="bottom"/>
          </w:tcPr>
          <w:p>
            <w:pPr>
              <w:spacing w:after="0"/>
              <w:rPr>
                <w:sz w:val="19"/>
                <w:szCs w:val="19"/>
                <w:color w:val="auto"/>
              </w:rPr>
            </w:pPr>
          </w:p>
        </w:tc>
        <w:tc>
          <w:tcPr>
            <w:tcW w:w="4620" w:type="dxa"/>
            <w:vAlign w:val="bottom"/>
          </w:tcPr>
          <w:p>
            <w:pPr>
              <w:jc w:val="center"/>
              <w:ind w:left="1050"/>
              <w:spacing w:after="0"/>
              <w:rPr>
                <w:sz w:val="20"/>
                <w:szCs w:val="20"/>
                <w:color w:val="auto"/>
              </w:rPr>
            </w:pPr>
            <w:r>
              <w:rPr>
                <w:rFonts w:ascii="Times New Roman" w:cs="Times New Roman" w:eastAsia="Times New Roman" w:hAnsi="Times New Roman"/>
                <w:sz w:val="18"/>
                <w:szCs w:val="18"/>
                <w:b w:val="1"/>
                <w:bCs w:val="1"/>
                <w:color w:val="auto"/>
                <w:w w:val="99"/>
              </w:rPr>
              <w:t>Three months ended September 30, 2024</w:t>
            </w:r>
          </w:p>
        </w:tc>
        <w:tc>
          <w:tcPr>
            <w:tcW w:w="500" w:type="dxa"/>
            <w:vAlign w:val="bottom"/>
          </w:tcPr>
          <w:p>
            <w:pPr>
              <w:spacing w:after="0"/>
              <w:rPr>
                <w:sz w:val="19"/>
                <w:szCs w:val="19"/>
                <w:color w:val="auto"/>
              </w:rPr>
            </w:pP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Nine months ended September 30, 2024</w:t>
            </w:r>
          </w:p>
        </w:tc>
        <w:tc>
          <w:tcPr>
            <w:tcW w:w="240" w:type="dxa"/>
            <w:vAlign w:val="bottom"/>
          </w:tcPr>
          <w:p>
            <w:pPr>
              <w:spacing w:after="0"/>
              <w:rPr>
                <w:sz w:val="19"/>
                <w:szCs w:val="19"/>
                <w:color w:val="auto"/>
              </w:rPr>
            </w:pPr>
          </w:p>
        </w:tc>
      </w:tr>
      <w:tr>
        <w:trPr>
          <w:trHeight w:val="238"/>
        </w:trPr>
        <w:tc>
          <w:tcPr>
            <w:tcW w:w="2300" w:type="dxa"/>
            <w:vAlign w:val="bottom"/>
            <w:tcBorders>
              <w:bottom w:val="single" w:sz="8" w:color="auto"/>
            </w:tcBorders>
          </w:tcPr>
          <w:p>
            <w:pPr>
              <w:spacing w:after="0"/>
              <w:rPr>
                <w:sz w:val="20"/>
                <w:szCs w:val="20"/>
                <w:color w:val="auto"/>
              </w:rPr>
            </w:pPr>
          </w:p>
        </w:tc>
        <w:tc>
          <w:tcPr>
            <w:tcW w:w="4620" w:type="dxa"/>
            <w:vAlign w:val="bottom"/>
            <w:tcBorders>
              <w:bottom w:val="single" w:sz="8" w:color="auto"/>
            </w:tcBorders>
          </w:tcPr>
          <w:p>
            <w:pPr>
              <w:jc w:val="center"/>
              <w:ind w:left="1050"/>
              <w:spacing w:after="0"/>
              <w:rPr>
                <w:sz w:val="20"/>
                <w:szCs w:val="20"/>
                <w:color w:val="auto"/>
              </w:rPr>
            </w:pPr>
            <w:r>
              <w:rPr>
                <w:rFonts w:ascii="Times New Roman" w:cs="Times New Roman" w:eastAsia="Times New Roman" w:hAnsi="Times New Roman"/>
                <w:sz w:val="18"/>
                <w:szCs w:val="18"/>
                <w:b w:val="1"/>
                <w:bCs w:val="1"/>
                <w:color w:val="auto"/>
                <w:w w:val="99"/>
              </w:rPr>
              <w:t>over the prior year period</w:t>
            </w:r>
          </w:p>
        </w:tc>
        <w:tc>
          <w:tcPr>
            <w:tcW w:w="500" w:type="dxa"/>
            <w:vAlign w:val="bottom"/>
            <w:tcBorders>
              <w:bottom w:val="single" w:sz="8" w:color="auto"/>
            </w:tcBorders>
          </w:tcPr>
          <w:p>
            <w:pPr>
              <w:spacing w:after="0"/>
              <w:rPr>
                <w:sz w:val="20"/>
                <w:szCs w:val="20"/>
                <w:color w:val="auto"/>
              </w:rPr>
            </w:pPr>
          </w:p>
        </w:tc>
        <w:tc>
          <w:tcPr>
            <w:tcW w:w="3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over the prior year period</w:t>
            </w:r>
          </w:p>
        </w:tc>
        <w:tc>
          <w:tcPr>
            <w:tcW w:w="240" w:type="dxa"/>
            <w:vAlign w:val="bottom"/>
            <w:tcBorders>
              <w:bottom w:val="single" w:sz="8" w:color="auto"/>
            </w:tcBorders>
          </w:tcPr>
          <w:p>
            <w:pPr>
              <w:spacing w:after="0"/>
              <w:rPr>
                <w:sz w:val="20"/>
                <w:szCs w:val="20"/>
                <w:color w:val="auto"/>
              </w:rPr>
            </w:pPr>
          </w:p>
        </w:tc>
      </w:tr>
      <w:tr>
        <w:trPr>
          <w:trHeight w:val="223"/>
        </w:trPr>
        <w:tc>
          <w:tcPr>
            <w:tcW w:w="2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Growth/Price</w:t>
            </w:r>
          </w:p>
        </w:tc>
        <w:tc>
          <w:tcPr>
            <w:tcW w:w="4620" w:type="dxa"/>
            <w:vAlign w:val="bottom"/>
            <w:shd w:val="clear" w:color="auto" w:fill="CCEEFF"/>
          </w:tcPr>
          <w:p>
            <w:pPr>
              <w:jc w:val="center"/>
              <w:ind w:left="4190"/>
              <w:spacing w:after="0"/>
              <w:rPr>
                <w:sz w:val="20"/>
                <w:szCs w:val="20"/>
                <w:color w:val="auto"/>
              </w:rPr>
            </w:pPr>
            <w:r>
              <w:rPr>
                <w:rFonts w:ascii="Times New Roman" w:cs="Times New Roman" w:eastAsia="Times New Roman" w:hAnsi="Times New Roman"/>
                <w:sz w:val="18"/>
                <w:szCs w:val="18"/>
                <w:color w:val="auto"/>
                <w:w w:val="97"/>
              </w:rPr>
              <w:t>3.5</w:t>
            </w:r>
          </w:p>
        </w:tc>
        <w:tc>
          <w:tcPr>
            <w:tcW w:w="5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pts</w:t>
            </w:r>
          </w:p>
        </w:tc>
        <w:tc>
          <w:tcPr>
            <w:tcW w:w="3540" w:type="dxa"/>
            <w:vAlign w:val="bottom"/>
            <w:shd w:val="clear" w:color="auto" w:fill="CCEEFF"/>
          </w:tcPr>
          <w:p>
            <w:pPr>
              <w:jc w:val="center"/>
              <w:ind w:left="3070"/>
              <w:spacing w:after="0"/>
              <w:rPr>
                <w:sz w:val="20"/>
                <w:szCs w:val="20"/>
                <w:color w:val="auto"/>
              </w:rPr>
            </w:pPr>
            <w:r>
              <w:rPr>
                <w:rFonts w:ascii="Times New Roman" w:cs="Times New Roman" w:eastAsia="Times New Roman" w:hAnsi="Times New Roman"/>
                <w:sz w:val="18"/>
                <w:szCs w:val="18"/>
                <w:color w:val="auto"/>
                <w:w w:val="97"/>
              </w:rPr>
              <w:t>2.5</w:t>
            </w: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4"/>
              </w:rPr>
              <w:t>pts</w:t>
            </w:r>
          </w:p>
        </w:tc>
      </w:tr>
      <w:tr>
        <w:trPr>
          <w:trHeight w:val="229"/>
        </w:trPr>
        <w:tc>
          <w:tcPr>
            <w:tcW w:w="2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Inflation</w:t>
            </w:r>
          </w:p>
        </w:tc>
        <w:tc>
          <w:tcPr>
            <w:tcW w:w="4620" w:type="dxa"/>
            <w:vAlign w:val="bottom"/>
          </w:tcPr>
          <w:p>
            <w:pPr>
              <w:jc w:val="center"/>
              <w:ind w:left="4150"/>
              <w:spacing w:after="0"/>
              <w:rPr>
                <w:sz w:val="20"/>
                <w:szCs w:val="20"/>
                <w:color w:val="auto"/>
              </w:rPr>
            </w:pPr>
            <w:r>
              <w:rPr>
                <w:rFonts w:ascii="Times New Roman" w:cs="Times New Roman" w:eastAsia="Times New Roman" w:hAnsi="Times New Roman"/>
                <w:sz w:val="18"/>
                <w:szCs w:val="18"/>
                <w:color w:val="auto"/>
                <w:w w:val="98"/>
              </w:rPr>
              <w:t>(2.0)</w:t>
            </w:r>
          </w:p>
        </w:tc>
        <w:tc>
          <w:tcPr>
            <w:tcW w:w="500" w:type="dxa"/>
            <w:vAlign w:val="bottom"/>
          </w:tcPr>
          <w:p>
            <w:pPr>
              <w:spacing w:after="0"/>
              <w:rPr>
                <w:sz w:val="19"/>
                <w:szCs w:val="19"/>
                <w:color w:val="auto"/>
              </w:rPr>
            </w:pPr>
          </w:p>
        </w:tc>
        <w:tc>
          <w:tcPr>
            <w:tcW w:w="3540" w:type="dxa"/>
            <w:vAlign w:val="bottom"/>
          </w:tcPr>
          <w:p>
            <w:pPr>
              <w:jc w:val="center"/>
              <w:ind w:left="3030"/>
              <w:spacing w:after="0"/>
              <w:rPr>
                <w:sz w:val="20"/>
                <w:szCs w:val="20"/>
                <w:color w:val="auto"/>
              </w:rPr>
            </w:pPr>
            <w:r>
              <w:rPr>
                <w:rFonts w:ascii="Times New Roman" w:cs="Times New Roman" w:eastAsia="Times New Roman" w:hAnsi="Times New Roman"/>
                <w:sz w:val="18"/>
                <w:szCs w:val="18"/>
                <w:color w:val="auto"/>
                <w:w w:val="98"/>
              </w:rPr>
              <w:t>(2.2)</w:t>
            </w:r>
          </w:p>
        </w:tc>
        <w:tc>
          <w:tcPr>
            <w:tcW w:w="240" w:type="dxa"/>
            <w:vAlign w:val="bottom"/>
          </w:tcPr>
          <w:p>
            <w:pPr>
              <w:spacing w:after="0"/>
              <w:rPr>
                <w:sz w:val="19"/>
                <w:szCs w:val="19"/>
                <w:color w:val="auto"/>
              </w:rPr>
            </w:pPr>
          </w:p>
        </w:tc>
      </w:tr>
      <w:tr>
        <w:trPr>
          <w:trHeight w:val="230"/>
        </w:trPr>
        <w:tc>
          <w:tcPr>
            <w:tcW w:w="2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Productivity</w:t>
            </w:r>
          </w:p>
        </w:tc>
        <w:tc>
          <w:tcPr>
            <w:tcW w:w="4620" w:type="dxa"/>
            <w:vAlign w:val="bottom"/>
            <w:tcBorders>
              <w:bottom w:val="single" w:sz="8" w:color="auto"/>
            </w:tcBorders>
            <w:shd w:val="clear" w:color="auto" w:fill="CCEEFF"/>
          </w:tcPr>
          <w:p>
            <w:pPr>
              <w:jc w:val="center"/>
              <w:ind w:left="4190"/>
              <w:spacing w:after="0"/>
              <w:rPr>
                <w:sz w:val="20"/>
                <w:szCs w:val="20"/>
                <w:color w:val="auto"/>
              </w:rPr>
            </w:pPr>
            <w:r>
              <w:rPr>
                <w:rFonts w:ascii="Times New Roman" w:cs="Times New Roman" w:eastAsia="Times New Roman" w:hAnsi="Times New Roman"/>
                <w:sz w:val="18"/>
                <w:szCs w:val="18"/>
                <w:color w:val="auto"/>
                <w:w w:val="97"/>
              </w:rPr>
              <w:t>1.3</w:t>
            </w:r>
          </w:p>
        </w:tc>
        <w:tc>
          <w:tcPr>
            <w:tcW w:w="500" w:type="dxa"/>
            <w:vAlign w:val="bottom"/>
            <w:tcBorders>
              <w:bottom w:val="single" w:sz="8" w:color="auto"/>
            </w:tcBorders>
            <w:shd w:val="clear" w:color="auto" w:fill="CCEEFF"/>
          </w:tcPr>
          <w:p>
            <w:pPr>
              <w:spacing w:after="0"/>
              <w:rPr>
                <w:sz w:val="19"/>
                <w:szCs w:val="19"/>
                <w:color w:val="auto"/>
              </w:rPr>
            </w:pPr>
          </w:p>
        </w:tc>
        <w:tc>
          <w:tcPr>
            <w:tcW w:w="3540" w:type="dxa"/>
            <w:vAlign w:val="bottom"/>
            <w:tcBorders>
              <w:bottom w:val="single" w:sz="8" w:color="auto"/>
            </w:tcBorders>
            <w:shd w:val="clear" w:color="auto" w:fill="CCEEFF"/>
          </w:tcPr>
          <w:p>
            <w:pPr>
              <w:jc w:val="center"/>
              <w:ind w:left="3070"/>
              <w:spacing w:after="0"/>
              <w:rPr>
                <w:sz w:val="20"/>
                <w:szCs w:val="20"/>
                <w:color w:val="auto"/>
              </w:rPr>
            </w:pPr>
            <w:r>
              <w:rPr>
                <w:rFonts w:ascii="Times New Roman" w:cs="Times New Roman" w:eastAsia="Times New Roman" w:hAnsi="Times New Roman"/>
                <w:sz w:val="18"/>
                <w:szCs w:val="18"/>
                <w:color w:val="auto"/>
                <w:w w:val="97"/>
              </w:rPr>
              <w:t>2.8</w:t>
            </w:r>
          </w:p>
        </w:tc>
        <w:tc>
          <w:tcPr>
            <w:tcW w:w="240" w:type="dxa"/>
            <w:vAlign w:val="bottom"/>
            <w:tcBorders>
              <w:bottom w:val="single" w:sz="8" w:color="auto"/>
            </w:tcBorders>
            <w:shd w:val="clear" w:color="auto" w:fill="CCEEFF"/>
          </w:tcPr>
          <w:p>
            <w:pPr>
              <w:spacing w:after="0"/>
              <w:rPr>
                <w:sz w:val="19"/>
                <w:szCs w:val="19"/>
                <w:color w:val="auto"/>
              </w:rPr>
            </w:pPr>
          </w:p>
        </w:tc>
      </w:tr>
      <w:tr>
        <w:trPr>
          <w:trHeight w:val="223"/>
        </w:trPr>
        <w:tc>
          <w:tcPr>
            <w:tcW w:w="2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620" w:type="dxa"/>
            <w:vAlign w:val="bottom"/>
            <w:tcBorders>
              <w:bottom w:val="single" w:sz="8" w:color="auto"/>
            </w:tcBorders>
          </w:tcPr>
          <w:p>
            <w:pPr>
              <w:jc w:val="center"/>
              <w:ind w:left="4190"/>
              <w:spacing w:after="0"/>
              <w:rPr>
                <w:sz w:val="20"/>
                <w:szCs w:val="20"/>
                <w:color w:val="auto"/>
              </w:rPr>
            </w:pPr>
            <w:r>
              <w:rPr>
                <w:rFonts w:ascii="Times New Roman" w:cs="Times New Roman" w:eastAsia="Times New Roman" w:hAnsi="Times New Roman"/>
                <w:sz w:val="18"/>
                <w:szCs w:val="18"/>
                <w:color w:val="auto"/>
                <w:w w:val="97"/>
              </w:rPr>
              <w:t>2.8</w:t>
            </w:r>
          </w:p>
        </w:tc>
        <w:tc>
          <w:tcPr>
            <w:tcW w:w="5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pts</w:t>
            </w:r>
          </w:p>
        </w:tc>
        <w:tc>
          <w:tcPr>
            <w:tcW w:w="3540" w:type="dxa"/>
            <w:vAlign w:val="bottom"/>
            <w:tcBorders>
              <w:bottom w:val="single" w:sz="8" w:color="auto"/>
            </w:tcBorders>
          </w:tcPr>
          <w:p>
            <w:pPr>
              <w:jc w:val="center"/>
              <w:ind w:left="3070"/>
              <w:spacing w:after="0"/>
              <w:rPr>
                <w:sz w:val="20"/>
                <w:szCs w:val="20"/>
                <w:color w:val="auto"/>
              </w:rPr>
            </w:pPr>
            <w:r>
              <w:rPr>
                <w:rFonts w:ascii="Times New Roman" w:cs="Times New Roman" w:eastAsia="Times New Roman" w:hAnsi="Times New Roman"/>
                <w:sz w:val="18"/>
                <w:szCs w:val="18"/>
                <w:color w:val="auto"/>
                <w:w w:val="97"/>
              </w:rPr>
              <w:t>3.1</w:t>
            </w:r>
          </w:p>
        </w:tc>
        <w:tc>
          <w:tcPr>
            <w:tcW w:w="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94"/>
              </w:rPr>
              <w:t>pts</w:t>
            </w:r>
          </w:p>
        </w:tc>
      </w:tr>
      <w:tr>
        <w:trPr>
          <w:trHeight w:val="21"/>
        </w:trPr>
        <w:tc>
          <w:tcPr>
            <w:tcW w:w="2300" w:type="dxa"/>
            <w:vAlign w:val="bottom"/>
            <w:tcBorders>
              <w:bottom w:val="single" w:sz="8" w:color="auto"/>
            </w:tcBorders>
          </w:tcPr>
          <w:p>
            <w:pPr>
              <w:spacing w:after="0" w:line="20" w:lineRule="exact"/>
              <w:rPr>
                <w:sz w:val="1"/>
                <w:szCs w:val="1"/>
                <w:color w:val="auto"/>
              </w:rPr>
            </w:pPr>
          </w:p>
        </w:tc>
        <w:tc>
          <w:tcPr>
            <w:tcW w:w="46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5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The 2.8 and 3.1 percentage point increases in segment income for Flow as a percentage of net sales in the third quarter and first nine months, respectively, of 2024 from 2023 were primarily driven by:</w:t>
      </w:r>
    </w:p>
    <w:p>
      <w:pPr>
        <w:spacing w:after="0" w:line="106" w:lineRule="exact"/>
        <w:rPr>
          <w:sz w:val="20"/>
          <w:szCs w:val="20"/>
          <w:color w:val="auto"/>
        </w:rPr>
      </w:pPr>
    </w:p>
    <w:p>
      <w:pPr>
        <w:ind w:left="480" w:hanging="310"/>
        <w:spacing w:after="0"/>
        <w:tabs>
          <w:tab w:leader="none" w:pos="4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selling prices to mitigate impacts of inflation and favorable mix; and</w:t>
      </w:r>
    </w:p>
    <w:p>
      <w:pPr>
        <w:spacing w:after="0" w:line="171"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productivity mainly driven by transformation initiatives.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These increases were partially offset by:</w:t>
      </w:r>
    </w:p>
    <w:p>
      <w:pPr>
        <w:spacing w:after="0" w:line="173" w:lineRule="exact"/>
        <w:rPr>
          <w:sz w:val="20"/>
          <w:szCs w:val="20"/>
          <w:color w:val="auto"/>
        </w:rPr>
      </w:pPr>
    </w:p>
    <w:p>
      <w:pPr>
        <w:ind w:left="480" w:hanging="310"/>
        <w:spacing w:after="0"/>
        <w:tabs>
          <w:tab w:leader="none" w:pos="4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inflationary cost increases related to labor costs and certain raw materials.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Water Solutions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net sales and segment income for Water Solutions were as follows: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3"/>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4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3"/>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2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60" w:type="dxa"/>
            <w:vAlign w:val="bottom"/>
          </w:tcPr>
          <w:p>
            <w:pPr>
              <w:spacing w:after="0"/>
              <w:rPr>
                <w:sz w:val="14"/>
                <w:szCs w:val="14"/>
                <w:color w:val="auto"/>
              </w:rPr>
            </w:pPr>
          </w:p>
        </w:tc>
        <w:tc>
          <w:tcPr>
            <w:tcW w:w="1280" w:type="dxa"/>
            <w:vAlign w:val="bottom"/>
          </w:tcPr>
          <w:p>
            <w:pPr>
              <w:jc w:val="right"/>
              <w:ind w:right="30"/>
              <w:spacing w:after="0" w:line="169"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260" w:type="dxa"/>
            <w:vAlign w:val="bottom"/>
          </w:tcPr>
          <w:p>
            <w:pPr>
              <w:spacing w:after="0"/>
              <w:rPr>
                <w:sz w:val="14"/>
                <w:szCs w:val="14"/>
                <w:color w:val="auto"/>
              </w:rPr>
            </w:pPr>
          </w:p>
        </w:tc>
        <w:tc>
          <w:tcPr>
            <w:tcW w:w="1380" w:type="dxa"/>
            <w:vAlign w:val="bottom"/>
          </w:tcPr>
          <w:p>
            <w:pPr>
              <w:jc w:val="right"/>
              <w:ind w:right="130"/>
              <w:spacing w:after="0" w:line="169"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460" w:type="dxa"/>
            <w:vAlign w:val="bottom"/>
          </w:tcPr>
          <w:p>
            <w:pPr>
              <w:jc w:val="right"/>
              <w:ind w:right="270"/>
              <w:spacing w:after="0" w:line="169" w:lineRule="exact"/>
              <w:rPr>
                <w:sz w:val="20"/>
                <w:szCs w:val="20"/>
                <w:color w:val="auto"/>
              </w:rPr>
            </w:pPr>
            <w:r>
              <w:rPr>
                <w:rFonts w:ascii="Times New Roman" w:cs="Times New Roman" w:eastAsia="Times New Roman" w:hAnsi="Times New Roman"/>
                <w:sz w:val="18"/>
                <w:szCs w:val="18"/>
                <w:b w:val="1"/>
                <w:bCs w:val="1"/>
                <w:color w:val="auto"/>
              </w:rPr>
              <w:t>% / Point</w:t>
            </w:r>
          </w:p>
        </w:tc>
        <w:tc>
          <w:tcPr>
            <w:tcW w:w="160" w:type="dxa"/>
            <w:vAlign w:val="bottom"/>
          </w:tcPr>
          <w:p>
            <w:pPr>
              <w:spacing w:after="0"/>
              <w:rPr>
                <w:sz w:val="14"/>
                <w:szCs w:val="14"/>
                <w:color w:val="auto"/>
              </w:rPr>
            </w:pPr>
          </w:p>
        </w:tc>
        <w:tc>
          <w:tcPr>
            <w:tcW w:w="1280" w:type="dxa"/>
            <w:vAlign w:val="bottom"/>
          </w:tcPr>
          <w:p>
            <w:pPr>
              <w:jc w:val="right"/>
              <w:ind w:right="30"/>
              <w:spacing w:after="0" w:line="169"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260" w:type="dxa"/>
            <w:vAlign w:val="bottom"/>
          </w:tcPr>
          <w:p>
            <w:pPr>
              <w:spacing w:after="0"/>
              <w:rPr>
                <w:sz w:val="14"/>
                <w:szCs w:val="14"/>
                <w:color w:val="auto"/>
              </w:rPr>
            </w:pPr>
          </w:p>
        </w:tc>
        <w:tc>
          <w:tcPr>
            <w:tcW w:w="1380" w:type="dxa"/>
            <w:vAlign w:val="bottom"/>
          </w:tcPr>
          <w:p>
            <w:pPr>
              <w:jc w:val="right"/>
              <w:ind w:right="130"/>
              <w:spacing w:after="0" w:line="169"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340" w:type="dxa"/>
            <w:vAlign w:val="bottom"/>
          </w:tcPr>
          <w:p>
            <w:pPr>
              <w:jc w:val="right"/>
              <w:ind w:right="150"/>
              <w:spacing w:after="0" w:line="169" w:lineRule="exact"/>
              <w:rPr>
                <w:sz w:val="20"/>
                <w:szCs w:val="20"/>
                <w:color w:val="auto"/>
              </w:rPr>
            </w:pPr>
            <w:r>
              <w:rPr>
                <w:rFonts w:ascii="Times New Roman" w:cs="Times New Roman" w:eastAsia="Times New Roman" w:hAnsi="Times New Roman"/>
                <w:sz w:val="18"/>
                <w:szCs w:val="18"/>
                <w:b w:val="1"/>
                <w:bCs w:val="1"/>
                <w:color w:val="auto"/>
              </w:rPr>
              <w:t>% / Point</w:t>
            </w:r>
          </w:p>
        </w:tc>
        <w:tc>
          <w:tcPr>
            <w:tcW w:w="0" w:type="dxa"/>
            <w:vAlign w:val="bottom"/>
          </w:tcPr>
          <w:p>
            <w:pPr>
              <w:spacing w:after="0"/>
              <w:rPr>
                <w:sz w:val="1"/>
                <w:szCs w:val="1"/>
                <w:color w:val="auto"/>
              </w:rPr>
            </w:pPr>
          </w:p>
        </w:tc>
      </w:tr>
      <w:tr>
        <w:trPr>
          <w:trHeight w:val="243"/>
        </w:trPr>
        <w:tc>
          <w:tcPr>
            <w:tcW w:w="2280" w:type="dxa"/>
            <w:vAlign w:val="bottom"/>
            <w:tcBorders>
              <w:bottom w:val="single" w:sz="8" w:color="auto"/>
            </w:tcBorders>
            <w:vMerge w:val="continue"/>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4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3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23"/>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289.5</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299.4</w:t>
            </w:r>
          </w:p>
        </w:tc>
        <w:tc>
          <w:tcPr>
            <w:tcW w:w="14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873.1</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907.6</w:t>
            </w:r>
          </w:p>
        </w:tc>
        <w:tc>
          <w:tcPr>
            <w:tcW w:w="1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30"/>
        </w:trPr>
        <w:tc>
          <w:tcPr>
            <w:tcW w:w="2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income</w:t>
            </w:r>
          </w:p>
        </w:tc>
        <w:tc>
          <w:tcPr>
            <w:tcW w:w="160" w:type="dxa"/>
            <w:vAlign w:val="bottom"/>
          </w:tcPr>
          <w:p>
            <w:pPr>
              <w:spacing w:after="0"/>
              <w:rPr>
                <w:sz w:val="19"/>
                <w:szCs w:val="19"/>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64.4</w:t>
            </w:r>
          </w:p>
        </w:tc>
        <w:tc>
          <w:tcPr>
            <w:tcW w:w="260" w:type="dxa"/>
            <w:vAlign w:val="bottom"/>
          </w:tcPr>
          <w:p>
            <w:pPr>
              <w:spacing w:after="0"/>
              <w:rPr>
                <w:sz w:val="19"/>
                <w:szCs w:val="19"/>
                <w:color w:val="auto"/>
              </w:rPr>
            </w:pPr>
          </w:p>
        </w:tc>
        <w:tc>
          <w:tcPr>
            <w:tcW w:w="1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68.8</w:t>
            </w:r>
          </w:p>
        </w:tc>
        <w:tc>
          <w:tcPr>
            <w:tcW w:w="14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(6.4)%</w:t>
            </w:r>
          </w:p>
        </w:tc>
        <w:tc>
          <w:tcPr>
            <w:tcW w:w="160" w:type="dxa"/>
            <w:vAlign w:val="bottom"/>
          </w:tcPr>
          <w:p>
            <w:pPr>
              <w:spacing w:after="0"/>
              <w:rPr>
                <w:sz w:val="19"/>
                <w:szCs w:val="19"/>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192.9</w:t>
            </w:r>
          </w:p>
        </w:tc>
        <w:tc>
          <w:tcPr>
            <w:tcW w:w="260" w:type="dxa"/>
            <w:vAlign w:val="bottom"/>
          </w:tcPr>
          <w:p>
            <w:pPr>
              <w:spacing w:after="0"/>
              <w:rPr>
                <w:sz w:val="19"/>
                <w:szCs w:val="19"/>
                <w:color w:val="auto"/>
              </w:rPr>
            </w:pPr>
          </w:p>
        </w:tc>
        <w:tc>
          <w:tcPr>
            <w:tcW w:w="1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196.0</w:t>
            </w: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bl>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0" w:type="dxa"/>
            <w:vAlign w:val="bottom"/>
            <w:shd w:val="clear" w:color="auto" w:fill="CCEEFF"/>
          </w:tcPr>
          <w:p>
            <w:pPr>
              <w:spacing w:after="0"/>
              <w:rPr>
                <w:sz w:val="18"/>
                <w:szCs w:val="18"/>
                <w:color w:val="auto"/>
              </w:rPr>
            </w:pPr>
          </w:p>
        </w:tc>
        <w:tc>
          <w:tcPr>
            <w:tcW w:w="22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i w:val="1"/>
                <w:iCs w:val="1"/>
                <w:color w:val="auto"/>
              </w:rPr>
              <w:t>% of net sales</w:t>
            </w:r>
          </w:p>
        </w:tc>
        <w:tc>
          <w:tcPr>
            <w:tcW w:w="17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i w:val="1"/>
                <w:iCs w:val="1"/>
                <w:color w:val="auto"/>
              </w:rPr>
              <w:t>22.2 %</w:t>
            </w:r>
          </w:p>
        </w:tc>
        <w:tc>
          <w:tcPr>
            <w:tcW w:w="17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i w:val="1"/>
                <w:iCs w:val="1"/>
                <w:color w:val="auto"/>
              </w:rPr>
              <w:t>23.0 %</w:t>
            </w:r>
          </w:p>
        </w:tc>
        <w:tc>
          <w:tcPr>
            <w:tcW w:w="174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i w:val="1"/>
                <w:iCs w:val="1"/>
                <w:color w:val="auto"/>
              </w:rPr>
              <w:t>(0.8) pts</w:t>
            </w:r>
          </w:p>
        </w:tc>
        <w:tc>
          <w:tcPr>
            <w:tcW w:w="140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i w:val="1"/>
                <w:iCs w:val="1"/>
                <w:color w:val="auto"/>
              </w:rPr>
              <w:t>22.1 %</w:t>
            </w:r>
          </w:p>
        </w:tc>
        <w:tc>
          <w:tcPr>
            <w:tcW w:w="160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i w:val="1"/>
                <w:iCs w:val="1"/>
                <w:color w:val="auto"/>
              </w:rPr>
              <w:t>21.6 %</w:t>
            </w:r>
          </w:p>
        </w:tc>
        <w:tc>
          <w:tcPr>
            <w:tcW w:w="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i w:val="1"/>
                <w:iCs w:val="1"/>
                <w:color w:val="auto"/>
              </w:rPr>
              <w:t>0.5 pts</w:t>
            </w:r>
          </w:p>
        </w:tc>
      </w:tr>
      <w:tr>
        <w:trPr>
          <w:trHeight w:val="454"/>
        </w:trPr>
        <w:tc>
          <w:tcPr>
            <w:tcW w:w="2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tc>
        <w:tc>
          <w:tcPr>
            <w:tcW w:w="17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4"/>
        </w:trPr>
        <w:tc>
          <w:tcPr>
            <w:tcW w:w="74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components of the change in Water Solutions net sales from the prior period were as follows:</w:t>
            </w:r>
          </w:p>
        </w:tc>
        <w:tc>
          <w:tcPr>
            <w:tcW w:w="14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7"/>
        </w:trPr>
        <w:tc>
          <w:tcPr>
            <w:tcW w:w="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5180" w:type="dxa"/>
            <w:vAlign w:val="bottom"/>
            <w:gridSpan w:val="3"/>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Three months ended September 30, 2024</w:t>
            </w:r>
          </w:p>
        </w:tc>
        <w:tc>
          <w:tcPr>
            <w:tcW w:w="3780" w:type="dxa"/>
            <w:vAlign w:val="bottom"/>
            <w:gridSpan w:val="4"/>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Nine months ended September 30, 2024</w:t>
            </w:r>
          </w:p>
        </w:tc>
      </w:tr>
      <w:tr>
        <w:trPr>
          <w:trHeight w:val="238"/>
        </w:trPr>
        <w:tc>
          <w:tcPr>
            <w:tcW w:w="20" w:type="dxa"/>
            <w:vAlign w:val="bottom"/>
          </w:tcPr>
          <w:p>
            <w:pPr>
              <w:spacing w:after="0"/>
              <w:rPr>
                <w:sz w:val="20"/>
                <w:szCs w:val="20"/>
                <w:color w:val="auto"/>
              </w:rPr>
            </w:pPr>
          </w:p>
        </w:tc>
        <w:tc>
          <w:tcPr>
            <w:tcW w:w="226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spacing w:after="0"/>
              <w:rPr>
                <w:sz w:val="20"/>
                <w:szCs w:val="20"/>
                <w:color w:val="auto"/>
              </w:rPr>
            </w:pPr>
          </w:p>
        </w:tc>
        <w:tc>
          <w:tcPr>
            <w:tcW w:w="3440" w:type="dxa"/>
            <w:vAlign w:val="bottom"/>
            <w:tcBorders>
              <w:bottom w:val="single" w:sz="8" w:color="auto"/>
            </w:tcBorders>
            <w:gridSpan w:val="2"/>
          </w:tcPr>
          <w:p>
            <w:pPr>
              <w:jc w:val="right"/>
              <w:ind w:right="1130"/>
              <w:spacing w:after="0"/>
              <w:rPr>
                <w:sz w:val="20"/>
                <w:szCs w:val="20"/>
                <w:color w:val="auto"/>
              </w:rPr>
            </w:pPr>
            <w:r>
              <w:rPr>
                <w:rFonts w:ascii="Times New Roman" w:cs="Times New Roman" w:eastAsia="Times New Roman" w:hAnsi="Times New Roman"/>
                <w:sz w:val="18"/>
                <w:szCs w:val="18"/>
                <w:b w:val="1"/>
                <w:bCs w:val="1"/>
                <w:color w:val="auto"/>
              </w:rPr>
              <w:t>over the prior year period</w:t>
            </w:r>
          </w:p>
        </w:tc>
        <w:tc>
          <w:tcPr>
            <w:tcW w:w="3000" w:type="dxa"/>
            <w:vAlign w:val="bottom"/>
            <w:tcBorders>
              <w:bottom w:val="single" w:sz="8" w:color="auto"/>
            </w:tcBorders>
            <w:gridSpan w:val="2"/>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9"/>
              </w:rPr>
              <w:t>over the prior year period</w:t>
            </w:r>
          </w:p>
        </w:tc>
        <w:tc>
          <w:tcPr>
            <w:tcW w:w="7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2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Volume</w:t>
            </w:r>
          </w:p>
        </w:tc>
        <w:tc>
          <w:tcPr>
            <w:tcW w:w="174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74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(4.6)%</w:t>
            </w:r>
          </w:p>
        </w:tc>
        <w:tc>
          <w:tcPr>
            <w:tcW w:w="14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(4.8)%</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2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Price</w:t>
            </w:r>
          </w:p>
        </w:tc>
        <w:tc>
          <w:tcPr>
            <w:tcW w:w="17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1.1</w:t>
            </w:r>
          </w:p>
        </w:tc>
        <w:tc>
          <w:tcPr>
            <w:tcW w:w="14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2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Core growth</w:t>
            </w:r>
          </w:p>
        </w:tc>
        <w:tc>
          <w:tcPr>
            <w:tcW w:w="174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74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(3.5)</w:t>
            </w:r>
          </w:p>
        </w:tc>
        <w:tc>
          <w:tcPr>
            <w:tcW w:w="14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2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Currency</w:t>
            </w:r>
          </w:p>
        </w:tc>
        <w:tc>
          <w:tcPr>
            <w:tcW w:w="17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0.2</w:t>
            </w:r>
          </w:p>
        </w:tc>
        <w:tc>
          <w:tcPr>
            <w:tcW w:w="14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(0.3)</w:t>
            </w:r>
          </w:p>
        </w:tc>
        <w:tc>
          <w:tcPr>
            <w:tcW w:w="20" w:type="dxa"/>
            <w:vAlign w:val="bottom"/>
          </w:tcPr>
          <w:p>
            <w:pPr>
              <w:spacing w:after="0"/>
              <w:rPr>
                <w:sz w:val="19"/>
                <w:szCs w:val="19"/>
                <w:color w:val="auto"/>
              </w:rPr>
            </w:pPr>
          </w:p>
        </w:tc>
      </w:tr>
      <w:tr>
        <w:trPr>
          <w:trHeight w:val="248"/>
        </w:trPr>
        <w:tc>
          <w:tcPr>
            <w:tcW w:w="20" w:type="dxa"/>
            <w:vAlign w:val="bottom"/>
          </w:tcPr>
          <w:p>
            <w:pPr>
              <w:spacing w:after="0"/>
              <w:rPr>
                <w:sz w:val="21"/>
                <w:szCs w:val="21"/>
                <w:color w:val="auto"/>
              </w:rPr>
            </w:pPr>
          </w:p>
        </w:tc>
        <w:tc>
          <w:tcPr>
            <w:tcW w:w="2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740" w:type="dxa"/>
            <w:vAlign w:val="bottom"/>
            <w:tcBorders>
              <w:bottom w:val="single" w:sz="8" w:color="auto"/>
            </w:tcBorders>
            <w:shd w:val="clear" w:color="auto" w:fill="CCEEFF"/>
          </w:tcPr>
          <w:p>
            <w:pPr>
              <w:spacing w:after="0"/>
              <w:rPr>
                <w:sz w:val="21"/>
                <w:szCs w:val="21"/>
                <w:color w:val="auto"/>
              </w:rPr>
            </w:pPr>
          </w:p>
        </w:tc>
        <w:tc>
          <w:tcPr>
            <w:tcW w:w="1700" w:type="dxa"/>
            <w:vAlign w:val="bottom"/>
            <w:tcBorders>
              <w:bottom w:val="single" w:sz="8" w:color="auto"/>
            </w:tcBorders>
            <w:shd w:val="clear" w:color="auto" w:fill="CCEEFF"/>
          </w:tcPr>
          <w:p>
            <w:pPr>
              <w:spacing w:after="0"/>
              <w:rPr>
                <w:sz w:val="21"/>
                <w:szCs w:val="21"/>
                <w:color w:val="auto"/>
              </w:rPr>
            </w:pPr>
          </w:p>
        </w:tc>
        <w:tc>
          <w:tcPr>
            <w:tcW w:w="1740" w:type="dxa"/>
            <w:vAlign w:val="bottom"/>
            <w:tcBorders>
              <w:bottom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(3.3)%</w:t>
            </w:r>
          </w:p>
        </w:tc>
        <w:tc>
          <w:tcPr>
            <w:tcW w:w="1400" w:type="dxa"/>
            <w:vAlign w:val="bottom"/>
            <w:tcBorders>
              <w:bottom w:val="single" w:sz="8" w:color="auto"/>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(3.8)%</w:t>
            </w:r>
          </w:p>
        </w:tc>
        <w:tc>
          <w:tcPr>
            <w:tcW w:w="2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226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The 3.3 and 3.8 percent decreases in net sales for Water Solutions in the third quarter and first nine months, respectively, of 2024 from 2023 were primarily driven by:</w:t>
      </w:r>
    </w:p>
    <w:p>
      <w:pPr>
        <w:spacing w:after="0" w:line="106" w:lineRule="exact"/>
        <w:rPr>
          <w:sz w:val="20"/>
          <w:szCs w:val="20"/>
          <w:color w:val="auto"/>
        </w:rPr>
      </w:pPr>
    </w:p>
    <w:p>
      <w:pPr>
        <w:ind w:left="500" w:hanging="330"/>
        <w:spacing w:after="0" w:line="282" w:lineRule="auto"/>
        <w:tabs>
          <w:tab w:leader="none" w:pos="49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sales volume compared to the prior year, in addition to the completion of a large project in 2023 within our commercial business that did not recur in the first nine months of 2024; and</w:t>
      </w:r>
    </w:p>
    <w:p>
      <w:pPr>
        <w:spacing w:after="0" w:line="107"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foreign currency effects compared to the first nine months of the prior year.</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These decreases were partially offset by:</w:t>
      </w:r>
    </w:p>
    <w:p>
      <w:pPr>
        <w:spacing w:after="0" w:line="173" w:lineRule="exact"/>
        <w:rPr>
          <w:sz w:val="20"/>
          <w:szCs w:val="20"/>
          <w:color w:val="auto"/>
        </w:rPr>
      </w:pPr>
    </w:p>
    <w:p>
      <w:pPr>
        <w:ind w:left="5540" w:right="4260" w:hanging="5370"/>
        <w:spacing w:after="0" w:line="970" w:lineRule="auto"/>
        <w:tabs>
          <w:tab w:leader="none" w:pos="49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selling prices in our commercial business to mitigate inflationary cost increases.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-342900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income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the change in Water Solutions segment income as a percentage of net sales from the prior period were as follows:</w:t>
      </w:r>
    </w:p>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229"/>
        </w:trPr>
        <w:tc>
          <w:tcPr>
            <w:tcW w:w="2300" w:type="dxa"/>
            <w:vAlign w:val="bottom"/>
          </w:tcPr>
          <w:p>
            <w:pPr>
              <w:spacing w:after="0"/>
              <w:rPr>
                <w:sz w:val="19"/>
                <w:szCs w:val="19"/>
                <w:color w:val="auto"/>
              </w:rPr>
            </w:pPr>
          </w:p>
        </w:tc>
        <w:tc>
          <w:tcPr>
            <w:tcW w:w="46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Three months ended September 30, 2024</w:t>
            </w:r>
          </w:p>
        </w:tc>
        <w:tc>
          <w:tcPr>
            <w:tcW w:w="520" w:type="dxa"/>
            <w:vAlign w:val="bottom"/>
          </w:tcPr>
          <w:p>
            <w:pPr>
              <w:spacing w:after="0"/>
              <w:rPr>
                <w:sz w:val="19"/>
                <w:szCs w:val="19"/>
                <w:color w:val="auto"/>
              </w:rPr>
            </w:pPr>
          </w:p>
        </w:tc>
        <w:tc>
          <w:tcPr>
            <w:tcW w:w="34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Nine months ended September 30, 2024</w:t>
            </w:r>
          </w:p>
        </w:tc>
        <w:tc>
          <w:tcPr>
            <w:tcW w:w="280" w:type="dxa"/>
            <w:vAlign w:val="bottom"/>
          </w:tcPr>
          <w:p>
            <w:pPr>
              <w:spacing w:after="0"/>
              <w:rPr>
                <w:sz w:val="19"/>
                <w:szCs w:val="19"/>
                <w:color w:val="auto"/>
              </w:rPr>
            </w:pPr>
          </w:p>
        </w:tc>
      </w:tr>
      <w:tr>
        <w:trPr>
          <w:trHeight w:val="238"/>
        </w:trPr>
        <w:tc>
          <w:tcPr>
            <w:tcW w:w="2300" w:type="dxa"/>
            <w:vAlign w:val="bottom"/>
            <w:tcBorders>
              <w:bottom w:val="single" w:sz="8" w:color="auto"/>
            </w:tcBorders>
          </w:tcPr>
          <w:p>
            <w:pPr>
              <w:spacing w:after="0"/>
              <w:rPr>
                <w:sz w:val="20"/>
                <w:szCs w:val="20"/>
                <w:color w:val="auto"/>
              </w:rPr>
            </w:pPr>
          </w:p>
        </w:tc>
        <w:tc>
          <w:tcPr>
            <w:tcW w:w="460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over the prior year period</w:t>
            </w:r>
          </w:p>
        </w:tc>
        <w:tc>
          <w:tcPr>
            <w:tcW w:w="520" w:type="dxa"/>
            <w:vAlign w:val="bottom"/>
            <w:tcBorders>
              <w:bottom w:val="single" w:sz="8" w:color="auto"/>
            </w:tcBorders>
          </w:tcPr>
          <w:p>
            <w:pPr>
              <w:spacing w:after="0"/>
              <w:rPr>
                <w:sz w:val="20"/>
                <w:szCs w:val="20"/>
                <w:color w:val="auto"/>
              </w:rPr>
            </w:pPr>
          </w:p>
        </w:tc>
        <w:tc>
          <w:tcPr>
            <w:tcW w:w="34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over the prior year period</w:t>
            </w:r>
          </w:p>
        </w:tc>
        <w:tc>
          <w:tcPr>
            <w:tcW w:w="280" w:type="dxa"/>
            <w:vAlign w:val="bottom"/>
            <w:tcBorders>
              <w:bottom w:val="single" w:sz="8" w:color="auto"/>
            </w:tcBorders>
          </w:tcPr>
          <w:p>
            <w:pPr>
              <w:spacing w:after="0"/>
              <w:rPr>
                <w:sz w:val="20"/>
                <w:szCs w:val="20"/>
                <w:color w:val="auto"/>
              </w:rPr>
            </w:pPr>
          </w:p>
        </w:tc>
      </w:tr>
      <w:tr>
        <w:trPr>
          <w:trHeight w:val="223"/>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Growth/Price</w:t>
            </w:r>
          </w:p>
        </w:tc>
        <w:tc>
          <w:tcPr>
            <w:tcW w:w="4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pts</w:t>
            </w:r>
          </w:p>
        </w:tc>
        <w:tc>
          <w:tcPr>
            <w:tcW w:w="3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4"/>
              </w:rPr>
              <w:t>pts</w:t>
            </w:r>
          </w:p>
        </w:tc>
      </w:tr>
      <w:tr>
        <w:trPr>
          <w:trHeight w:val="229"/>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Currency</w:t>
            </w:r>
          </w:p>
        </w:tc>
        <w:tc>
          <w:tcPr>
            <w:tcW w:w="4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520" w:type="dxa"/>
            <w:vAlign w:val="bottom"/>
          </w:tcPr>
          <w:p>
            <w:pPr>
              <w:spacing w:after="0"/>
              <w:rPr>
                <w:sz w:val="19"/>
                <w:szCs w:val="19"/>
                <w:color w:val="auto"/>
              </w:rPr>
            </w:pPr>
          </w:p>
        </w:tc>
        <w:tc>
          <w:tcPr>
            <w:tcW w:w="3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r>
      <w:tr>
        <w:trPr>
          <w:trHeight w:val="230"/>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Inflation</w:t>
            </w:r>
          </w:p>
        </w:tc>
        <w:tc>
          <w:tcPr>
            <w:tcW w:w="4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520" w:type="dxa"/>
            <w:vAlign w:val="bottom"/>
            <w:shd w:val="clear" w:color="auto" w:fill="CCEEFF"/>
          </w:tcPr>
          <w:p>
            <w:pPr>
              <w:spacing w:after="0"/>
              <w:rPr>
                <w:sz w:val="19"/>
                <w:szCs w:val="19"/>
                <w:color w:val="auto"/>
              </w:rPr>
            </w:pPr>
          </w:p>
        </w:tc>
        <w:tc>
          <w:tcPr>
            <w:tcW w:w="3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80" w:type="dxa"/>
            <w:vAlign w:val="bottom"/>
            <w:shd w:val="clear" w:color="auto" w:fill="CCEEFF"/>
          </w:tcPr>
          <w:p>
            <w:pPr>
              <w:spacing w:after="0"/>
              <w:rPr>
                <w:sz w:val="19"/>
                <w:szCs w:val="19"/>
                <w:color w:val="auto"/>
              </w:rPr>
            </w:pPr>
          </w:p>
        </w:tc>
      </w:tr>
      <w:tr>
        <w:trPr>
          <w:trHeight w:val="229"/>
        </w:trPr>
        <w:tc>
          <w:tcPr>
            <w:tcW w:w="2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Productivity</w:t>
            </w:r>
          </w:p>
        </w:tc>
        <w:tc>
          <w:tcPr>
            <w:tcW w:w="4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520" w:type="dxa"/>
            <w:vAlign w:val="bottom"/>
            <w:tcBorders>
              <w:bottom w:val="single" w:sz="8" w:color="auto"/>
            </w:tcBorders>
          </w:tcPr>
          <w:p>
            <w:pPr>
              <w:spacing w:after="0"/>
              <w:rPr>
                <w:sz w:val="19"/>
                <w:szCs w:val="19"/>
                <w:color w:val="auto"/>
              </w:rPr>
            </w:pPr>
          </w:p>
        </w:tc>
        <w:tc>
          <w:tcPr>
            <w:tcW w:w="3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80" w:type="dxa"/>
            <w:vAlign w:val="bottom"/>
            <w:tcBorders>
              <w:bottom w:val="single" w:sz="8" w:color="auto"/>
            </w:tcBorders>
          </w:tcPr>
          <w:p>
            <w:pPr>
              <w:spacing w:after="0"/>
              <w:rPr>
                <w:sz w:val="19"/>
                <w:szCs w:val="19"/>
                <w:color w:val="auto"/>
              </w:rPr>
            </w:pPr>
          </w:p>
        </w:tc>
      </w:tr>
      <w:tr>
        <w:trPr>
          <w:trHeight w:val="248"/>
        </w:trPr>
        <w:tc>
          <w:tcPr>
            <w:tcW w:w="23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4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52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pts</w:t>
            </w:r>
          </w:p>
        </w:tc>
        <w:tc>
          <w:tcPr>
            <w:tcW w:w="3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8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4"/>
              </w:rPr>
              <w:t>pts</w:t>
            </w:r>
          </w:p>
        </w:tc>
      </w:tr>
      <w:tr>
        <w:trPr>
          <w:trHeight w:val="20"/>
        </w:trPr>
        <w:tc>
          <w:tcPr>
            <w:tcW w:w="2300" w:type="dxa"/>
            <w:vAlign w:val="bottom"/>
            <w:tcBorders>
              <w:top w:val="single" w:sz="8" w:color="CCEEFF"/>
              <w:bottom w:val="single" w:sz="8" w:color="auto"/>
            </w:tcBorders>
          </w:tcPr>
          <w:p>
            <w:pPr>
              <w:spacing w:after="0" w:line="20" w:lineRule="exact"/>
              <w:rPr>
                <w:sz w:val="1"/>
                <w:szCs w:val="1"/>
                <w:color w:val="auto"/>
              </w:rPr>
            </w:pPr>
          </w:p>
        </w:tc>
        <w:tc>
          <w:tcPr>
            <w:tcW w:w="46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34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r>
    </w:tbl>
    <w:p>
      <w:pPr>
        <w:spacing w:after="0" w:line="15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The 0.8 percentage point decrease in segment income for Water Solutions as a percentage of net sales in the third quarter of 2024 from 2023 was primarily driven by:</w:t>
      </w:r>
    </w:p>
    <w:p>
      <w:pPr>
        <w:spacing w:after="0" w:line="106" w:lineRule="exact"/>
        <w:rPr>
          <w:sz w:val="20"/>
          <w:szCs w:val="20"/>
          <w:color w:val="auto"/>
        </w:rPr>
      </w:pPr>
    </w:p>
    <w:p>
      <w:pPr>
        <w:ind w:left="480" w:hanging="310"/>
        <w:spacing w:after="0"/>
        <w:tabs>
          <w:tab w:leader="none" w:pos="4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inflationary cost increases related to labor costs and certain raw materials.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This decrease was partially offset by:</w:t>
      </w:r>
    </w:p>
    <w:p>
      <w:pPr>
        <w:spacing w:after="0" w:line="173" w:lineRule="exact"/>
        <w:rPr>
          <w:sz w:val="20"/>
          <w:szCs w:val="20"/>
          <w:color w:val="auto"/>
        </w:rPr>
      </w:pPr>
    </w:p>
    <w:p>
      <w:pPr>
        <w:ind w:left="480" w:hanging="310"/>
        <w:spacing w:after="0"/>
        <w:tabs>
          <w:tab w:leader="none" w:pos="4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productivity in our residential business mainly driven by transformation initiatives;</w:t>
      </w:r>
    </w:p>
    <w:p>
      <w:pPr>
        <w:spacing w:after="0" w:line="171"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selling prices in our commercial business to mitigate impacts of inflation; and</w:t>
      </w:r>
    </w:p>
    <w:p>
      <w:pPr>
        <w:spacing w:after="0" w:line="171"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favorable foreign currency effects compared to the prior year.</w:t>
      </w:r>
    </w:p>
    <w:p>
      <w:pPr>
        <w:spacing w:after="0" w:line="169"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The 0.5 percentage point increase in segment income for Water Solutions as a percentage of net sales in the first nine months of 2024 from 2023 was primarily driven b</w:t>
      </w:r>
      <w:r>
        <w:rPr>
          <w:rFonts w:ascii="Times New Roman" w:cs="Times New Roman" w:eastAsia="Times New Roman" w:hAnsi="Times New Roman"/>
          <w:sz w:val="18"/>
          <w:szCs w:val="18"/>
          <w:color w:val="auto"/>
        </w:rPr>
        <w:t>y:</w:t>
      </w:r>
    </w:p>
    <w:p>
      <w:pPr>
        <w:spacing w:after="0" w:line="106" w:lineRule="exact"/>
        <w:rPr>
          <w:sz w:val="20"/>
          <w:szCs w:val="20"/>
          <w:color w:val="auto"/>
        </w:rPr>
      </w:pPr>
    </w:p>
    <w:p>
      <w:pPr>
        <w:ind w:left="480" w:hanging="310"/>
        <w:spacing w:after="0"/>
        <w:tabs>
          <w:tab w:leader="none" w:pos="4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productivity mainly driven by transformation initiatives; and</w:t>
      </w:r>
    </w:p>
    <w:p>
      <w:pPr>
        <w:spacing w:after="0" w:line="171"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selling prices in our commercial business to mitigate impacts of inflation and favorable mix.</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This increase was partially offset by:</w:t>
      </w:r>
    </w:p>
    <w:p>
      <w:pPr>
        <w:spacing w:after="0" w:line="173" w:lineRule="exact"/>
        <w:rPr>
          <w:sz w:val="20"/>
          <w:szCs w:val="20"/>
          <w:color w:val="auto"/>
        </w:rPr>
      </w:pPr>
    </w:p>
    <w:p>
      <w:pPr>
        <w:ind w:left="480" w:hanging="310"/>
        <w:spacing w:after="0"/>
        <w:tabs>
          <w:tab w:leader="none" w:pos="4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inflationary cost increases related to labor costs and certain raw materials.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Pool</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net sales and segment income for Pool were as follows: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3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3"/>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4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3"/>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3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80" w:type="dxa"/>
            <w:vAlign w:val="bottom"/>
          </w:tcPr>
          <w:p>
            <w:pPr>
              <w:spacing w:after="0"/>
              <w:rPr>
                <w:sz w:val="14"/>
                <w:szCs w:val="14"/>
                <w:color w:val="auto"/>
              </w:rPr>
            </w:pPr>
          </w:p>
        </w:tc>
        <w:tc>
          <w:tcPr>
            <w:tcW w:w="1380" w:type="dxa"/>
            <w:vAlign w:val="bottom"/>
          </w:tcPr>
          <w:p>
            <w:pPr>
              <w:jc w:val="right"/>
              <w:ind w:right="150"/>
              <w:spacing w:after="0" w:line="169"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60" w:type="dxa"/>
            <w:vAlign w:val="bottom"/>
          </w:tcPr>
          <w:p>
            <w:pPr>
              <w:spacing w:after="0"/>
              <w:rPr>
                <w:sz w:val="14"/>
                <w:szCs w:val="14"/>
                <w:color w:val="auto"/>
              </w:rPr>
            </w:pPr>
          </w:p>
        </w:tc>
        <w:tc>
          <w:tcPr>
            <w:tcW w:w="1380" w:type="dxa"/>
            <w:vAlign w:val="bottom"/>
          </w:tcPr>
          <w:p>
            <w:pPr>
              <w:jc w:val="right"/>
              <w:ind w:right="130"/>
              <w:spacing w:after="0" w:line="169"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480" w:type="dxa"/>
            <w:vAlign w:val="bottom"/>
          </w:tcPr>
          <w:p>
            <w:pPr>
              <w:jc w:val="right"/>
              <w:ind w:right="270"/>
              <w:spacing w:after="0" w:line="169" w:lineRule="exact"/>
              <w:rPr>
                <w:sz w:val="20"/>
                <w:szCs w:val="20"/>
                <w:color w:val="auto"/>
              </w:rPr>
            </w:pPr>
            <w:r>
              <w:rPr>
                <w:rFonts w:ascii="Times New Roman" w:cs="Times New Roman" w:eastAsia="Times New Roman" w:hAnsi="Times New Roman"/>
                <w:sz w:val="18"/>
                <w:szCs w:val="18"/>
                <w:b w:val="1"/>
                <w:bCs w:val="1"/>
                <w:color w:val="auto"/>
              </w:rPr>
              <w:t>% / Point</w:t>
            </w:r>
          </w:p>
        </w:tc>
        <w:tc>
          <w:tcPr>
            <w:tcW w:w="160" w:type="dxa"/>
            <w:vAlign w:val="bottom"/>
          </w:tcPr>
          <w:p>
            <w:pPr>
              <w:spacing w:after="0"/>
              <w:rPr>
                <w:sz w:val="14"/>
                <w:szCs w:val="14"/>
                <w:color w:val="auto"/>
              </w:rPr>
            </w:pPr>
          </w:p>
        </w:tc>
        <w:tc>
          <w:tcPr>
            <w:tcW w:w="1360" w:type="dxa"/>
            <w:vAlign w:val="bottom"/>
          </w:tcPr>
          <w:p>
            <w:pPr>
              <w:jc w:val="right"/>
              <w:ind w:right="130"/>
              <w:spacing w:after="0" w:line="169"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40" w:type="dxa"/>
            <w:vAlign w:val="bottom"/>
          </w:tcPr>
          <w:p>
            <w:pPr>
              <w:spacing w:after="0"/>
              <w:rPr>
                <w:sz w:val="14"/>
                <w:szCs w:val="14"/>
                <w:color w:val="auto"/>
              </w:rPr>
            </w:pPr>
          </w:p>
        </w:tc>
        <w:tc>
          <w:tcPr>
            <w:tcW w:w="1360" w:type="dxa"/>
            <w:vAlign w:val="bottom"/>
          </w:tcPr>
          <w:p>
            <w:pPr>
              <w:jc w:val="right"/>
              <w:ind w:right="110"/>
              <w:spacing w:after="0" w:line="169"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340" w:type="dxa"/>
            <w:vAlign w:val="bottom"/>
          </w:tcPr>
          <w:p>
            <w:pPr>
              <w:jc w:val="right"/>
              <w:ind w:right="150"/>
              <w:spacing w:after="0" w:line="169" w:lineRule="exact"/>
              <w:rPr>
                <w:sz w:val="20"/>
                <w:szCs w:val="20"/>
                <w:color w:val="auto"/>
              </w:rPr>
            </w:pPr>
            <w:r>
              <w:rPr>
                <w:rFonts w:ascii="Times New Roman" w:cs="Times New Roman" w:eastAsia="Times New Roman" w:hAnsi="Times New Roman"/>
                <w:sz w:val="18"/>
                <w:szCs w:val="18"/>
                <w:b w:val="1"/>
                <w:bCs w:val="1"/>
                <w:color w:val="auto"/>
              </w:rPr>
              <w:t>% / Point</w:t>
            </w:r>
          </w:p>
        </w:tc>
        <w:tc>
          <w:tcPr>
            <w:tcW w:w="0" w:type="dxa"/>
            <w:vAlign w:val="bottom"/>
          </w:tcPr>
          <w:p>
            <w:pPr>
              <w:spacing w:after="0"/>
              <w:rPr>
                <w:sz w:val="1"/>
                <w:szCs w:val="1"/>
                <w:color w:val="auto"/>
              </w:rPr>
            </w:pPr>
          </w:p>
        </w:tc>
      </w:tr>
      <w:tr>
        <w:trPr>
          <w:trHeight w:val="243"/>
        </w:trPr>
        <w:tc>
          <w:tcPr>
            <w:tcW w:w="2300" w:type="dxa"/>
            <w:vAlign w:val="bottom"/>
            <w:tcBorders>
              <w:bottom w:val="single" w:sz="8" w:color="auto"/>
            </w:tcBorders>
            <w:vMerge w:val="continue"/>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4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3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23"/>
        </w:trPr>
        <w:tc>
          <w:tcPr>
            <w:tcW w:w="2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331.4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308.8</w:t>
            </w:r>
          </w:p>
        </w:tc>
        <w:tc>
          <w:tcPr>
            <w:tcW w:w="14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7.3%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1,082.4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1,007.4</w:t>
            </w:r>
          </w:p>
        </w:tc>
        <w:tc>
          <w:tcPr>
            <w:tcW w:w="1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30"/>
        </w:trPr>
        <w:tc>
          <w:tcPr>
            <w:tcW w:w="2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income</w:t>
            </w:r>
          </w:p>
        </w:tc>
        <w:tc>
          <w:tcPr>
            <w:tcW w:w="180" w:type="dxa"/>
            <w:vAlign w:val="bottom"/>
          </w:tcPr>
          <w:p>
            <w:pPr>
              <w:spacing w:after="0"/>
              <w:rPr>
                <w:sz w:val="19"/>
                <w:szCs w:val="19"/>
                <w:color w:val="auto"/>
              </w:rPr>
            </w:pPr>
          </w:p>
        </w:tc>
        <w:tc>
          <w:tcPr>
            <w:tcW w:w="1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112.7</w:t>
            </w:r>
          </w:p>
        </w:tc>
        <w:tc>
          <w:tcPr>
            <w:tcW w:w="160" w:type="dxa"/>
            <w:vAlign w:val="bottom"/>
          </w:tcPr>
          <w:p>
            <w:pPr>
              <w:spacing w:after="0"/>
              <w:rPr>
                <w:sz w:val="19"/>
                <w:szCs w:val="19"/>
                <w:color w:val="auto"/>
              </w:rPr>
            </w:pPr>
          </w:p>
        </w:tc>
        <w:tc>
          <w:tcPr>
            <w:tcW w:w="1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90.6</w:t>
            </w:r>
          </w:p>
        </w:tc>
        <w:tc>
          <w:tcPr>
            <w:tcW w:w="14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24.4%</w:t>
            </w:r>
          </w:p>
        </w:tc>
        <w:tc>
          <w:tcPr>
            <w:tcW w:w="160" w:type="dxa"/>
            <w:vAlign w:val="bottom"/>
          </w:tcPr>
          <w:p>
            <w:pPr>
              <w:spacing w:after="0"/>
              <w:rPr>
                <w:sz w:val="19"/>
                <w:szCs w:val="19"/>
                <w:color w:val="auto"/>
              </w:rPr>
            </w:pP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357.1</w:t>
            </w:r>
          </w:p>
        </w:tc>
        <w:tc>
          <w:tcPr>
            <w:tcW w:w="140" w:type="dxa"/>
            <w:vAlign w:val="bottom"/>
          </w:tcPr>
          <w:p>
            <w:pPr>
              <w:spacing w:after="0"/>
              <w:rPr>
                <w:sz w:val="19"/>
                <w:szCs w:val="19"/>
                <w:color w:val="auto"/>
              </w:rPr>
            </w:pP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311.9</w:t>
            </w: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30"/>
        </w:trPr>
        <w:tc>
          <w:tcPr>
            <w:tcW w:w="23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i w:val="1"/>
                <w:iCs w:val="1"/>
                <w:color w:val="auto"/>
              </w:rPr>
              <w:t>% of net sales</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34.0 %</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29.3 %</w:t>
            </w:r>
          </w:p>
        </w:tc>
        <w:tc>
          <w:tcPr>
            <w:tcW w:w="164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i w:val="1"/>
                <w:iCs w:val="1"/>
                <w:color w:val="auto"/>
              </w:rPr>
              <w:t>4.7 pts</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33.0 %</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31.0 %</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2.0 pts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the change in Pool net sales from the prior period were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700" w:type="dxa"/>
            <w:vAlign w:val="bottom"/>
          </w:tcPr>
          <w:p>
            <w:pPr>
              <w:spacing w:after="0"/>
              <w:rPr>
                <w:sz w:val="19"/>
                <w:szCs w:val="19"/>
                <w:color w:val="auto"/>
              </w:rPr>
            </w:pPr>
          </w:p>
        </w:tc>
        <w:tc>
          <w:tcPr>
            <w:tcW w:w="4780" w:type="dxa"/>
            <w:vAlign w:val="bottom"/>
          </w:tcPr>
          <w:p>
            <w:pPr>
              <w:ind w:left="1000"/>
              <w:spacing w:after="0"/>
              <w:rPr>
                <w:sz w:val="20"/>
                <w:szCs w:val="20"/>
                <w:color w:val="auto"/>
              </w:rPr>
            </w:pPr>
            <w:r>
              <w:rPr>
                <w:rFonts w:ascii="Times New Roman" w:cs="Times New Roman" w:eastAsia="Times New Roman" w:hAnsi="Times New Roman"/>
                <w:sz w:val="18"/>
                <w:szCs w:val="18"/>
                <w:b w:val="1"/>
                <w:bCs w:val="1"/>
                <w:color w:val="auto"/>
              </w:rPr>
              <w:t>Three months ended September 30, 2024</w:t>
            </w:r>
          </w:p>
        </w:tc>
        <w:tc>
          <w:tcPr>
            <w:tcW w:w="376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Nine months ended September 30, 2024</w:t>
            </w:r>
          </w:p>
        </w:tc>
      </w:tr>
      <w:tr>
        <w:trPr>
          <w:trHeight w:val="238"/>
        </w:trPr>
        <w:tc>
          <w:tcPr>
            <w:tcW w:w="2700" w:type="dxa"/>
            <w:vAlign w:val="bottom"/>
            <w:tcBorders>
              <w:bottom w:val="single" w:sz="8" w:color="auto"/>
            </w:tcBorders>
          </w:tcPr>
          <w:p>
            <w:pPr>
              <w:spacing w:after="0"/>
              <w:rPr>
                <w:sz w:val="20"/>
                <w:szCs w:val="20"/>
                <w:color w:val="auto"/>
              </w:rPr>
            </w:pPr>
          </w:p>
        </w:tc>
        <w:tc>
          <w:tcPr>
            <w:tcW w:w="4780" w:type="dxa"/>
            <w:vAlign w:val="bottom"/>
            <w:tcBorders>
              <w:bottom w:val="single" w:sz="8" w:color="auto"/>
            </w:tcBorders>
          </w:tcPr>
          <w:p>
            <w:pPr>
              <w:ind w:left="1560"/>
              <w:spacing w:after="0"/>
              <w:rPr>
                <w:sz w:val="20"/>
                <w:szCs w:val="20"/>
                <w:color w:val="auto"/>
              </w:rPr>
            </w:pPr>
            <w:r>
              <w:rPr>
                <w:rFonts w:ascii="Times New Roman" w:cs="Times New Roman" w:eastAsia="Times New Roman" w:hAnsi="Times New Roman"/>
                <w:sz w:val="18"/>
                <w:szCs w:val="18"/>
                <w:b w:val="1"/>
                <w:bCs w:val="1"/>
                <w:color w:val="auto"/>
              </w:rPr>
              <w:t>over the prior year period</w:t>
            </w:r>
          </w:p>
        </w:tc>
        <w:tc>
          <w:tcPr>
            <w:tcW w:w="376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8"/>
                <w:szCs w:val="18"/>
                <w:b w:val="1"/>
                <w:bCs w:val="1"/>
                <w:color w:val="auto"/>
              </w:rPr>
              <w:t>over the prior year period</w:t>
            </w:r>
          </w:p>
        </w:tc>
      </w:tr>
      <w:tr>
        <w:trPr>
          <w:trHeight w:val="223"/>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Volume</w:t>
            </w:r>
          </w:p>
        </w:tc>
        <w:tc>
          <w:tcPr>
            <w:tcW w:w="4780" w:type="dxa"/>
            <w:vAlign w:val="bottom"/>
            <w:shd w:val="clear" w:color="auto" w:fill="CCEEFF"/>
          </w:tcPr>
          <w:p>
            <w:pPr>
              <w:ind w:left="4120"/>
              <w:spacing w:after="0"/>
              <w:rPr>
                <w:sz w:val="20"/>
                <w:szCs w:val="20"/>
                <w:color w:val="auto"/>
              </w:rPr>
            </w:pPr>
            <w:r>
              <w:rPr>
                <w:rFonts w:ascii="Times New Roman" w:cs="Times New Roman" w:eastAsia="Times New Roman" w:hAnsi="Times New Roman"/>
                <w:sz w:val="18"/>
                <w:szCs w:val="18"/>
                <w:color w:val="auto"/>
              </w:rPr>
              <w:t>4.1 %</w:t>
            </w:r>
          </w:p>
        </w:tc>
        <w:tc>
          <w:tcPr>
            <w:tcW w:w="3760" w:type="dxa"/>
            <w:vAlign w:val="bottom"/>
            <w:shd w:val="clear" w:color="auto" w:fill="CCEEFF"/>
          </w:tcPr>
          <w:p>
            <w:pPr>
              <w:ind w:left="3320"/>
              <w:spacing w:after="0"/>
              <w:rPr>
                <w:sz w:val="20"/>
                <w:szCs w:val="20"/>
                <w:color w:val="auto"/>
              </w:rPr>
            </w:pPr>
            <w:r>
              <w:rPr>
                <w:rFonts w:ascii="Times New Roman" w:cs="Times New Roman" w:eastAsia="Times New Roman" w:hAnsi="Times New Roman"/>
                <w:sz w:val="18"/>
                <w:szCs w:val="18"/>
                <w:color w:val="auto"/>
                <w:w w:val="99"/>
              </w:rPr>
              <w:t>4.9 %</w:t>
            </w:r>
          </w:p>
        </w:tc>
      </w:tr>
      <w:tr>
        <w:trPr>
          <w:trHeight w:val="229"/>
        </w:trPr>
        <w:tc>
          <w:tcPr>
            <w:tcW w:w="2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Price</w:t>
            </w:r>
          </w:p>
        </w:tc>
        <w:tc>
          <w:tcPr>
            <w:tcW w:w="4780" w:type="dxa"/>
            <w:vAlign w:val="bottom"/>
            <w:tcBorders>
              <w:bottom w:val="single" w:sz="8" w:color="auto"/>
            </w:tcBorders>
          </w:tcPr>
          <w:p>
            <w:pPr>
              <w:ind w:left="4120"/>
              <w:spacing w:after="0"/>
              <w:rPr>
                <w:sz w:val="20"/>
                <w:szCs w:val="20"/>
                <w:color w:val="auto"/>
              </w:rPr>
            </w:pPr>
            <w:r>
              <w:rPr>
                <w:rFonts w:ascii="Times New Roman" w:cs="Times New Roman" w:eastAsia="Times New Roman" w:hAnsi="Times New Roman"/>
                <w:sz w:val="18"/>
                <w:szCs w:val="18"/>
                <w:color w:val="auto"/>
              </w:rPr>
              <w:t>3.9</w:t>
            </w:r>
          </w:p>
        </w:tc>
        <w:tc>
          <w:tcPr>
            <w:tcW w:w="3760" w:type="dxa"/>
            <w:vAlign w:val="bottom"/>
            <w:tcBorders>
              <w:bottom w:val="single" w:sz="8" w:color="auto"/>
            </w:tcBorders>
          </w:tcPr>
          <w:p>
            <w:pPr>
              <w:ind w:left="3320"/>
              <w:spacing w:after="0"/>
              <w:rPr>
                <w:sz w:val="20"/>
                <w:szCs w:val="20"/>
                <w:color w:val="auto"/>
              </w:rPr>
            </w:pPr>
            <w:r>
              <w:rPr>
                <w:rFonts w:ascii="Times New Roman" w:cs="Times New Roman" w:eastAsia="Times New Roman" w:hAnsi="Times New Roman"/>
                <w:sz w:val="18"/>
                <w:szCs w:val="18"/>
                <w:color w:val="auto"/>
              </w:rPr>
              <w:t>3.0</w:t>
            </w:r>
          </w:p>
        </w:tc>
      </w:tr>
      <w:tr>
        <w:trPr>
          <w:trHeight w:val="223"/>
        </w:trPr>
        <w:tc>
          <w:tcPr>
            <w:tcW w:w="2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Core growth</w:t>
            </w:r>
          </w:p>
        </w:tc>
        <w:tc>
          <w:tcPr>
            <w:tcW w:w="4780" w:type="dxa"/>
            <w:vAlign w:val="bottom"/>
            <w:shd w:val="clear" w:color="auto" w:fill="CCEEFF"/>
          </w:tcPr>
          <w:p>
            <w:pPr>
              <w:ind w:left="4120"/>
              <w:spacing w:after="0"/>
              <w:rPr>
                <w:sz w:val="20"/>
                <w:szCs w:val="20"/>
                <w:color w:val="auto"/>
              </w:rPr>
            </w:pPr>
            <w:r>
              <w:rPr>
                <w:rFonts w:ascii="Times New Roman" w:cs="Times New Roman" w:eastAsia="Times New Roman" w:hAnsi="Times New Roman"/>
                <w:sz w:val="18"/>
                <w:szCs w:val="18"/>
                <w:color w:val="auto"/>
              </w:rPr>
              <w:t>8.0</w:t>
            </w:r>
          </w:p>
        </w:tc>
        <w:tc>
          <w:tcPr>
            <w:tcW w:w="3760" w:type="dxa"/>
            <w:vAlign w:val="bottom"/>
            <w:shd w:val="clear" w:color="auto" w:fill="CCEEFF"/>
          </w:tcPr>
          <w:p>
            <w:pPr>
              <w:ind w:left="3320"/>
              <w:spacing w:after="0"/>
              <w:rPr>
                <w:sz w:val="20"/>
                <w:szCs w:val="20"/>
                <w:color w:val="auto"/>
              </w:rPr>
            </w:pPr>
            <w:r>
              <w:rPr>
                <w:rFonts w:ascii="Times New Roman" w:cs="Times New Roman" w:eastAsia="Times New Roman" w:hAnsi="Times New Roman"/>
                <w:sz w:val="18"/>
                <w:szCs w:val="18"/>
                <w:color w:val="auto"/>
              </w:rPr>
              <w:t>7.9</w:t>
            </w:r>
          </w:p>
        </w:tc>
      </w:tr>
      <w:tr>
        <w:trPr>
          <w:trHeight w:val="229"/>
        </w:trPr>
        <w:tc>
          <w:tcPr>
            <w:tcW w:w="2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Acquisition/Divestiture</w:t>
            </w:r>
          </w:p>
        </w:tc>
        <w:tc>
          <w:tcPr>
            <w:tcW w:w="4780" w:type="dxa"/>
            <w:vAlign w:val="bottom"/>
            <w:tcBorders>
              <w:bottom w:val="single" w:sz="8" w:color="auto"/>
            </w:tcBorders>
          </w:tcPr>
          <w:p>
            <w:pPr>
              <w:ind w:left="4040"/>
              <w:spacing w:after="0"/>
              <w:rPr>
                <w:sz w:val="20"/>
                <w:szCs w:val="20"/>
                <w:color w:val="auto"/>
              </w:rPr>
            </w:pPr>
            <w:r>
              <w:rPr>
                <w:rFonts w:ascii="Times New Roman" w:cs="Times New Roman" w:eastAsia="Times New Roman" w:hAnsi="Times New Roman"/>
                <w:sz w:val="18"/>
                <w:szCs w:val="18"/>
                <w:color w:val="auto"/>
              </w:rPr>
              <w:t>(0.7)</w:t>
            </w:r>
          </w:p>
        </w:tc>
        <w:tc>
          <w:tcPr>
            <w:tcW w:w="3760" w:type="dxa"/>
            <w:vAlign w:val="bottom"/>
            <w:tcBorders>
              <w:bottom w:val="single" w:sz="8" w:color="auto"/>
            </w:tcBorders>
          </w:tcPr>
          <w:p>
            <w:pPr>
              <w:ind w:left="3240"/>
              <w:spacing w:after="0"/>
              <w:rPr>
                <w:sz w:val="20"/>
                <w:szCs w:val="20"/>
                <w:color w:val="auto"/>
              </w:rPr>
            </w:pPr>
            <w:r>
              <w:rPr>
                <w:rFonts w:ascii="Times New Roman" w:cs="Times New Roman" w:eastAsia="Times New Roman" w:hAnsi="Times New Roman"/>
                <w:sz w:val="18"/>
                <w:szCs w:val="18"/>
                <w:color w:val="auto"/>
              </w:rPr>
              <w:t>(0.5)</w:t>
            </w:r>
          </w:p>
        </w:tc>
      </w:tr>
      <w:tr>
        <w:trPr>
          <w:trHeight w:val="248"/>
        </w:trPr>
        <w:tc>
          <w:tcPr>
            <w:tcW w:w="27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780" w:type="dxa"/>
            <w:vAlign w:val="bottom"/>
            <w:tcBorders>
              <w:bottom w:val="single" w:sz="8" w:color="auto"/>
            </w:tcBorders>
            <w:shd w:val="clear" w:color="auto" w:fill="CCEEFF"/>
          </w:tcPr>
          <w:p>
            <w:pPr>
              <w:ind w:left="4120"/>
              <w:spacing w:after="0"/>
              <w:rPr>
                <w:sz w:val="20"/>
                <w:szCs w:val="20"/>
                <w:color w:val="auto"/>
              </w:rPr>
            </w:pPr>
            <w:r>
              <w:rPr>
                <w:rFonts w:ascii="Times New Roman" w:cs="Times New Roman" w:eastAsia="Times New Roman" w:hAnsi="Times New Roman"/>
                <w:sz w:val="18"/>
                <w:szCs w:val="18"/>
                <w:color w:val="auto"/>
              </w:rPr>
              <w:t>7.3 %</w:t>
            </w:r>
          </w:p>
        </w:tc>
        <w:tc>
          <w:tcPr>
            <w:tcW w:w="3760" w:type="dxa"/>
            <w:vAlign w:val="bottom"/>
            <w:tcBorders>
              <w:bottom w:val="single" w:sz="8" w:color="auto"/>
            </w:tcBorders>
            <w:shd w:val="clear" w:color="auto" w:fill="CCEEFF"/>
          </w:tcPr>
          <w:p>
            <w:pPr>
              <w:ind w:left="3320"/>
              <w:spacing w:after="0"/>
              <w:rPr>
                <w:sz w:val="20"/>
                <w:szCs w:val="20"/>
                <w:color w:val="auto"/>
              </w:rPr>
            </w:pPr>
            <w:r>
              <w:rPr>
                <w:rFonts w:ascii="Times New Roman" w:cs="Times New Roman" w:eastAsia="Times New Roman" w:hAnsi="Times New Roman"/>
                <w:sz w:val="18"/>
                <w:szCs w:val="18"/>
                <w:color w:val="auto"/>
                <w:w w:val="99"/>
              </w:rPr>
              <w:t>7.4 %</w:t>
            </w:r>
          </w:p>
        </w:tc>
      </w:tr>
      <w:tr>
        <w:trPr>
          <w:trHeight w:val="20"/>
        </w:trPr>
        <w:tc>
          <w:tcPr>
            <w:tcW w:w="2700" w:type="dxa"/>
            <w:vAlign w:val="bottom"/>
            <w:tcBorders>
              <w:top w:val="single" w:sz="8" w:color="CCEEFF"/>
              <w:bottom w:val="single" w:sz="8" w:color="auto"/>
            </w:tcBorders>
          </w:tcPr>
          <w:p>
            <w:pPr>
              <w:spacing w:after="0" w:line="20" w:lineRule="exact"/>
              <w:rPr>
                <w:sz w:val="1"/>
                <w:szCs w:val="1"/>
                <w:color w:val="auto"/>
              </w:rPr>
            </w:pPr>
          </w:p>
        </w:tc>
        <w:tc>
          <w:tcPr>
            <w:tcW w:w="4780" w:type="dxa"/>
            <w:vAlign w:val="bottom"/>
            <w:tcBorders>
              <w:top w:val="single" w:sz="8" w:color="CCEEFF"/>
              <w:bottom w:val="single" w:sz="8" w:color="auto"/>
            </w:tcBorders>
          </w:tcPr>
          <w:p>
            <w:pPr>
              <w:spacing w:after="0" w:line="20" w:lineRule="exact"/>
              <w:rPr>
                <w:sz w:val="1"/>
                <w:szCs w:val="1"/>
                <w:color w:val="auto"/>
              </w:rPr>
            </w:pPr>
          </w:p>
        </w:tc>
        <w:tc>
          <w:tcPr>
            <w:tcW w:w="3760" w:type="dxa"/>
            <w:vAlign w:val="bottom"/>
            <w:tcBorders>
              <w:top w:val="single" w:sz="8" w:color="CCEEFF"/>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7.3 and 7.4 percent increases in net sales for Pool in the third quarter and first nine months, respectively, of 2024 from 2023 were primarily driven by:</w:t>
      </w:r>
    </w:p>
    <w:p>
      <w:pPr>
        <w:spacing w:after="0" w:line="173" w:lineRule="exact"/>
        <w:rPr>
          <w:sz w:val="20"/>
          <w:szCs w:val="20"/>
          <w:color w:val="auto"/>
        </w:rPr>
      </w:pPr>
    </w:p>
    <w:p>
      <w:pPr>
        <w:ind w:left="480" w:hanging="310"/>
        <w:spacing w:after="0"/>
        <w:tabs>
          <w:tab w:leader="none" w:pos="4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sales volume due to higher demand compared to the prior year; and</w:t>
      </w:r>
    </w:p>
    <w:p>
      <w:pPr>
        <w:spacing w:after="0" w:line="171"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selling prices to mitigate inflationary cost increases.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These increases were partially offset by:</w:t>
      </w:r>
    </w:p>
    <w:p>
      <w:pPr>
        <w:spacing w:after="0" w:line="173" w:lineRule="exact"/>
        <w:rPr>
          <w:sz w:val="20"/>
          <w:szCs w:val="20"/>
          <w:color w:val="auto"/>
        </w:rPr>
      </w:pPr>
    </w:p>
    <w:p>
      <w:pPr>
        <w:ind w:left="480" w:hanging="310"/>
        <w:spacing w:after="0"/>
        <w:tabs>
          <w:tab w:leader="none" w:pos="4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product line exit that occurred in the first nine months of 2024.</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income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the change in Pool segment income as a percentage of net sales from the prior period were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760" w:type="dxa"/>
            <w:vAlign w:val="bottom"/>
          </w:tcPr>
          <w:p>
            <w:pPr>
              <w:spacing w:after="0"/>
              <w:rPr>
                <w:sz w:val="19"/>
                <w:szCs w:val="19"/>
                <w:color w:val="auto"/>
              </w:rPr>
            </w:pPr>
          </w:p>
        </w:tc>
        <w:tc>
          <w:tcPr>
            <w:tcW w:w="4200" w:type="dxa"/>
            <w:vAlign w:val="bottom"/>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9"/>
              </w:rPr>
              <w:t>Three months ended September 30, 2024</w:t>
            </w:r>
          </w:p>
        </w:tc>
        <w:tc>
          <w:tcPr>
            <w:tcW w:w="500" w:type="dxa"/>
            <w:vAlign w:val="bottom"/>
          </w:tcPr>
          <w:p>
            <w:pPr>
              <w:spacing w:after="0"/>
              <w:rPr>
                <w:sz w:val="19"/>
                <w:szCs w:val="19"/>
                <w:color w:val="auto"/>
              </w:rPr>
            </w:pPr>
          </w:p>
        </w:tc>
        <w:tc>
          <w:tcPr>
            <w:tcW w:w="3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Nine months ended September 30, 2024</w:t>
            </w:r>
          </w:p>
        </w:tc>
        <w:tc>
          <w:tcPr>
            <w:tcW w:w="280" w:type="dxa"/>
            <w:vAlign w:val="bottom"/>
          </w:tcPr>
          <w:p>
            <w:pPr>
              <w:spacing w:after="0"/>
              <w:rPr>
                <w:sz w:val="19"/>
                <w:szCs w:val="19"/>
                <w:color w:val="auto"/>
              </w:rPr>
            </w:pPr>
          </w:p>
        </w:tc>
      </w:tr>
      <w:tr>
        <w:trPr>
          <w:trHeight w:val="238"/>
        </w:trPr>
        <w:tc>
          <w:tcPr>
            <w:tcW w:w="2760" w:type="dxa"/>
            <w:vAlign w:val="bottom"/>
            <w:tcBorders>
              <w:bottom w:val="single" w:sz="8" w:color="auto"/>
            </w:tcBorders>
          </w:tcPr>
          <w:p>
            <w:pPr>
              <w:spacing w:after="0"/>
              <w:rPr>
                <w:sz w:val="20"/>
                <w:szCs w:val="20"/>
                <w:color w:val="auto"/>
              </w:rPr>
            </w:pPr>
          </w:p>
        </w:tc>
        <w:tc>
          <w:tcPr>
            <w:tcW w:w="4200" w:type="dxa"/>
            <w:vAlign w:val="bottom"/>
            <w:tcBorders>
              <w:bottom w:val="single" w:sz="8" w:color="auto"/>
            </w:tcBorders>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9"/>
              </w:rPr>
              <w:t>over the prior year period</w:t>
            </w:r>
          </w:p>
        </w:tc>
        <w:tc>
          <w:tcPr>
            <w:tcW w:w="500" w:type="dxa"/>
            <w:vAlign w:val="bottom"/>
            <w:tcBorders>
              <w:bottom w:val="single" w:sz="8" w:color="auto"/>
            </w:tcBorders>
          </w:tcPr>
          <w:p>
            <w:pPr>
              <w:spacing w:after="0"/>
              <w:rPr>
                <w:sz w:val="20"/>
                <w:szCs w:val="20"/>
                <w:color w:val="auto"/>
              </w:rPr>
            </w:pPr>
          </w:p>
        </w:tc>
        <w:tc>
          <w:tcPr>
            <w:tcW w:w="3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over the prior year period</w:t>
            </w:r>
          </w:p>
        </w:tc>
        <w:tc>
          <w:tcPr>
            <w:tcW w:w="280" w:type="dxa"/>
            <w:vAlign w:val="bottom"/>
            <w:tcBorders>
              <w:bottom w:val="single" w:sz="8" w:color="auto"/>
            </w:tcBorders>
          </w:tcPr>
          <w:p>
            <w:pPr>
              <w:spacing w:after="0"/>
              <w:rPr>
                <w:sz w:val="20"/>
                <w:szCs w:val="20"/>
                <w:color w:val="auto"/>
              </w:rPr>
            </w:pPr>
          </w:p>
        </w:tc>
      </w:tr>
      <w:tr>
        <w:trPr>
          <w:trHeight w:val="223"/>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Growth/Price/Divestiture</w:t>
            </w:r>
          </w:p>
        </w:tc>
        <w:tc>
          <w:tcPr>
            <w:tcW w:w="4200" w:type="dxa"/>
            <w:vAlign w:val="bottom"/>
            <w:shd w:val="clear" w:color="auto" w:fill="CCEEFF"/>
          </w:tcPr>
          <w:p>
            <w:pPr>
              <w:jc w:val="center"/>
              <w:ind w:left="3690"/>
              <w:spacing w:after="0"/>
              <w:rPr>
                <w:sz w:val="20"/>
                <w:szCs w:val="20"/>
                <w:color w:val="auto"/>
              </w:rPr>
            </w:pPr>
            <w:r>
              <w:rPr>
                <w:rFonts w:ascii="Times New Roman" w:cs="Times New Roman" w:eastAsia="Times New Roman" w:hAnsi="Times New Roman"/>
                <w:sz w:val="18"/>
                <w:szCs w:val="18"/>
                <w:color w:val="auto"/>
                <w:w w:val="97"/>
              </w:rPr>
              <w:t>1.0</w:t>
            </w:r>
          </w:p>
        </w:tc>
        <w:tc>
          <w:tcPr>
            <w:tcW w:w="5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pts</w:t>
            </w:r>
          </w:p>
        </w:tc>
        <w:tc>
          <w:tcPr>
            <w:tcW w:w="3500" w:type="dxa"/>
            <w:vAlign w:val="bottom"/>
            <w:shd w:val="clear" w:color="auto" w:fill="CCEEFF"/>
          </w:tcPr>
          <w:p>
            <w:pPr>
              <w:jc w:val="center"/>
              <w:ind w:left="3010"/>
              <w:spacing w:after="0"/>
              <w:rPr>
                <w:sz w:val="20"/>
                <w:szCs w:val="20"/>
                <w:color w:val="auto"/>
              </w:rPr>
            </w:pPr>
            <w:r>
              <w:rPr>
                <w:rFonts w:ascii="Times New Roman" w:cs="Times New Roman" w:eastAsia="Times New Roman" w:hAnsi="Times New Roman"/>
                <w:sz w:val="18"/>
                <w:szCs w:val="18"/>
                <w:color w:val="auto"/>
              </w:rPr>
              <w:t>1.9</w:t>
            </w:r>
          </w:p>
        </w:tc>
        <w:tc>
          <w:tcPr>
            <w:tcW w:w="2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4"/>
              </w:rPr>
              <w:t>pts</w:t>
            </w:r>
          </w:p>
        </w:tc>
      </w:tr>
      <w:tr>
        <w:trPr>
          <w:trHeight w:val="229"/>
        </w:trPr>
        <w:tc>
          <w:tcPr>
            <w:tcW w:w="2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Inflation</w:t>
            </w:r>
          </w:p>
        </w:tc>
        <w:tc>
          <w:tcPr>
            <w:tcW w:w="4200" w:type="dxa"/>
            <w:vAlign w:val="bottom"/>
          </w:tcPr>
          <w:p>
            <w:pPr>
              <w:jc w:val="center"/>
              <w:ind w:left="3650"/>
              <w:spacing w:after="0"/>
              <w:rPr>
                <w:sz w:val="20"/>
                <w:szCs w:val="20"/>
                <w:color w:val="auto"/>
              </w:rPr>
            </w:pPr>
            <w:r>
              <w:rPr>
                <w:rFonts w:ascii="Times New Roman" w:cs="Times New Roman" w:eastAsia="Times New Roman" w:hAnsi="Times New Roman"/>
                <w:sz w:val="18"/>
                <w:szCs w:val="18"/>
                <w:color w:val="auto"/>
                <w:w w:val="98"/>
              </w:rPr>
              <w:t>(1.5)</w:t>
            </w:r>
          </w:p>
        </w:tc>
        <w:tc>
          <w:tcPr>
            <w:tcW w:w="500" w:type="dxa"/>
            <w:vAlign w:val="bottom"/>
          </w:tcPr>
          <w:p>
            <w:pPr>
              <w:spacing w:after="0"/>
              <w:rPr>
                <w:sz w:val="19"/>
                <w:szCs w:val="19"/>
                <w:color w:val="auto"/>
              </w:rPr>
            </w:pPr>
          </w:p>
        </w:tc>
        <w:tc>
          <w:tcPr>
            <w:tcW w:w="3500" w:type="dxa"/>
            <w:vAlign w:val="bottom"/>
          </w:tcPr>
          <w:p>
            <w:pPr>
              <w:jc w:val="center"/>
              <w:ind w:left="2990"/>
              <w:spacing w:after="0"/>
              <w:rPr>
                <w:sz w:val="20"/>
                <w:szCs w:val="20"/>
                <w:color w:val="auto"/>
              </w:rPr>
            </w:pPr>
            <w:r>
              <w:rPr>
                <w:rFonts w:ascii="Times New Roman" w:cs="Times New Roman" w:eastAsia="Times New Roman" w:hAnsi="Times New Roman"/>
                <w:sz w:val="18"/>
                <w:szCs w:val="18"/>
                <w:color w:val="auto"/>
                <w:w w:val="98"/>
              </w:rPr>
              <w:t>(1.8)</w:t>
            </w:r>
          </w:p>
        </w:tc>
        <w:tc>
          <w:tcPr>
            <w:tcW w:w="280" w:type="dxa"/>
            <w:vAlign w:val="bottom"/>
          </w:tcPr>
          <w:p>
            <w:pPr>
              <w:spacing w:after="0"/>
              <w:rPr>
                <w:sz w:val="19"/>
                <w:szCs w:val="19"/>
                <w:color w:val="auto"/>
              </w:rPr>
            </w:pPr>
          </w:p>
        </w:tc>
      </w:tr>
      <w:tr>
        <w:trPr>
          <w:trHeight w:val="230"/>
        </w:trPr>
        <w:tc>
          <w:tcPr>
            <w:tcW w:w="27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Productivity</w:t>
            </w:r>
          </w:p>
        </w:tc>
        <w:tc>
          <w:tcPr>
            <w:tcW w:w="4200" w:type="dxa"/>
            <w:vAlign w:val="bottom"/>
            <w:tcBorders>
              <w:bottom w:val="single" w:sz="8" w:color="auto"/>
            </w:tcBorders>
            <w:shd w:val="clear" w:color="auto" w:fill="CCEEFF"/>
          </w:tcPr>
          <w:p>
            <w:pPr>
              <w:jc w:val="center"/>
              <w:ind w:left="3690"/>
              <w:spacing w:after="0"/>
              <w:rPr>
                <w:sz w:val="20"/>
                <w:szCs w:val="20"/>
                <w:color w:val="auto"/>
              </w:rPr>
            </w:pPr>
            <w:r>
              <w:rPr>
                <w:rFonts w:ascii="Times New Roman" w:cs="Times New Roman" w:eastAsia="Times New Roman" w:hAnsi="Times New Roman"/>
                <w:sz w:val="18"/>
                <w:szCs w:val="18"/>
                <w:color w:val="auto"/>
                <w:w w:val="97"/>
              </w:rPr>
              <w:t>5.2</w:t>
            </w:r>
          </w:p>
        </w:tc>
        <w:tc>
          <w:tcPr>
            <w:tcW w:w="500" w:type="dxa"/>
            <w:vAlign w:val="bottom"/>
            <w:tcBorders>
              <w:bottom w:val="single" w:sz="8" w:color="auto"/>
            </w:tcBorders>
            <w:shd w:val="clear" w:color="auto" w:fill="CCEEFF"/>
          </w:tcPr>
          <w:p>
            <w:pPr>
              <w:spacing w:after="0"/>
              <w:rPr>
                <w:sz w:val="19"/>
                <w:szCs w:val="19"/>
                <w:color w:val="auto"/>
              </w:rPr>
            </w:pPr>
          </w:p>
        </w:tc>
        <w:tc>
          <w:tcPr>
            <w:tcW w:w="3500" w:type="dxa"/>
            <w:vAlign w:val="bottom"/>
            <w:tcBorders>
              <w:bottom w:val="single" w:sz="8" w:color="auto"/>
            </w:tcBorders>
            <w:shd w:val="clear" w:color="auto" w:fill="CCEEFF"/>
          </w:tcPr>
          <w:p>
            <w:pPr>
              <w:jc w:val="center"/>
              <w:ind w:left="3010"/>
              <w:spacing w:after="0"/>
              <w:rPr>
                <w:sz w:val="20"/>
                <w:szCs w:val="20"/>
                <w:color w:val="auto"/>
              </w:rPr>
            </w:pPr>
            <w:r>
              <w:rPr>
                <w:rFonts w:ascii="Times New Roman" w:cs="Times New Roman" w:eastAsia="Times New Roman" w:hAnsi="Times New Roman"/>
                <w:sz w:val="18"/>
                <w:szCs w:val="18"/>
                <w:color w:val="auto"/>
              </w:rPr>
              <w:t>1.9</w:t>
            </w:r>
          </w:p>
        </w:tc>
        <w:tc>
          <w:tcPr>
            <w:tcW w:w="280" w:type="dxa"/>
            <w:vAlign w:val="bottom"/>
            <w:tcBorders>
              <w:bottom w:val="single" w:sz="8" w:color="auto"/>
            </w:tcBorders>
            <w:shd w:val="clear" w:color="auto" w:fill="CCEEFF"/>
          </w:tcPr>
          <w:p>
            <w:pPr>
              <w:spacing w:after="0"/>
              <w:rPr>
                <w:sz w:val="19"/>
                <w:szCs w:val="19"/>
                <w:color w:val="auto"/>
              </w:rPr>
            </w:pPr>
          </w:p>
        </w:tc>
      </w:tr>
      <w:tr>
        <w:trPr>
          <w:trHeight w:val="223"/>
        </w:trPr>
        <w:tc>
          <w:tcPr>
            <w:tcW w:w="2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200" w:type="dxa"/>
            <w:vAlign w:val="bottom"/>
            <w:tcBorders>
              <w:bottom w:val="single" w:sz="8" w:color="auto"/>
            </w:tcBorders>
          </w:tcPr>
          <w:p>
            <w:pPr>
              <w:jc w:val="center"/>
              <w:ind w:left="3690"/>
              <w:spacing w:after="0"/>
              <w:rPr>
                <w:sz w:val="20"/>
                <w:szCs w:val="20"/>
                <w:color w:val="auto"/>
              </w:rPr>
            </w:pPr>
            <w:r>
              <w:rPr>
                <w:rFonts w:ascii="Times New Roman" w:cs="Times New Roman" w:eastAsia="Times New Roman" w:hAnsi="Times New Roman"/>
                <w:sz w:val="18"/>
                <w:szCs w:val="18"/>
                <w:color w:val="auto"/>
                <w:w w:val="97"/>
              </w:rPr>
              <w:t>4.7</w:t>
            </w:r>
          </w:p>
        </w:tc>
        <w:tc>
          <w:tcPr>
            <w:tcW w:w="5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pts</w:t>
            </w:r>
          </w:p>
        </w:tc>
        <w:tc>
          <w:tcPr>
            <w:tcW w:w="3500" w:type="dxa"/>
            <w:vAlign w:val="bottom"/>
            <w:tcBorders>
              <w:bottom w:val="single" w:sz="8" w:color="auto"/>
            </w:tcBorders>
          </w:tcPr>
          <w:p>
            <w:pPr>
              <w:jc w:val="center"/>
              <w:ind w:left="3010"/>
              <w:spacing w:after="0"/>
              <w:rPr>
                <w:sz w:val="20"/>
                <w:szCs w:val="20"/>
                <w:color w:val="auto"/>
              </w:rPr>
            </w:pPr>
            <w:r>
              <w:rPr>
                <w:rFonts w:ascii="Times New Roman" w:cs="Times New Roman" w:eastAsia="Times New Roman" w:hAnsi="Times New Roman"/>
                <w:sz w:val="18"/>
                <w:szCs w:val="18"/>
                <w:color w:val="auto"/>
              </w:rPr>
              <w:t>2.0</w:t>
            </w:r>
          </w:p>
        </w:tc>
        <w:tc>
          <w:tcPr>
            <w:tcW w:w="2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94"/>
              </w:rPr>
              <w:t>pts</w:t>
            </w:r>
          </w:p>
        </w:tc>
      </w:tr>
      <w:tr>
        <w:trPr>
          <w:trHeight w:val="21"/>
        </w:trPr>
        <w:tc>
          <w:tcPr>
            <w:tcW w:w="2760" w:type="dxa"/>
            <w:vAlign w:val="bottom"/>
            <w:tcBorders>
              <w:bottom w:val="single" w:sz="8" w:color="auto"/>
            </w:tcBorders>
          </w:tcPr>
          <w:p>
            <w:pPr>
              <w:spacing w:after="0" w:line="20" w:lineRule="exact"/>
              <w:rPr>
                <w:sz w:val="1"/>
                <w:szCs w:val="1"/>
                <w:color w:val="auto"/>
              </w:rPr>
            </w:pPr>
          </w:p>
        </w:tc>
        <w:tc>
          <w:tcPr>
            <w:tcW w:w="4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5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r>
    </w:tbl>
    <w:p>
      <w:pPr>
        <w:spacing w:after="0" w:line="15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The 4.7 and 2.0 percentage point increases in segment income for Pool as a percentage of net sales in the third quarter and first nine months, respectively, of 2024 from 2023 were primarily driven by:</w:t>
      </w:r>
    </w:p>
    <w:p>
      <w:pPr>
        <w:spacing w:after="0" w:line="106" w:lineRule="exact"/>
        <w:rPr>
          <w:sz w:val="20"/>
          <w:szCs w:val="20"/>
          <w:color w:val="auto"/>
        </w:rPr>
      </w:pPr>
    </w:p>
    <w:p>
      <w:pPr>
        <w:ind w:left="480" w:hanging="310"/>
        <w:spacing w:after="0"/>
        <w:tabs>
          <w:tab w:leader="none" w:pos="4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productivity driven by transformation initiatives and manufacturing leverage; and</w:t>
      </w:r>
    </w:p>
    <w:p>
      <w:pPr>
        <w:spacing w:after="0" w:line="171"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selling prices to mitigate impacts of inflation.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These increases were partially offset by:</w:t>
      </w:r>
    </w:p>
    <w:p>
      <w:pPr>
        <w:spacing w:after="0" w:line="173" w:lineRule="exact"/>
        <w:rPr>
          <w:sz w:val="20"/>
          <w:szCs w:val="20"/>
          <w:color w:val="auto"/>
        </w:rPr>
      </w:pPr>
    </w:p>
    <w:p>
      <w:pPr>
        <w:ind w:left="480" w:hanging="310"/>
        <w:spacing w:after="0"/>
        <w:tabs>
          <w:tab w:leader="none" w:pos="4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inflationary cost increases related to labor costs and certain raw materials.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8"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BACKLOG OF ORDERS BY SEGMENT</w:t>
            </w:r>
          </w:p>
        </w:tc>
        <w:tc>
          <w:tcPr>
            <w:tcW w:w="1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3"/>
        </w:trPr>
        <w:tc>
          <w:tcPr>
            <w:tcW w:w="42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100" w:type="dxa"/>
            <w:vAlign w:val="bottom"/>
          </w:tcPr>
          <w:p>
            <w:pPr>
              <w:spacing w:after="0"/>
              <w:rPr>
                <w:sz w:val="24"/>
                <w:szCs w:val="24"/>
                <w:color w:val="auto"/>
              </w:rPr>
            </w:pPr>
          </w:p>
        </w:tc>
        <w:tc>
          <w:tcPr>
            <w:tcW w:w="13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80" w:type="dxa"/>
            <w:vAlign w:val="bottom"/>
          </w:tcPr>
          <w:p>
            <w:pPr>
              <w:spacing w:after="0"/>
              <w:rPr>
                <w:sz w:val="24"/>
                <w:szCs w:val="24"/>
                <w:color w:val="auto"/>
              </w:rPr>
            </w:pPr>
          </w:p>
        </w:tc>
        <w:tc>
          <w:tcPr>
            <w:tcW w:w="13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60" w:type="dxa"/>
            <w:vAlign w:val="bottom"/>
          </w:tcPr>
          <w:p>
            <w:pPr>
              <w:spacing w:after="0"/>
              <w:rPr>
                <w:sz w:val="24"/>
                <w:szCs w:val="24"/>
                <w:color w:val="auto"/>
              </w:rPr>
            </w:pPr>
          </w:p>
        </w:tc>
        <w:tc>
          <w:tcPr>
            <w:tcW w:w="1440" w:type="dxa"/>
            <w:vAlign w:val="bottom"/>
            <w:vMerge w:val="restart"/>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44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38"/>
        </w:trPr>
        <w:tc>
          <w:tcPr>
            <w:tcW w:w="4220" w:type="dxa"/>
            <w:vAlign w:val="bottom"/>
            <w:tcBorders>
              <w:bottom w:val="single" w:sz="8" w:color="auto"/>
            </w:tcBorders>
            <w:vMerge w:val="continue"/>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vMerge w:val="continue"/>
          </w:tcPr>
          <w:p>
            <w:pPr>
              <w:spacing w:after="0"/>
              <w:rPr>
                <w:sz w:val="20"/>
                <w:szCs w:val="20"/>
                <w:color w:val="auto"/>
              </w:rPr>
            </w:pPr>
          </w:p>
        </w:tc>
        <w:tc>
          <w:tcPr>
            <w:tcW w:w="14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Flow</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390.1</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(45.4)</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29"/>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Water Solutions</w:t>
            </w:r>
          </w:p>
        </w:tc>
        <w:tc>
          <w:tcPr>
            <w:tcW w:w="1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w:t>
            </w:r>
          </w:p>
        </w:tc>
        <w:tc>
          <w:tcPr>
            <w:tcW w:w="260" w:type="dxa"/>
            <w:vAlign w:val="bottom"/>
          </w:tcPr>
          <w:p>
            <w:pPr>
              <w:spacing w:after="0"/>
              <w:rPr>
                <w:sz w:val="19"/>
                <w:szCs w:val="19"/>
                <w:color w:val="auto"/>
              </w:rPr>
            </w:pPr>
          </w:p>
        </w:tc>
        <w:tc>
          <w:tcPr>
            <w:tcW w:w="14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(24.2)</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0" w:type="dxa"/>
            <w:vAlign w:val="bottom"/>
          </w:tcPr>
          <w:p>
            <w:pPr>
              <w:spacing w:after="0"/>
              <w:rPr>
                <w:sz w:val="1"/>
                <w:szCs w:val="1"/>
                <w:color w:val="auto"/>
              </w:rPr>
            </w:pPr>
          </w:p>
        </w:tc>
      </w:tr>
      <w:tr>
        <w:trPr>
          <w:trHeight w:val="229"/>
        </w:trPr>
        <w:tc>
          <w:tcPr>
            <w:tcW w:w="4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Pool</w:t>
            </w:r>
          </w:p>
        </w:tc>
        <w:tc>
          <w:tcPr>
            <w:tcW w:w="11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w:t>
            </w: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239.7</w:t>
            </w:r>
          </w:p>
        </w:tc>
        <w:tc>
          <w:tcPr>
            <w:tcW w:w="2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(145.1)</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0" w:type="dxa"/>
            <w:vAlign w:val="bottom"/>
          </w:tcPr>
          <w:p>
            <w:pPr>
              <w:spacing w:after="0"/>
              <w:rPr>
                <w:sz w:val="1"/>
                <w:szCs w:val="1"/>
                <w:color w:val="auto"/>
              </w:rPr>
            </w:pPr>
          </w:p>
        </w:tc>
      </w:tr>
      <w:tr>
        <w:trPr>
          <w:trHeight w:val="223"/>
        </w:trPr>
        <w:tc>
          <w:tcPr>
            <w:tcW w:w="4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backlog</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523.6</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738.3</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(214.7)</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0" w:type="dxa"/>
            <w:vAlign w:val="bottom"/>
          </w:tcPr>
          <w:p>
            <w:pPr>
              <w:spacing w:after="0"/>
              <w:rPr>
                <w:sz w:val="1"/>
                <w:szCs w:val="1"/>
                <w:color w:val="auto"/>
              </w:rPr>
            </w:pPr>
          </w:p>
        </w:tc>
      </w:tr>
      <w:tr>
        <w:trPr>
          <w:trHeight w:val="20"/>
        </w:trPr>
        <w:tc>
          <w:tcPr>
            <w:tcW w:w="4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majority of our backlog is short cycle in nature with shipments within one year from when a customer places an order and a substantial portion of our revenues has historically resulted from orders received and products delivered in the same month. A portion of our backlog, particularly from orders for major capital projects, can take more than one year from order to delivery depending on the size and type of order. We record, as part of our backlog, all orders from external customers, which represent firm commitments, and are supported by a purchase order or other legitimate contract. Our backlog of orders is dependent upon when customers place orders and is not necessarily an indicator of our expected results for our 2024 net sales. The decrease in our overall backlog from December 31, 2023 was primarily driven by our backlog trending down to more historical levels as a result of increased manufacturing capacity and improved lead times within each of our reportable segments as well as delivery of orders associated with certain advance sale (“early buy”) programs within our Pool segment.</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generally fund cash requirements for working capital, capital expenditures, equity investments, acquisitions, debt repayments, dividend payments and share repurchases from cash generated from operations, availability under existing committed revolving credit facilities and in certain instances, public and private debt and equity offerings. Our primary revolving credit facility has generally been adequate for these purposes, although we have negotiated additional credit facilities or completed debt and equity offerings as needed to allow us to complete acquisitions.</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experience seasonal cash flows primarily due to seasonal demand in a number of markets. Consistent with historical trends, we experienced seasonal cash usage in the first quarter of 2024 and drew on our revolving credit facility to fund our operations. This cash usage reversed in the second quarter as the seasonality of our businesses peaked and generated significant cash to fund our operations. We continued to generate significant cash to fund our operations in the third quarter of 2024.</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End-user demand for pool equipment in the Pool segment, water solution products in the Water Solutions segment, and residential water supply and agricultural products within the Flow segment follows warm weather trends, with seasonal highs from April to September. The magnitude of the sales spike is partially mitigated by employing some advance sale “early buy” programs (generally including extended payment terms and/or additional discounts). Demand for residential and agricultural water systems is also impacted by weather patterns, particularly by temperature, heavy flooding and droughts.</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expect to continue to have sufficient cash and borrowing capacity to support working capital needs and capital expenditures, to pay interest and service debt and to pay dividends to shareholders quarterly. We believe our existing liquidity position, coupled with our currently anticipated operating cash flows, will be sufficient to meet our cash needs arising in the ordinary course of business for the next twelve months.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cash flows</w:t>
            </w:r>
          </w:p>
        </w:tc>
        <w:tc>
          <w:tcPr>
            <w:tcW w:w="3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446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300" w:type="dxa"/>
            <w:vAlign w:val="bottom"/>
            <w:gridSpan w:val="4"/>
          </w:tcPr>
          <w:p>
            <w:pPr>
              <w:ind w:left="80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169"/>
        </w:trPr>
        <w:tc>
          <w:tcPr>
            <w:tcW w:w="44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326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520" w:type="dxa"/>
            <w:vAlign w:val="bottom"/>
            <w:tcBorders>
              <w:top w:val="single" w:sz="8" w:color="auto"/>
            </w:tcBorders>
          </w:tcPr>
          <w:p>
            <w:pPr>
              <w:jc w:val="right"/>
              <w:ind w:right="210"/>
              <w:spacing w:after="0" w:line="169"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220" w:type="dxa"/>
            <w:vAlign w:val="bottom"/>
            <w:tcBorders>
              <w:top w:val="single" w:sz="8" w:color="auto"/>
            </w:tcBorders>
          </w:tcPr>
          <w:p>
            <w:pPr>
              <w:spacing w:after="0"/>
              <w:rPr>
                <w:sz w:val="14"/>
                <w:szCs w:val="14"/>
                <w:color w:val="auto"/>
              </w:rPr>
            </w:pPr>
          </w:p>
        </w:tc>
        <w:tc>
          <w:tcPr>
            <w:tcW w:w="1540" w:type="dxa"/>
            <w:vAlign w:val="bottom"/>
            <w:tcBorders>
              <w:top w:val="single" w:sz="8" w:color="auto"/>
            </w:tcBorders>
          </w:tcPr>
          <w:p>
            <w:pPr>
              <w:jc w:val="right"/>
              <w:ind w:right="230"/>
              <w:spacing w:after="0" w:line="169"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4460" w:type="dxa"/>
            <w:vAlign w:val="bottom"/>
            <w:tcBorders>
              <w:bottom w:val="single" w:sz="8" w:color="auto"/>
            </w:tcBorders>
            <w:vMerge w:val="continue"/>
          </w:tcPr>
          <w:p>
            <w:pPr>
              <w:spacing w:after="0"/>
              <w:rPr>
                <w:sz w:val="21"/>
                <w:szCs w:val="21"/>
                <w:color w:val="auto"/>
              </w:rPr>
            </w:pPr>
          </w:p>
        </w:tc>
        <w:tc>
          <w:tcPr>
            <w:tcW w:w="32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for):</w:t>
            </w:r>
          </w:p>
        </w:tc>
        <w:tc>
          <w:tcPr>
            <w:tcW w:w="3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Operating activities of continuing operations</w:t>
            </w:r>
          </w:p>
        </w:tc>
        <w:tc>
          <w:tcPr>
            <w:tcW w:w="3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680.4</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Investing activities</w:t>
            </w:r>
          </w:p>
        </w:tc>
        <w:tc>
          <w:tcPr>
            <w:tcW w:w="3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Financing activities</w:t>
            </w:r>
          </w:p>
        </w:tc>
        <w:tc>
          <w:tcPr>
            <w:tcW w:w="3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(560.0)</w:t>
            </w:r>
          </w:p>
        </w:tc>
        <w:tc>
          <w:tcPr>
            <w:tcW w:w="2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86"/>
        </w:trPr>
        <w:tc>
          <w:tcPr>
            <w:tcW w:w="4460" w:type="dxa"/>
            <w:vAlign w:val="bottom"/>
          </w:tcPr>
          <w:p>
            <w:pPr>
              <w:spacing w:after="0"/>
              <w:rPr>
                <w:sz w:val="24"/>
                <w:szCs w:val="24"/>
                <w:color w:val="auto"/>
              </w:rPr>
            </w:pPr>
          </w:p>
        </w:tc>
        <w:tc>
          <w:tcPr>
            <w:tcW w:w="3260" w:type="dxa"/>
            <w:vAlign w:val="bottom"/>
          </w:tcPr>
          <w:p>
            <w:pPr>
              <w:jc w:val="right"/>
              <w:ind w:right="1910"/>
              <w:spacing w:after="0"/>
              <w:rPr>
                <w:sz w:val="20"/>
                <w:szCs w:val="20"/>
                <w:color w:val="auto"/>
              </w:rPr>
            </w:pPr>
            <w:r>
              <w:rPr>
                <w:rFonts w:ascii="Times New Roman" w:cs="Times New Roman" w:eastAsia="Times New Roman" w:hAnsi="Times New Roman"/>
                <w:sz w:val="18"/>
                <w:szCs w:val="18"/>
                <w:color w:val="auto"/>
              </w:rPr>
              <w:t>29</w:t>
            </w:r>
          </w:p>
        </w:tc>
        <w:tc>
          <w:tcPr>
            <w:tcW w:w="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460" w:type="dxa"/>
            <w:vAlign w:val="bottom"/>
            <w:tcBorders>
              <w:bottom w:val="single" w:sz="8" w:color="9A9A9A"/>
            </w:tcBorders>
          </w:tcPr>
          <w:p>
            <w:pPr>
              <w:spacing w:after="0"/>
              <w:rPr>
                <w:sz w:val="10"/>
                <w:szCs w:val="10"/>
                <w:color w:val="auto"/>
              </w:rPr>
            </w:pPr>
          </w:p>
        </w:tc>
        <w:tc>
          <w:tcPr>
            <w:tcW w:w="32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Net cash provided by operating activities of continuing operations in the first nine months of 2024 primarily reflects net income from continuing operations, net of non-cash depreciation, definite-lived intangible amortization, share-based compensation and asset impairment, of $580.5 million. Additionally, we had a cash inflow of $80.9 million as a result of changes in net working capital, primarily due to lower inventory and accounts receivable balances. These decreases were primarily related to supply chain efficiencies and improved lead times.</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provided by operating activities of continuing operations in the first nine months of 2023 primarily reflects net income from continuing operations, net of non-cash depreciation, definite-lived intangible amortization and asset impairment, of $506.8 million.</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Net cash used for investing activities in the first nine months of 2024 primarily reflects capital expenditures of $51.7 million and cash paid upon the settlement of net investment hedges of $16.4 million.</w:t>
      </w:r>
    </w:p>
    <w:p>
      <w:pPr>
        <w:spacing w:after="0" w:line="1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Net cash used for investing activities in the first nine months of 2023 primarily reflects capital expenditures of $54.8 million, partially offset by proceeds from the sale of property and equipment of $5.4 million.</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9"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Net cash used for financing activities in the first nine months of 2024 primarily relates to the repayment of $200.0 million term loans under the Senior Credit Facility, $162.5 million Term Loan Facility principal payments, dividend payments of $114.3 million and share repurchases of $100.0 million.</w:t>
      </w:r>
    </w:p>
    <w:p>
      <w:pPr>
        <w:spacing w:after="0" w:line="1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used for financing activities in the first nine months of 2023 primarily relates to net repayments of revolving long-term debt of $320.0 million and dividend payments of $108.9 million.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Free cash flow</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addition to measuring our cash flow generation or usage based upon operating, investing and financing classifications included in the Condensed Consolidated Statements of Cash Flows, we also measure our free cash flow. We have a long-term goal to consistently generate free cash flow that is equal to 100 percent conversion of net income. Free cash flow is a non-U.S. GAAP financial measure that we use to assess our cash flow performance. We believe free cash flow is an important measure of liquidity because it provides us and our investors a measurement of cash generated from operations that is available to pay dividends, repurchase shares and repay debt. In addition, free cash flow is used as a criterion to measure and pay compensation-based incentives. Our measure of free cash flow may not be comparable to similarly titled measures reported by other companies.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0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is a reconciliation of free cash flow:</w:t>
            </w: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83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3"/>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174"/>
        </w:trPr>
        <w:tc>
          <w:tcPr>
            <w:tcW w:w="83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40" w:type="dxa"/>
            <w:vAlign w:val="bottom"/>
          </w:tcPr>
          <w:p>
            <w:pPr>
              <w:spacing w:after="0"/>
              <w:rPr>
                <w:sz w:val="15"/>
                <w:szCs w:val="15"/>
                <w:color w:val="auto"/>
              </w:rPr>
            </w:pPr>
          </w:p>
        </w:tc>
        <w:tc>
          <w:tcPr>
            <w:tcW w:w="1320" w:type="dxa"/>
            <w:vAlign w:val="bottom"/>
          </w:tcPr>
          <w:p>
            <w:pPr>
              <w:jc w:val="right"/>
              <w:ind w:right="90"/>
              <w:spacing w:after="0" w:line="174"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60" w:type="dxa"/>
            <w:vAlign w:val="bottom"/>
          </w:tcPr>
          <w:p>
            <w:pPr>
              <w:spacing w:after="0"/>
              <w:rPr>
                <w:sz w:val="15"/>
                <w:szCs w:val="15"/>
                <w:color w:val="auto"/>
              </w:rPr>
            </w:pPr>
          </w:p>
        </w:tc>
        <w:tc>
          <w:tcPr>
            <w:tcW w:w="1320" w:type="dxa"/>
            <w:vAlign w:val="bottom"/>
          </w:tcPr>
          <w:p>
            <w:pPr>
              <w:jc w:val="right"/>
              <w:ind w:right="90"/>
              <w:spacing w:after="0" w:line="174"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38"/>
        </w:trPr>
        <w:tc>
          <w:tcPr>
            <w:tcW w:w="8300" w:type="dxa"/>
            <w:vAlign w:val="bottom"/>
            <w:tcBorders>
              <w:bottom w:val="single" w:sz="8" w:color="auto"/>
            </w:tcBorders>
            <w:vMerge w:val="continue"/>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23"/>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 of continuing operations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502.3</w:t>
            </w:r>
          </w:p>
        </w:tc>
        <w:tc>
          <w:tcPr>
            <w:tcW w:w="0" w:type="dxa"/>
            <w:vAlign w:val="bottom"/>
          </w:tcPr>
          <w:p>
            <w:pPr>
              <w:spacing w:after="0"/>
              <w:rPr>
                <w:sz w:val="1"/>
                <w:szCs w:val="1"/>
                <w:color w:val="auto"/>
              </w:rPr>
            </w:pPr>
          </w:p>
        </w:tc>
      </w:tr>
      <w:tr>
        <w:trPr>
          <w:trHeight w:val="230"/>
        </w:trPr>
        <w:tc>
          <w:tcPr>
            <w:tcW w:w="8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expenditures of continuing operations</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0" w:type="dxa"/>
            <w:vAlign w:val="bottom"/>
          </w:tcPr>
          <w:p>
            <w:pPr>
              <w:spacing w:after="0"/>
              <w:rPr>
                <w:sz w:val="1"/>
                <w:szCs w:val="1"/>
                <w:color w:val="auto"/>
              </w:rPr>
            </w:pPr>
          </w:p>
        </w:tc>
      </w:tr>
      <w:tr>
        <w:trPr>
          <w:trHeight w:val="230"/>
        </w:trPr>
        <w:tc>
          <w:tcPr>
            <w:tcW w:w="8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sale of property and equipment of continuing operations</w:t>
            </w: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23"/>
        </w:trPr>
        <w:tc>
          <w:tcPr>
            <w:tcW w:w="8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Free cash flow from continuing operations</w:t>
            </w: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629.1</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452.9</w:t>
            </w:r>
          </w:p>
        </w:tc>
        <w:tc>
          <w:tcPr>
            <w:tcW w:w="0" w:type="dxa"/>
            <w:vAlign w:val="bottom"/>
          </w:tcPr>
          <w:p>
            <w:pPr>
              <w:spacing w:after="0"/>
              <w:rPr>
                <w:sz w:val="1"/>
                <w:szCs w:val="1"/>
                <w:color w:val="auto"/>
              </w:rPr>
            </w:pPr>
          </w:p>
        </w:tc>
      </w:tr>
      <w:tr>
        <w:trPr>
          <w:trHeight w:val="223"/>
        </w:trPr>
        <w:tc>
          <w:tcPr>
            <w:tcW w:w="8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for operating activities of discontinued operations</w:t>
            </w: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23"/>
        </w:trPr>
        <w:tc>
          <w:tcPr>
            <w:tcW w:w="8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Free cash flow</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628.9</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451.3</w:t>
            </w:r>
          </w:p>
        </w:tc>
        <w:tc>
          <w:tcPr>
            <w:tcW w:w="0" w:type="dxa"/>
            <w:vAlign w:val="bottom"/>
          </w:tcPr>
          <w:p>
            <w:pPr>
              <w:spacing w:after="0"/>
              <w:rPr>
                <w:sz w:val="1"/>
                <w:szCs w:val="1"/>
                <w:color w:val="auto"/>
              </w:rPr>
            </w:pPr>
          </w:p>
        </w:tc>
      </w:tr>
      <w:tr>
        <w:trPr>
          <w:trHeight w:val="20"/>
        </w:trPr>
        <w:tc>
          <w:tcPr>
            <w:tcW w:w="83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and capital</w:t>
      </w:r>
    </w:p>
    <w:p>
      <w:pPr>
        <w:spacing w:after="0" w:line="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Pentair, Pentair Finance S.à r.l (“PFSA”) and Pentair, Inc. are parties to a credit agreement (the “Senior Credit Facility”), with Pentair as guarantor and PFSA and Pentair, Inc. as borrowers, providing for a $900.0 million senior unsecured revolving credit facility. During the second quarter of 2024, PFSA repaid $200.0 million of term loans under the Senior Credit Facility. The revolving credit facility has a maturity date of December 16, 2026. Borrowings under the Senior Credit Facility bear interest at a rate equal to an alternate base rate, adjusted term secured overnight financing rate, adjusted euro interbank offered rate, adjusted daily simple secured overnight financing rate or central bank rate, plus, in each case, an applicable margin. The applicable margin is based on, at PFSA’s election, Pentair’s leverage level or PFSA’s public credit rating.</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September 30, 2024, total availability under the Senior Credit Facility was $900.0 million. In addition, PFSA has the option to request to increase the revolving credit facility and/or to enter into one or more tranches of term loans in an aggregate amount of up to $300.0 million, subject to customary conditions, including the commitment of the participating lenders.</w:t>
      </w:r>
    </w:p>
    <w:p>
      <w:pPr>
        <w:spacing w:after="0" w:line="13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Pentair and PFSA are parties to a senior unsecured term loan facility (the “Term Loan Facility”), with PFSA, as borrower, Pentair, as guarantor, providing for an aggregate principal amount of $1.0 billion. The Term Loan Facility has a maturity date of July 28, 2027, with required quarterly installment payments of $6.3 million which began on the last day of the third quarter of 2023 and increased to $12.5 million on the last day of the third quarter of 2024. During the nine months ended September 30, 2024, PFSA repaid the remaining $162.5 million of quarterly installments on the Term Loan Facility, such that PFSA is not required to make any further quarterly installment payments. As of September 30, 2024, the remaining obligation of $825.0 million matures on July 28, 2027. The Term Loan Facility bears interest at a rate equal to an alternate base rate, adjusted term secured overnight financing rate, or adjusted daily simple secured overnight financing rate, plus, in each case, an applicable margin. The applicable margin is based on, at PFSA’s election, Pentair’s leverage level or PFSA’s public credit rating.</w:t>
      </w:r>
    </w:p>
    <w:p>
      <w:pPr>
        <w:spacing w:after="0" w:line="13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debt agreements contain various financial covenants, but the most restrictive covenants are contained in the Senior Credit Facility and the Term Loan Facility. The Senior Credit Facility and the Term Loan Facility contain covenants requiring us not to permit (i) the ratio of our consolidated debt (net of our consolidated unrestricted cash and cash equivalents in excess of $5.0 million but not to exceed $250.0 million) to our consolidated net income (excluding, among other things, non-cash gains and losses) before interest, taxes, depreciation, amortization and non-cash share-based compensation expense (“EBITDA”) on the last day of any period of four consecutive fiscal quarters (each, a “testing period”) to exceed 3.75 to 1.00 (or, at PFSA’s election and subject to certain conditions, 4.25 to 1.00 for four testing periods in connection with certain material acquisitions) (the “Leverage Ratio”) and (ii) the ratio of our EBITDA to our consolidated interest expense, for the same period to be less than 3.00 to 1.00 as of the end of each fiscal quarter. For purposes of the Leverage Ratio, the Senior Credit Facility and the Term Loan Facility provide for the calculation of EBITDA giving pro forma effect to certain acquisitions, divestitures and liquidations during the period to which such calculation relates.</w:t>
      </w:r>
    </w:p>
    <w:p>
      <w:pPr>
        <w:spacing w:after="0" w:line="13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to the Senior Credit Facility and the Term Loan Facility, we have various other credit facilities with an aggregate availability of $21.0 million, of which there were no outstanding borrowings at September 30, 2024. Borrowings under these credit facilities bear interest at variable rates.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$19.3 million of senior notes maturing in the next twelve months. We classified this debt as long-term as of September 30, 2024 as we have the intent and ability to refinance such obligation on a long-term basis under the revolving credit facility under the Senior Credit Facility.</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September 30, 2024, we had $94.8 million of cash held in certain countries in which the ability to repatriate is limited due to local regulations or significant potential tax consequences.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repurchases</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December 2020, the Board of Directors authorized the repurchase of our ordinary shares up to a maximum dollar limit of $750.0 million. This authorization expires on December 31, 2025. During the nine months ended September 30, 2024, we repurchased 1.2 million of our ordinary shares for $100.0 million. As of September 30, 2024, we had $500.0 million available for share repurchases under this authorization.</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 payable</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On September 23, 2024, the Board of Directors declared a quarterly cash dividend of $0.23 per share, payable on November 1, 2024 to shareholders of record at the close of business on October 18, 2024. As a result, the balance of dividends payable included in </w:t>
      </w:r>
      <w:r>
        <w:rPr>
          <w:rFonts w:ascii="Times New Roman" w:cs="Times New Roman" w:eastAsia="Times New Roman" w:hAnsi="Times New Roman"/>
          <w:sz w:val="18"/>
          <w:szCs w:val="18"/>
          <w:i w:val="1"/>
          <w:iCs w:val="1"/>
          <w:color w:val="auto"/>
        </w:rPr>
        <w:t>Other current liabilities</w:t>
      </w:r>
      <w:r>
        <w:rPr>
          <w:rFonts w:ascii="Times New Roman" w:cs="Times New Roman" w:eastAsia="Times New Roman" w:hAnsi="Times New Roman"/>
          <w:sz w:val="18"/>
          <w:szCs w:val="18"/>
          <w:color w:val="auto"/>
        </w:rPr>
        <w:t xml:space="preserve"> on our Condensed Consolidated Balance Sheets was $38.0 million at both September 30, 2024 and December 31, 2023, respectively.</w:t>
      </w:r>
    </w:p>
    <w:p>
      <w:pPr>
        <w:spacing w:after="0" w:line="14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paid dividends in the first nine months of 2024 of $114.3 million, or $0.69 per ordinary share compared with $108.9 million, or $0.66 per ordinary share, in the prior year period.</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Irish law, the payment of future cash dividends and repurchases of shares may be paid only out of Pentair plc’s “distributable reserves” on its statutory balance sheet. Pentair plc is not permitted to pay dividends out of share capital, which includes share premiums. Distributable reserves may be created through the earnings of the Irish parent company and through a reduction in share capital approved by the Irish High Court. Distributable reserves are not linked to a U.S. generally accepted accounting principles (“GAAP”) reported amount (e.g., retained earnings). Our distributable reserve balance was $6.9 billion as of December 31, 2023.</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Supplemental guarantor information</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Pentair plc (the “Parent Company Guarantor”), fully and unconditionally, guarantees the senior notes of PFSA (the “Subsidiary Issuer”). The Subsidiary Issuer is a Luxembourg private limited liability company and 100 percent-owned subsidiary of the Parent Company Guarantor.</w:t>
      </w:r>
    </w:p>
    <w:p>
      <w:pPr>
        <w:spacing w:after="0" w:line="1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Parent Company Guarantor is a holding company established to own directly and indirectly substantially all of its operating and other subsidiaries. The Subsidiary Issuer is a holding company formed to own directly and indirectly substantially all of its operating and other subsidiaries and to issue debt securities, including the senior notes. The Parent Company Guarantor’s principal source of cash flow, including cash flow to make payments on the senior notes pursuant to the guarantees, is dividends from its subsidiaries. The Subsidiary Issuer’s principal source of cash flow is interest income from its subsidiaries. None of the subsidiaries of the Parent Company Guarantor or the Subsidiary Issuer is under any direct obligation to pay or otherwise fund amounts due on the senior notes or the guarantees, whether in the form of dividends, distributions, loans or other payments. In addition, there may be statutory and regulatory limitations on the payment of dividends from certain subsidiaries of the Parent Company Guarantor or the Subsidiary Issuer. If such subsidiaries are unable to transfer funds to the Parent Company Guarantor or the Subsidiary Issuer and sufficient cash or liquidity is not otherwise available, the Parent Company Guarantor or the Subsidiary Issuer may not be able to make principal and interest payments on their outstanding debt, including the senior notes or the guarantees.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presents summarized financial information as of September 30, 2024 and December 31, 2023 for the Parent Company Guarantor and Subsidiary Issuer on a combined basis after elimination of (i) intercompany transactions and balances among the guarantors and issuer and (ii) equity in earnings from and investments in any subsidiary that is a non-guarantor or issuer.</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3280" w:type="dxa"/>
            <w:vAlign w:val="bottom"/>
          </w:tcPr>
          <w:p>
            <w:pPr>
              <w:spacing w:after="0"/>
              <w:rPr>
                <w:sz w:val="17"/>
                <w:szCs w:val="17"/>
                <w:color w:val="auto"/>
              </w:rPr>
            </w:pPr>
          </w:p>
        </w:tc>
        <w:tc>
          <w:tcPr>
            <w:tcW w:w="14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40" w:type="dxa"/>
            <w:vAlign w:val="bottom"/>
          </w:tcPr>
          <w:p>
            <w:pPr>
              <w:spacing w:after="0"/>
              <w:rPr>
                <w:sz w:val="17"/>
                <w:szCs w:val="17"/>
                <w:color w:val="auto"/>
              </w:rPr>
            </w:pPr>
          </w:p>
        </w:tc>
        <w:tc>
          <w:tcPr>
            <w:tcW w:w="14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3"/>
        </w:trPr>
        <w:tc>
          <w:tcPr>
            <w:tcW w:w="4860" w:type="dxa"/>
            <w:vAlign w:val="bottom"/>
            <w:tcBorders>
              <w:bottom w:val="single" w:sz="8" w:color="auto"/>
            </w:tcBorders>
            <w:vMerge w:val="continue"/>
          </w:tcPr>
          <w:p>
            <w:pPr>
              <w:spacing w:after="0"/>
              <w:rPr>
                <w:sz w:val="21"/>
                <w:szCs w:val="21"/>
                <w:color w:val="auto"/>
              </w:rPr>
            </w:pPr>
          </w:p>
        </w:tc>
        <w:tc>
          <w:tcPr>
            <w:tcW w:w="328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23"/>
        </w:trPr>
        <w:tc>
          <w:tcPr>
            <w:tcW w:w="486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Current assets </w:t>
            </w:r>
            <w:r>
              <w:rPr>
                <w:rFonts w:ascii="Times New Roman" w:cs="Times New Roman" w:eastAsia="Times New Roman" w:hAnsi="Times New Roman"/>
                <w:sz w:val="23"/>
                <w:szCs w:val="23"/>
                <w:color w:val="auto"/>
                <w:vertAlign w:val="superscript"/>
              </w:rPr>
              <w:t>(1)</w:t>
            </w:r>
          </w:p>
        </w:tc>
        <w:tc>
          <w:tcPr>
            <w:tcW w:w="3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0" w:type="dxa"/>
            <w:vAlign w:val="bottom"/>
          </w:tcPr>
          <w:p>
            <w:pPr>
              <w:spacing w:after="0"/>
              <w:rPr>
                <w:sz w:val="1"/>
                <w:szCs w:val="1"/>
                <w:color w:val="auto"/>
              </w:rPr>
            </w:pPr>
          </w:p>
        </w:tc>
      </w:tr>
      <w:tr>
        <w:trPr>
          <w:trHeight w:val="229"/>
        </w:trPr>
        <w:tc>
          <w:tcPr>
            <w:tcW w:w="48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Noncurrent assets </w:t>
            </w:r>
            <w:r>
              <w:rPr>
                <w:rFonts w:ascii="Times New Roman" w:cs="Times New Roman" w:eastAsia="Times New Roman" w:hAnsi="Times New Roman"/>
                <w:sz w:val="23"/>
                <w:szCs w:val="23"/>
                <w:color w:val="auto"/>
                <w:vertAlign w:val="superscript"/>
              </w:rPr>
              <w:t>(2)</w:t>
            </w:r>
          </w:p>
        </w:tc>
        <w:tc>
          <w:tcPr>
            <w:tcW w:w="32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2,576.1</w:t>
            </w: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2,686.9</w:t>
            </w: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Current liabilities </w:t>
            </w:r>
            <w:r>
              <w:rPr>
                <w:rFonts w:ascii="Times New Roman" w:cs="Times New Roman" w:eastAsia="Times New Roman" w:hAnsi="Times New Roman"/>
                <w:sz w:val="23"/>
                <w:szCs w:val="23"/>
                <w:color w:val="auto"/>
                <w:vertAlign w:val="superscript"/>
              </w:rPr>
              <w:t>(3)</w:t>
            </w:r>
          </w:p>
        </w:tc>
        <w:tc>
          <w:tcPr>
            <w:tcW w:w="3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1,911.7</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1,659.0</w:t>
            </w:r>
          </w:p>
        </w:tc>
        <w:tc>
          <w:tcPr>
            <w:tcW w:w="0" w:type="dxa"/>
            <w:vAlign w:val="bottom"/>
          </w:tcPr>
          <w:p>
            <w:pPr>
              <w:spacing w:after="0"/>
              <w:rPr>
                <w:sz w:val="1"/>
                <w:szCs w:val="1"/>
                <w:color w:val="auto"/>
              </w:rPr>
            </w:pPr>
          </w:p>
        </w:tc>
      </w:tr>
      <w:tr>
        <w:trPr>
          <w:trHeight w:val="206"/>
        </w:trPr>
        <w:tc>
          <w:tcPr>
            <w:tcW w:w="4860" w:type="dxa"/>
            <w:vAlign w:val="bottom"/>
          </w:tcPr>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Noncurrent liabilities </w:t>
            </w:r>
            <w:r>
              <w:rPr>
                <w:rFonts w:ascii="Times New Roman" w:cs="Times New Roman" w:eastAsia="Times New Roman" w:hAnsi="Times New Roman"/>
                <w:sz w:val="23"/>
                <w:szCs w:val="23"/>
                <w:color w:val="auto"/>
                <w:vertAlign w:val="superscript"/>
              </w:rPr>
              <w:t>(4)</w:t>
            </w:r>
          </w:p>
        </w:tc>
        <w:tc>
          <w:tcPr>
            <w:tcW w:w="32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1,861.3</w:t>
            </w:r>
          </w:p>
        </w:tc>
        <w:tc>
          <w:tcPr>
            <w:tcW w:w="2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2,331.4</w:t>
            </w:r>
          </w:p>
        </w:tc>
        <w:tc>
          <w:tcPr>
            <w:tcW w:w="0" w:type="dxa"/>
            <w:vAlign w:val="bottom"/>
          </w:tcPr>
          <w:p>
            <w:pPr>
              <w:spacing w:after="0"/>
              <w:rPr>
                <w:sz w:val="1"/>
                <w:szCs w:val="1"/>
                <w:color w:val="auto"/>
              </w:rPr>
            </w:pPr>
          </w:p>
        </w:tc>
      </w:tr>
    </w:tbl>
    <w:p>
      <w:pPr>
        <w:ind w:left="200" w:hanging="174"/>
        <w:spacing w:after="0" w:line="206" w:lineRule="auto"/>
        <w:tabs>
          <w:tab w:leader="none" w:pos="200" w:val="left"/>
        </w:tabs>
        <w:numPr>
          <w:ilvl w:val="0"/>
          <w:numId w:val="4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No assets due from non-guarantor subsidiaries were included as of September 30, 2024 and December 31, 2023, respectively.</w:t>
      </w:r>
    </w:p>
    <w:p>
      <w:pPr>
        <w:spacing w:after="0" w:line="66" w:lineRule="exact"/>
        <w:rPr>
          <w:rFonts w:ascii="Times New Roman" w:cs="Times New Roman" w:eastAsia="Times New Roman" w:hAnsi="Times New Roman"/>
          <w:sz w:val="22"/>
          <w:szCs w:val="22"/>
          <w:color w:val="auto"/>
          <w:vertAlign w:val="superscript"/>
        </w:rPr>
      </w:pPr>
    </w:p>
    <w:p>
      <w:pPr>
        <w:ind w:left="200" w:hanging="174"/>
        <w:spacing w:after="0" w:line="182" w:lineRule="auto"/>
        <w:tabs>
          <w:tab w:leader="none" w:pos="200" w:val="left"/>
        </w:tabs>
        <w:numPr>
          <w:ilvl w:val="0"/>
          <w:numId w:val="4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Includes assets due from non-guarantor subsidiaries of $2,562.6 million and $2,673.3 million as of September 30, 2024 and December 31, 2023, respectively.</w:t>
      </w:r>
    </w:p>
    <w:p>
      <w:pPr>
        <w:spacing w:after="0" w:line="64" w:lineRule="exact"/>
        <w:rPr>
          <w:rFonts w:ascii="Times New Roman" w:cs="Times New Roman" w:eastAsia="Times New Roman" w:hAnsi="Times New Roman"/>
          <w:sz w:val="22"/>
          <w:szCs w:val="22"/>
          <w:color w:val="auto"/>
          <w:vertAlign w:val="superscript"/>
        </w:rPr>
      </w:pPr>
    </w:p>
    <w:p>
      <w:pPr>
        <w:ind w:left="200" w:hanging="174"/>
        <w:spacing w:after="0" w:line="182" w:lineRule="auto"/>
        <w:tabs>
          <w:tab w:leader="none" w:pos="200" w:val="left"/>
        </w:tabs>
        <w:numPr>
          <w:ilvl w:val="0"/>
          <w:numId w:val="4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Includes liabilities due to non-guarantor subsidiaries of $1,858.3 million and $1,583.6 million as of September 30, 2024 and December 31, 2023, respectively.</w:t>
      </w:r>
    </w:p>
    <w:p>
      <w:pPr>
        <w:spacing w:after="0" w:line="64" w:lineRule="exact"/>
        <w:rPr>
          <w:rFonts w:ascii="Times New Roman" w:cs="Times New Roman" w:eastAsia="Times New Roman" w:hAnsi="Times New Roman"/>
          <w:sz w:val="22"/>
          <w:szCs w:val="22"/>
          <w:color w:val="auto"/>
          <w:vertAlign w:val="superscript"/>
        </w:rPr>
      </w:pPr>
    </w:p>
    <w:p>
      <w:pPr>
        <w:ind w:left="200" w:hanging="174"/>
        <w:spacing w:after="0" w:line="182" w:lineRule="auto"/>
        <w:tabs>
          <w:tab w:leader="none" w:pos="200" w:val="left"/>
        </w:tabs>
        <w:numPr>
          <w:ilvl w:val="0"/>
          <w:numId w:val="4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Includes liabilities due to non-guarantor subsidiaries of $162.7 million and $268.4 million as of September 30, 2024 and December 31, 2023, respectively.</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Parent Company Guarantor and Subsidiary Issuer do not have material results of operations on a combined basis.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adopted various accounting policies to prepare the consolidated financial statements in accordance with GAAP. Certain of our accounting policies require the application of significant judgment by management in selecting the appropriate assumptions for calculating financial estimates. In our Annual Report on Form 10-K for the year ended December 31, 2023, we identified the critical accounting policies that affect our more significant estimates and assumptions used in preparing our consolidated financial statements. There have been no material changes to our critical accounting policies and estimates from those disclosed in our Annual Report on Form 10-K for the year ended December 31, 2023.</w:t>
      </w:r>
    </w:p>
    <w:p>
      <w:pPr>
        <w:spacing w:after="0" w:line="139"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in our market risk during the quarter ended September 30, 2024. For additional information refer to Item 7A of our Annual Report on Form 10-K for the year ended December 31, 2023.</w:t>
      </w:r>
    </w:p>
    <w:p>
      <w:pPr>
        <w:spacing w:after="0" w:line="13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tab/>
        <w:t>CONTROLS AND PROCEDURES</w:t>
      </w:r>
    </w:p>
    <w:p>
      <w:pPr>
        <w:spacing w:after="0" w:line="171" w:lineRule="exact"/>
        <w:rPr>
          <w:sz w:val="20"/>
          <w:szCs w:val="20"/>
          <w:color w:val="auto"/>
        </w:rPr>
      </w:pPr>
    </w:p>
    <w:p>
      <w:pPr>
        <w:ind w:left="400" w:hanging="392"/>
        <w:spacing w:after="0"/>
        <w:tabs>
          <w:tab w:leader="none" w:pos="40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31" w:lineRule="exact"/>
        <w:rPr>
          <w:rFonts w:ascii="Times New Roman" w:cs="Times New Roman" w:eastAsia="Times New Roman" w:hAnsi="Times New Roman"/>
          <w:sz w:val="18"/>
          <w:szCs w:val="18"/>
          <w:b w:val="1"/>
          <w:bCs w:val="1"/>
          <w:color w:val="auto"/>
        </w:rPr>
      </w:pPr>
    </w:p>
    <w:p>
      <w:pPr>
        <w:jc w:val="both"/>
        <w:ind w:left="420"/>
        <w:spacing w:after="0" w:line="25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maintain a system of disclosure controls and procedures designed to provide reasonable assurance as to the reliability of our published financial statements and other disclosures included in this report. Our management evaluated, with the participation of our Chief Executive Officer and our Chief Financial Officer, the effectiveness of the design and operation of our disclosure controls and procedures as of the end of the quarter ended September 30, 2024 pursuant to Rule 13a-15(b) of the Securities Exchange Act of 1934 (the “Exchange Act”). Based upon their evaluation, our Chief Executive Officer and our Chief Financial Officer concluded that our disclosure controls and procedures were effective, at the reasonable assurance level, as of the end of the quarter ended September 30, 2024 to ensure that information required to be disclosed by us in the reports we file or submit under the Exchange Act is recorded, processed, summarized and reported, within the time periods specified in the Securities and Exchange Commission’s rules and forms, and to ensure that information required to be disclosed by us in the reports we file or submit under the Exchange Act is accumulated and communicated to our management, including our principal executive and principal financial officers, as appropriate to allow timely decisions regarding required disclosures.</w:t>
      </w:r>
    </w:p>
    <w:p>
      <w:pPr>
        <w:spacing w:after="0" w:line="134" w:lineRule="exact"/>
        <w:rPr>
          <w:rFonts w:ascii="Times New Roman" w:cs="Times New Roman" w:eastAsia="Times New Roman" w:hAnsi="Times New Roman"/>
          <w:sz w:val="18"/>
          <w:szCs w:val="18"/>
          <w:b w:val="1"/>
          <w:bCs w:val="1"/>
          <w:color w:val="auto"/>
        </w:rPr>
      </w:pPr>
    </w:p>
    <w:p>
      <w:pPr>
        <w:ind w:left="400" w:hanging="392"/>
        <w:spacing w:after="0"/>
        <w:tabs>
          <w:tab w:leader="none" w:pos="40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31" w:lineRule="exact"/>
        <w:rPr>
          <w:rFonts w:ascii="Times New Roman" w:cs="Times New Roman" w:eastAsia="Times New Roman" w:hAnsi="Times New Roman"/>
          <w:sz w:val="18"/>
          <w:szCs w:val="18"/>
          <w:b w:val="1"/>
          <w:bCs w:val="1"/>
          <w:color w:val="auto"/>
        </w:rPr>
      </w:pPr>
    </w:p>
    <w:p>
      <w:pPr>
        <w:ind w:left="420"/>
        <w:spacing w:after="0" w:line="26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There was no change in our internal control over financial reporting that occurred during the quarter ended September 30, 2024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7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tab/>
        <w:t>LEGAL PROCEEDINGS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been, and in the future may be, made parties to a number of actions filed or have been, and in the future may be, given notice of potential claims relating to the conduct of our business, including those relating to commercial, contractual or regulatory disputes with suppliers, customers, authorities or parties to acquisitions and divestitures; intellectual property matters; environmental, asbestos, safety and health matters; product liability claims; claims relating to the use or installation of our products; consumer and consumer protection matters; and employment and labor matters.</w:t>
      </w:r>
    </w:p>
    <w:p>
      <w:pPr>
        <w:spacing w:after="0" w:line="20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from the risk factors previously disclosed in Item 1A. of our Annual Report on Form 10-K for the year ended December 31, 2023.</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tab/>
        <w:t>UNREGISTERED SALES OF EQUITY SECURITIES AND USE OF PROCEEDS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with respect to purchases we made of our ordinary shares during the third quarter of 2024:</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520" w:type="dxa"/>
            <w:vAlign w:val="bottom"/>
          </w:tcPr>
          <w:p>
            <w:pPr>
              <w:spacing w:after="0"/>
              <w:rPr>
                <w:sz w:val="19"/>
                <w:szCs w:val="19"/>
                <w:color w:val="auto"/>
              </w:rPr>
            </w:pPr>
          </w:p>
        </w:tc>
        <w:tc>
          <w:tcPr>
            <w:tcW w:w="1520" w:type="dxa"/>
            <w:vAlign w:val="bottom"/>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rPr>
              <w:t>(a)</w:t>
            </w: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980" w:type="dxa"/>
            <w:vAlign w:val="bottom"/>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9"/>
              </w:rPr>
              <w:t>(b)</w:t>
            </w:r>
          </w:p>
        </w:tc>
        <w:tc>
          <w:tcPr>
            <w:tcW w:w="226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(c)</w:t>
            </w:r>
          </w:p>
        </w:tc>
        <w:tc>
          <w:tcPr>
            <w:tcW w:w="19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(d)</w:t>
            </w:r>
          </w:p>
        </w:tc>
        <w:tc>
          <w:tcPr>
            <w:tcW w:w="0" w:type="dxa"/>
            <w:vAlign w:val="bottom"/>
          </w:tcPr>
          <w:p>
            <w:pPr>
              <w:spacing w:after="0"/>
              <w:rPr>
                <w:sz w:val="1"/>
                <w:szCs w:val="1"/>
                <w:color w:val="auto"/>
              </w:rPr>
            </w:pPr>
          </w:p>
        </w:tc>
      </w:tr>
      <w:tr>
        <w:trPr>
          <w:trHeight w:val="184"/>
        </w:trPr>
        <w:tc>
          <w:tcPr>
            <w:tcW w:w="25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2260" w:type="dxa"/>
            <w:vAlign w:val="bottom"/>
          </w:tcPr>
          <w:p>
            <w:pPr>
              <w:jc w:val="center"/>
              <w:ind w:right="250"/>
              <w:spacing w:after="0" w:line="184" w:lineRule="exact"/>
              <w:rPr>
                <w:sz w:val="20"/>
                <w:szCs w:val="20"/>
                <w:color w:val="auto"/>
              </w:rPr>
            </w:pPr>
            <w:r>
              <w:rPr>
                <w:rFonts w:ascii="Times New Roman" w:cs="Times New Roman" w:eastAsia="Times New Roman" w:hAnsi="Times New Roman"/>
                <w:sz w:val="18"/>
                <w:szCs w:val="18"/>
                <w:b w:val="1"/>
                <w:bCs w:val="1"/>
                <w:color w:val="auto"/>
                <w:w w:val="98"/>
              </w:rPr>
              <w:t>Total number of</w:t>
            </w:r>
          </w:p>
        </w:tc>
        <w:tc>
          <w:tcPr>
            <w:tcW w:w="1960" w:type="dxa"/>
            <w:vAlign w:val="bottom"/>
          </w:tcPr>
          <w:p>
            <w:pPr>
              <w:jc w:val="center"/>
              <w:ind w:right="170"/>
              <w:spacing w:after="0" w:line="184" w:lineRule="exact"/>
              <w:rPr>
                <w:sz w:val="20"/>
                <w:szCs w:val="20"/>
                <w:color w:val="auto"/>
              </w:rPr>
            </w:pPr>
            <w:r>
              <w:rPr>
                <w:rFonts w:ascii="Times New Roman" w:cs="Times New Roman" w:eastAsia="Times New Roman" w:hAnsi="Times New Roman"/>
                <w:sz w:val="18"/>
                <w:szCs w:val="18"/>
                <w:b w:val="1"/>
                <w:bCs w:val="1"/>
                <w:color w:val="auto"/>
                <w:w w:val="99"/>
              </w:rPr>
              <w:t>Dollar value of</w:t>
            </w:r>
          </w:p>
        </w:tc>
        <w:tc>
          <w:tcPr>
            <w:tcW w:w="0" w:type="dxa"/>
            <w:vAlign w:val="bottom"/>
          </w:tcPr>
          <w:p>
            <w:pPr>
              <w:spacing w:after="0"/>
              <w:rPr>
                <w:sz w:val="1"/>
                <w:szCs w:val="1"/>
                <w:color w:val="auto"/>
              </w:rPr>
            </w:pPr>
          </w:p>
        </w:tc>
      </w:tr>
      <w:tr>
        <w:trPr>
          <w:trHeight w:val="176"/>
        </w:trPr>
        <w:tc>
          <w:tcPr>
            <w:tcW w:w="2520" w:type="dxa"/>
            <w:vAlign w:val="bottom"/>
          </w:tcPr>
          <w:p>
            <w:pPr>
              <w:spacing w:after="0"/>
              <w:rPr>
                <w:sz w:val="15"/>
                <w:szCs w:val="15"/>
                <w:color w:val="auto"/>
              </w:rPr>
            </w:pPr>
          </w:p>
        </w:tc>
        <w:tc>
          <w:tcPr>
            <w:tcW w:w="2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Total number</w:t>
            </w:r>
          </w:p>
        </w:tc>
        <w:tc>
          <w:tcPr>
            <w:tcW w:w="34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2260" w:type="dxa"/>
            <w:vAlign w:val="bottom"/>
          </w:tcPr>
          <w:p>
            <w:pPr>
              <w:jc w:val="center"/>
              <w:ind w:right="250"/>
              <w:spacing w:after="0" w:line="176" w:lineRule="exact"/>
              <w:rPr>
                <w:sz w:val="20"/>
                <w:szCs w:val="20"/>
                <w:color w:val="auto"/>
              </w:rPr>
            </w:pPr>
            <w:r>
              <w:rPr>
                <w:rFonts w:ascii="Times New Roman" w:cs="Times New Roman" w:eastAsia="Times New Roman" w:hAnsi="Times New Roman"/>
                <w:sz w:val="18"/>
                <w:szCs w:val="18"/>
                <w:b w:val="1"/>
                <w:bCs w:val="1"/>
                <w:color w:val="auto"/>
                <w:w w:val="98"/>
              </w:rPr>
              <w:t>shares purchased as</w:t>
            </w:r>
          </w:p>
        </w:tc>
        <w:tc>
          <w:tcPr>
            <w:tcW w:w="1960" w:type="dxa"/>
            <w:vAlign w:val="bottom"/>
          </w:tcPr>
          <w:p>
            <w:pPr>
              <w:jc w:val="center"/>
              <w:ind w:right="130"/>
              <w:spacing w:after="0" w:line="176" w:lineRule="exact"/>
              <w:rPr>
                <w:sz w:val="20"/>
                <w:szCs w:val="20"/>
                <w:color w:val="auto"/>
              </w:rPr>
            </w:pPr>
            <w:r>
              <w:rPr>
                <w:rFonts w:ascii="Times New Roman" w:cs="Times New Roman" w:eastAsia="Times New Roman" w:hAnsi="Times New Roman"/>
                <w:sz w:val="18"/>
                <w:szCs w:val="18"/>
                <w:b w:val="1"/>
                <w:bCs w:val="1"/>
                <w:color w:val="auto"/>
              </w:rPr>
              <w:t>shares that may yet</w:t>
            </w:r>
          </w:p>
        </w:tc>
        <w:tc>
          <w:tcPr>
            <w:tcW w:w="0" w:type="dxa"/>
            <w:vAlign w:val="bottom"/>
          </w:tcPr>
          <w:p>
            <w:pPr>
              <w:spacing w:after="0"/>
              <w:rPr>
                <w:sz w:val="1"/>
                <w:szCs w:val="1"/>
                <w:color w:val="auto"/>
              </w:rPr>
            </w:pPr>
          </w:p>
        </w:tc>
      </w:tr>
      <w:tr>
        <w:trPr>
          <w:trHeight w:val="189"/>
        </w:trPr>
        <w:tc>
          <w:tcPr>
            <w:tcW w:w="2520" w:type="dxa"/>
            <w:vAlign w:val="bottom"/>
          </w:tcPr>
          <w:p>
            <w:pPr>
              <w:spacing w:after="0"/>
              <w:rPr>
                <w:sz w:val="16"/>
                <w:szCs w:val="16"/>
                <w:color w:val="auto"/>
              </w:rPr>
            </w:pPr>
          </w:p>
        </w:tc>
        <w:tc>
          <w:tcPr>
            <w:tcW w:w="218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980" w:type="dxa"/>
            <w:vAlign w:val="bottom"/>
            <w:vMerge w:val="restart"/>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8"/>
              </w:rPr>
              <w:t>Average price</w:t>
            </w:r>
          </w:p>
        </w:tc>
        <w:tc>
          <w:tcPr>
            <w:tcW w:w="2260" w:type="dxa"/>
            <w:vAlign w:val="bottom"/>
          </w:tcPr>
          <w:p>
            <w:pPr>
              <w:jc w:val="center"/>
              <w:ind w:right="250"/>
              <w:spacing w:after="0" w:line="189" w:lineRule="exact"/>
              <w:rPr>
                <w:sz w:val="20"/>
                <w:szCs w:val="20"/>
                <w:color w:val="auto"/>
              </w:rPr>
            </w:pPr>
            <w:r>
              <w:rPr>
                <w:rFonts w:ascii="Times New Roman" w:cs="Times New Roman" w:eastAsia="Times New Roman" w:hAnsi="Times New Roman"/>
                <w:sz w:val="18"/>
                <w:szCs w:val="18"/>
                <w:b w:val="1"/>
                <w:bCs w:val="1"/>
                <w:color w:val="auto"/>
              </w:rPr>
              <w:t>part of publicly</w:t>
            </w:r>
          </w:p>
        </w:tc>
        <w:tc>
          <w:tcPr>
            <w:tcW w:w="1960" w:type="dxa"/>
            <w:vAlign w:val="bottom"/>
          </w:tcPr>
          <w:p>
            <w:pPr>
              <w:jc w:val="center"/>
              <w:ind w:right="110"/>
              <w:spacing w:after="0" w:line="189" w:lineRule="exact"/>
              <w:rPr>
                <w:sz w:val="20"/>
                <w:szCs w:val="20"/>
                <w:color w:val="auto"/>
              </w:rPr>
            </w:pPr>
            <w:r>
              <w:rPr>
                <w:rFonts w:ascii="Times New Roman" w:cs="Times New Roman" w:eastAsia="Times New Roman" w:hAnsi="Times New Roman"/>
                <w:sz w:val="18"/>
                <w:szCs w:val="18"/>
                <w:b w:val="1"/>
                <w:bCs w:val="1"/>
                <w:color w:val="auto"/>
                <w:w w:val="99"/>
              </w:rPr>
              <w:t>be purchased under</w:t>
            </w:r>
          </w:p>
        </w:tc>
        <w:tc>
          <w:tcPr>
            <w:tcW w:w="0" w:type="dxa"/>
            <w:vAlign w:val="bottom"/>
          </w:tcPr>
          <w:p>
            <w:pPr>
              <w:spacing w:after="0"/>
              <w:rPr>
                <w:sz w:val="1"/>
                <w:szCs w:val="1"/>
                <w:color w:val="auto"/>
              </w:rPr>
            </w:pPr>
          </w:p>
        </w:tc>
      </w:tr>
      <w:tr>
        <w:trPr>
          <w:trHeight w:val="175"/>
        </w:trPr>
        <w:tc>
          <w:tcPr>
            <w:tcW w:w="2520" w:type="dxa"/>
            <w:vAlign w:val="bottom"/>
            <w:vMerge w:val="restart"/>
          </w:tcPr>
          <w:p>
            <w:pPr>
              <w:ind w:left="102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520" w:type="dxa"/>
            <w:vAlign w:val="bottom"/>
          </w:tcPr>
          <w:p>
            <w:pPr>
              <w:jc w:val="center"/>
              <w:ind w:left="630"/>
              <w:spacing w:after="0" w:line="176" w:lineRule="exact"/>
              <w:rPr>
                <w:sz w:val="20"/>
                <w:szCs w:val="20"/>
                <w:color w:val="auto"/>
              </w:rPr>
            </w:pPr>
            <w:r>
              <w:rPr>
                <w:rFonts w:ascii="Times New Roman" w:cs="Times New Roman" w:eastAsia="Times New Roman" w:hAnsi="Times New Roman"/>
                <w:sz w:val="18"/>
                <w:szCs w:val="18"/>
                <w:b w:val="1"/>
                <w:bCs w:val="1"/>
                <w:color w:val="auto"/>
                <w:w w:val="99"/>
              </w:rPr>
              <w:t>of shares</w:t>
            </w:r>
          </w:p>
        </w:tc>
        <w:tc>
          <w:tcPr>
            <w:tcW w:w="6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980" w:type="dxa"/>
            <w:vAlign w:val="bottom"/>
            <w:vMerge w:val="continue"/>
          </w:tcPr>
          <w:p>
            <w:pPr>
              <w:spacing w:after="0"/>
              <w:rPr>
                <w:sz w:val="15"/>
                <w:szCs w:val="15"/>
                <w:color w:val="auto"/>
              </w:rPr>
            </w:pPr>
          </w:p>
        </w:tc>
        <w:tc>
          <w:tcPr>
            <w:tcW w:w="2260" w:type="dxa"/>
            <w:vAlign w:val="bottom"/>
          </w:tcPr>
          <w:p>
            <w:pPr>
              <w:jc w:val="center"/>
              <w:ind w:right="250"/>
              <w:spacing w:after="0" w:line="176" w:lineRule="exact"/>
              <w:rPr>
                <w:sz w:val="20"/>
                <w:szCs w:val="20"/>
                <w:color w:val="auto"/>
              </w:rPr>
            </w:pPr>
            <w:r>
              <w:rPr>
                <w:rFonts w:ascii="Times New Roman" w:cs="Times New Roman" w:eastAsia="Times New Roman" w:hAnsi="Times New Roman"/>
                <w:sz w:val="18"/>
                <w:szCs w:val="18"/>
                <w:b w:val="1"/>
                <w:bCs w:val="1"/>
                <w:color w:val="auto"/>
              </w:rPr>
              <w:t>announced plans or</w:t>
            </w:r>
          </w:p>
        </w:tc>
        <w:tc>
          <w:tcPr>
            <w:tcW w:w="1960" w:type="dxa"/>
            <w:vAlign w:val="bottom"/>
          </w:tcPr>
          <w:p>
            <w:pPr>
              <w:jc w:val="center"/>
              <w:ind w:right="130"/>
              <w:spacing w:after="0" w:line="176" w:lineRule="exact"/>
              <w:rPr>
                <w:sz w:val="20"/>
                <w:szCs w:val="20"/>
                <w:color w:val="auto"/>
              </w:rPr>
            </w:pPr>
            <w:r>
              <w:rPr>
                <w:rFonts w:ascii="Times New Roman" w:cs="Times New Roman" w:eastAsia="Times New Roman" w:hAnsi="Times New Roman"/>
                <w:sz w:val="18"/>
                <w:szCs w:val="18"/>
                <w:b w:val="1"/>
                <w:bCs w:val="1"/>
                <w:color w:val="auto"/>
                <w:w w:val="98"/>
              </w:rPr>
              <w:t>the plans or</w:t>
            </w:r>
          </w:p>
        </w:tc>
        <w:tc>
          <w:tcPr>
            <w:tcW w:w="0" w:type="dxa"/>
            <w:vAlign w:val="bottom"/>
          </w:tcPr>
          <w:p>
            <w:pPr>
              <w:spacing w:after="0"/>
              <w:rPr>
                <w:sz w:val="1"/>
                <w:szCs w:val="1"/>
                <w:color w:val="auto"/>
              </w:rPr>
            </w:pPr>
          </w:p>
        </w:tc>
      </w:tr>
      <w:tr>
        <w:trPr>
          <w:trHeight w:val="243"/>
        </w:trPr>
        <w:tc>
          <w:tcPr>
            <w:tcW w:w="2520" w:type="dxa"/>
            <w:vAlign w:val="bottom"/>
            <w:tcBorders>
              <w:bottom w:val="single" w:sz="8" w:color="auto"/>
            </w:tcBorders>
            <w:vMerge w:val="continue"/>
          </w:tcPr>
          <w:p>
            <w:pPr>
              <w:spacing w:after="0"/>
              <w:rPr>
                <w:sz w:val="21"/>
                <w:szCs w:val="21"/>
                <w:color w:val="auto"/>
              </w:rPr>
            </w:pPr>
          </w:p>
        </w:tc>
        <w:tc>
          <w:tcPr>
            <w:tcW w:w="1520" w:type="dxa"/>
            <w:vAlign w:val="bottom"/>
            <w:tcBorders>
              <w:bottom w:val="single" w:sz="8" w:color="auto"/>
            </w:tcBorders>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9"/>
              </w:rPr>
              <w:t>purchased</w:t>
            </w:r>
          </w:p>
        </w:tc>
        <w:tc>
          <w:tcPr>
            <w:tcW w:w="66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980" w:type="dxa"/>
            <w:vAlign w:val="bottom"/>
            <w:tcBorders>
              <w:bottom w:val="single" w:sz="8" w:color="auto"/>
            </w:tcBorders>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9"/>
              </w:rPr>
              <w:t>paid per share</w:t>
            </w:r>
          </w:p>
        </w:tc>
        <w:tc>
          <w:tcPr>
            <w:tcW w:w="226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rPr>
              <w:t>programs</w:t>
            </w:r>
          </w:p>
        </w:tc>
        <w:tc>
          <w:tcPr>
            <w:tcW w:w="196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programs</w:t>
            </w:r>
          </w:p>
        </w:tc>
        <w:tc>
          <w:tcPr>
            <w:tcW w:w="0" w:type="dxa"/>
            <w:vAlign w:val="bottom"/>
          </w:tcPr>
          <w:p>
            <w:pPr>
              <w:spacing w:after="0"/>
              <w:rPr>
                <w:sz w:val="1"/>
                <w:szCs w:val="1"/>
                <w:color w:val="auto"/>
              </w:rPr>
            </w:pPr>
          </w:p>
        </w:tc>
      </w:tr>
      <w:tr>
        <w:trPr>
          <w:trHeight w:val="223"/>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 1 - July 27</w:t>
            </w:r>
          </w:p>
        </w:tc>
        <w:tc>
          <w:tcPr>
            <w:tcW w:w="15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74.42</w:t>
            </w:r>
          </w:p>
        </w:tc>
        <w:tc>
          <w:tcPr>
            <w:tcW w:w="2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550,002,247</w:t>
            </w:r>
          </w:p>
        </w:tc>
        <w:tc>
          <w:tcPr>
            <w:tcW w:w="0" w:type="dxa"/>
            <w:vAlign w:val="bottom"/>
          </w:tcPr>
          <w:p>
            <w:pPr>
              <w:spacing w:after="0"/>
              <w:rPr>
                <w:sz w:val="1"/>
                <w:szCs w:val="1"/>
                <w:color w:val="auto"/>
              </w:rPr>
            </w:pPr>
          </w:p>
        </w:tc>
      </w:tr>
      <w:tr>
        <w:trPr>
          <w:trHeight w:val="230"/>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July 28 - August 24</w:t>
            </w:r>
          </w:p>
        </w:tc>
        <w:tc>
          <w:tcPr>
            <w:tcW w:w="15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14,109</w:t>
            </w:r>
          </w:p>
        </w:tc>
        <w:tc>
          <w:tcPr>
            <w:tcW w:w="340" w:type="dxa"/>
            <w:vAlign w:val="bottom"/>
          </w:tcPr>
          <w:p>
            <w:pPr>
              <w:spacing w:after="0"/>
              <w:rPr>
                <w:sz w:val="19"/>
                <w:szCs w:val="19"/>
                <w:color w:val="auto"/>
              </w:rPr>
            </w:pPr>
          </w:p>
        </w:tc>
        <w:tc>
          <w:tcPr>
            <w:tcW w:w="19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87.85</w:t>
            </w:r>
          </w:p>
        </w:tc>
        <w:tc>
          <w:tcPr>
            <w:tcW w:w="22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550,002,247</w:t>
            </w:r>
          </w:p>
        </w:tc>
        <w:tc>
          <w:tcPr>
            <w:tcW w:w="0" w:type="dxa"/>
            <w:vAlign w:val="bottom"/>
          </w:tcPr>
          <w:p>
            <w:pPr>
              <w:spacing w:after="0"/>
              <w:rPr>
                <w:sz w:val="1"/>
                <w:szCs w:val="1"/>
                <w:color w:val="auto"/>
              </w:rPr>
            </w:pPr>
          </w:p>
        </w:tc>
      </w:tr>
      <w:tr>
        <w:trPr>
          <w:trHeight w:val="229"/>
        </w:trPr>
        <w:tc>
          <w:tcPr>
            <w:tcW w:w="25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August 25 - September 30</w:t>
            </w:r>
          </w:p>
        </w:tc>
        <w:tc>
          <w:tcPr>
            <w:tcW w:w="15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553,180</w:t>
            </w:r>
          </w:p>
        </w:tc>
        <w:tc>
          <w:tcPr>
            <w:tcW w:w="34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90.85</w:t>
            </w:r>
          </w:p>
        </w:tc>
        <w:tc>
          <w:tcPr>
            <w:tcW w:w="226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550,226</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500,002,264</w:t>
            </w:r>
          </w:p>
        </w:tc>
        <w:tc>
          <w:tcPr>
            <w:tcW w:w="0" w:type="dxa"/>
            <w:vAlign w:val="bottom"/>
          </w:tcPr>
          <w:p>
            <w:pPr>
              <w:spacing w:after="0"/>
              <w:rPr>
                <w:sz w:val="1"/>
                <w:szCs w:val="1"/>
                <w:color w:val="auto"/>
              </w:rPr>
            </w:pPr>
          </w:p>
        </w:tc>
      </w:tr>
      <w:tr>
        <w:trPr>
          <w:trHeight w:val="223"/>
        </w:trPr>
        <w:tc>
          <w:tcPr>
            <w:tcW w:w="2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5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567,457</w:t>
            </w:r>
          </w:p>
        </w:tc>
        <w:tc>
          <w:tcPr>
            <w:tcW w:w="34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550,226</w:t>
            </w:r>
          </w:p>
        </w:tc>
        <w:tc>
          <w:tcPr>
            <w:tcW w:w="19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5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340" w:hanging="332"/>
        <w:spacing w:after="0" w:line="263" w:lineRule="auto"/>
        <w:tabs>
          <w:tab w:leader="none" w:pos="331"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purchases in this column include 168 shares for the period July 1 - July 27, 14,109 shares for the period July 28 - August 24 and 2,954 shares for the period August 25 - September 30 deemed surrendered to us by participants in our equity incentive plans to satisfy the exercise price or withholding of tax obligations related to the exercise of stock options and vesting of restricted and performance shares.</w:t>
      </w:r>
    </w:p>
    <w:p>
      <w:pPr>
        <w:spacing w:after="0" w:line="137" w:lineRule="exact"/>
        <w:rPr>
          <w:rFonts w:ascii="Times New Roman" w:cs="Times New Roman" w:eastAsia="Times New Roman" w:hAnsi="Times New Roman"/>
          <w:sz w:val="16"/>
          <w:szCs w:val="16"/>
          <w:color w:val="auto"/>
        </w:rPr>
      </w:pPr>
    </w:p>
    <w:p>
      <w:pPr>
        <w:ind w:left="340" w:hanging="332"/>
        <w:spacing w:after="0" w:line="280" w:lineRule="auto"/>
        <w:tabs>
          <w:tab w:leader="none" w:pos="34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average price paid in this column includes shares deemed surrendered to us by participants in our equity incentive plans to satisfy the exercise price for the exercise price of stock options and withholding tax obligations due upon stock option exercises and vesting of restricted and performance shares.</w:t>
      </w:r>
    </w:p>
    <w:p>
      <w:pPr>
        <w:spacing w:after="0" w:line="124" w:lineRule="exact"/>
        <w:rPr>
          <w:rFonts w:ascii="Times New Roman" w:cs="Times New Roman" w:eastAsia="Times New Roman" w:hAnsi="Times New Roman"/>
          <w:sz w:val="16"/>
          <w:szCs w:val="16"/>
          <w:color w:val="auto"/>
        </w:rPr>
      </w:pPr>
    </w:p>
    <w:p>
      <w:pPr>
        <w:ind w:left="340" w:hanging="332"/>
        <w:spacing w:after="0" w:line="280" w:lineRule="auto"/>
        <w:tabs>
          <w:tab w:leader="none" w:pos="331"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number of shares in this column represents the number of shares repurchased as part of our publicly announced plans to repurchase our ordinary shares up to the maximum dollar limit authorized by the Board of Directors, discussed below.</w:t>
      </w:r>
    </w:p>
    <w:p>
      <w:pPr>
        <w:spacing w:after="0" w:line="110" w:lineRule="exact"/>
        <w:rPr>
          <w:rFonts w:ascii="Times New Roman" w:cs="Times New Roman" w:eastAsia="Times New Roman" w:hAnsi="Times New Roman"/>
          <w:sz w:val="16"/>
          <w:szCs w:val="16"/>
          <w:color w:val="auto"/>
        </w:rPr>
      </w:pPr>
    </w:p>
    <w:p>
      <w:pPr>
        <w:jc w:val="both"/>
        <w:ind w:left="340" w:hanging="332"/>
        <w:spacing w:after="0" w:line="272" w:lineRule="auto"/>
        <w:tabs>
          <w:tab w:leader="none" w:pos="34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December 2020, the Board of Directors authorized the repurchase of our ordinary shares up to a maximum dollar limit of $750.0 million. This authorization expires on December 31, 2025. As of September 30, 2024, we had $500.0 million remaining availability for repurchases under this authorization. From time to time, we may enter into a Rule 10b5-1 trading plan for the purpose of repurchasing shares under this authorization.</w:t>
      </w:r>
    </w:p>
    <w:p>
      <w:pPr>
        <w:spacing w:after="0" w:line="284"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175" w:lineRule="exact"/>
        <w:rPr>
          <w:sz w:val="20"/>
          <w:szCs w:val="20"/>
          <w:color w:val="auto"/>
        </w:rPr>
      </w:pPr>
    </w:p>
    <w:p>
      <w:pPr>
        <w:ind w:left="340" w:hanging="332"/>
        <w:spacing w:after="0" w:line="282" w:lineRule="auto"/>
        <w:tabs>
          <w:tab w:leader="none" w:pos="337"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third quarter of 2024, none of our directors or Section 16 officers adopted or terminated a “Rule 10b5-1 trading arrangement” or “non-Rule 10b5-1 trading arrangement” (as each term is defined in Item 408(a) of Regulation S-K), except as set forth in the table below.</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4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(a)</w:t>
            </w:r>
          </w:p>
        </w:tc>
        <w:tc>
          <w:tcPr>
            <w:tcW w:w="1860" w:type="dxa"/>
            <w:vAlign w:val="bottom"/>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(b)</w:t>
            </w:r>
          </w:p>
        </w:tc>
        <w:tc>
          <w:tcPr>
            <w:tcW w:w="2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2200" w:type="dxa"/>
            <w:vAlign w:val="bottom"/>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Name and Title</w:t>
            </w: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Action Taken</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2040" w:type="dxa"/>
            <w:vAlign w:val="bottom"/>
          </w:tcPr>
          <w:p>
            <w:pPr>
              <w:jc w:val="center"/>
              <w:ind w:left="170"/>
              <w:spacing w:after="0" w:line="184" w:lineRule="exact"/>
              <w:rPr>
                <w:sz w:val="20"/>
                <w:szCs w:val="20"/>
                <w:color w:val="auto"/>
              </w:rPr>
            </w:pPr>
            <w:r>
              <w:rPr>
                <w:rFonts w:ascii="Times New Roman" w:cs="Times New Roman" w:eastAsia="Times New Roman" w:hAnsi="Times New Roman"/>
                <w:sz w:val="18"/>
                <w:szCs w:val="18"/>
                <w:b w:val="1"/>
                <w:bCs w:val="1"/>
                <w:color w:val="auto"/>
                <w:w w:val="96"/>
              </w:rPr>
              <w:t>Type of Trading</w:t>
            </w:r>
          </w:p>
        </w:tc>
        <w:tc>
          <w:tcPr>
            <w:tcW w:w="1860" w:type="dxa"/>
            <w:vAlign w:val="bottom"/>
          </w:tcPr>
          <w:p>
            <w:pPr>
              <w:jc w:val="center"/>
              <w:ind w:left="130"/>
              <w:spacing w:after="0" w:line="184" w:lineRule="exact"/>
              <w:rPr>
                <w:sz w:val="20"/>
                <w:szCs w:val="20"/>
                <w:color w:val="auto"/>
              </w:rPr>
            </w:pPr>
            <w:r>
              <w:rPr>
                <w:rFonts w:ascii="Times New Roman" w:cs="Times New Roman" w:eastAsia="Times New Roman" w:hAnsi="Times New Roman"/>
                <w:sz w:val="18"/>
                <w:szCs w:val="18"/>
                <w:b w:val="1"/>
                <w:bCs w:val="1"/>
                <w:color w:val="auto"/>
                <w:w w:val="99"/>
              </w:rPr>
              <w:t>Duration of Trading</w:t>
            </w:r>
          </w:p>
        </w:tc>
        <w:tc>
          <w:tcPr>
            <w:tcW w:w="282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rPr>
              <w:t>Aggregate Number of Shares to be</w:t>
            </w:r>
          </w:p>
        </w:tc>
        <w:tc>
          <w:tcPr>
            <w:tcW w:w="0" w:type="dxa"/>
            <w:vAlign w:val="bottom"/>
          </w:tcPr>
          <w:p>
            <w:pPr>
              <w:spacing w:after="0"/>
              <w:rPr>
                <w:sz w:val="1"/>
                <w:szCs w:val="1"/>
                <w:color w:val="auto"/>
              </w:rPr>
            </w:pPr>
          </w:p>
        </w:tc>
      </w:tr>
      <w:tr>
        <w:trPr>
          <w:trHeight w:val="243"/>
        </w:trPr>
        <w:tc>
          <w:tcPr>
            <w:tcW w:w="2200" w:type="dxa"/>
            <w:vAlign w:val="bottom"/>
            <w:tcBorders>
              <w:bottom w:val="single" w:sz="8" w:color="auto"/>
            </w:tcBorders>
            <w:vMerge w:val="continue"/>
          </w:tcPr>
          <w:p>
            <w:pPr>
              <w:spacing w:after="0"/>
              <w:rPr>
                <w:sz w:val="21"/>
                <w:szCs w:val="21"/>
                <w:color w:val="auto"/>
              </w:rPr>
            </w:pPr>
          </w:p>
        </w:tc>
        <w:tc>
          <w:tcPr>
            <w:tcW w:w="1240" w:type="dxa"/>
            <w:vAlign w:val="bottom"/>
            <w:tcBorders>
              <w:bottom w:val="single" w:sz="8" w:color="auto"/>
            </w:tcBorders>
            <w:vMerge w:val="continue"/>
          </w:tcPr>
          <w:p>
            <w:pPr>
              <w:spacing w:after="0"/>
              <w:rPr>
                <w:sz w:val="21"/>
                <w:szCs w:val="21"/>
                <w:color w:val="auto"/>
              </w:rPr>
            </w:pPr>
          </w:p>
        </w:tc>
        <w:tc>
          <w:tcPr>
            <w:tcW w:w="1080" w:type="dxa"/>
            <w:vAlign w:val="bottom"/>
            <w:tcBorders>
              <w:bottom w:val="single" w:sz="8" w:color="auto"/>
            </w:tcBorders>
            <w:vMerge w:val="continue"/>
          </w:tcPr>
          <w:p>
            <w:pPr>
              <w:spacing w:after="0"/>
              <w:rPr>
                <w:sz w:val="21"/>
                <w:szCs w:val="21"/>
                <w:color w:val="auto"/>
              </w:rPr>
            </w:pPr>
          </w:p>
        </w:tc>
        <w:tc>
          <w:tcPr>
            <w:tcW w:w="2040" w:type="dxa"/>
            <w:vAlign w:val="bottom"/>
            <w:tcBorders>
              <w:bottom w:val="single" w:sz="8" w:color="auto"/>
            </w:tcBorders>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9"/>
              </w:rPr>
              <w:t>Arrangement</w:t>
            </w:r>
          </w:p>
        </w:tc>
        <w:tc>
          <w:tcPr>
            <w:tcW w:w="1860" w:type="dxa"/>
            <w:vAlign w:val="bottom"/>
            <w:tcBorders>
              <w:bottom w:val="single" w:sz="8" w:color="auto"/>
            </w:tcBorders>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9"/>
              </w:rPr>
              <w:t>Arrangement</w:t>
            </w:r>
          </w:p>
        </w:tc>
        <w:tc>
          <w:tcPr>
            <w:tcW w:w="2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Sold</w:t>
            </w:r>
          </w:p>
        </w:tc>
        <w:tc>
          <w:tcPr>
            <w:tcW w:w="0" w:type="dxa"/>
            <w:vAlign w:val="bottom"/>
          </w:tcPr>
          <w:p>
            <w:pPr>
              <w:spacing w:after="0"/>
              <w:rPr>
                <w:sz w:val="1"/>
                <w:szCs w:val="1"/>
                <w:color w:val="auto"/>
              </w:rPr>
            </w:pPr>
          </w:p>
        </w:tc>
      </w:tr>
      <w:tr>
        <w:trPr>
          <w:trHeight w:val="169"/>
        </w:trPr>
        <w:tc>
          <w:tcPr>
            <w:tcW w:w="2200" w:type="dxa"/>
            <w:vAlign w:val="bottom"/>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Philip M. Rolchigo,</w:t>
            </w:r>
          </w:p>
        </w:tc>
        <w:tc>
          <w:tcPr>
            <w:tcW w:w="12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040" w:type="dxa"/>
            <w:vAlign w:val="bottom"/>
            <w:vMerge w:val="restart"/>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Rule 10b5-1 trading</w:t>
            </w:r>
          </w:p>
        </w:tc>
        <w:tc>
          <w:tcPr>
            <w:tcW w:w="1860" w:type="dxa"/>
            <w:vAlign w:val="bottom"/>
            <w:shd w:val="clear" w:color="auto" w:fill="CCEEFF"/>
          </w:tcPr>
          <w:p>
            <w:pPr>
              <w:spacing w:after="0"/>
              <w:rPr>
                <w:sz w:val="14"/>
                <w:szCs w:val="14"/>
                <w:color w:val="auto"/>
              </w:rPr>
            </w:pPr>
          </w:p>
        </w:tc>
        <w:tc>
          <w:tcPr>
            <w:tcW w:w="2820" w:type="dxa"/>
            <w:vAlign w:val="bottom"/>
            <w:shd w:val="clear" w:color="auto" w:fill="CCEEFF"/>
          </w:tcPr>
          <w:p>
            <w:pPr>
              <w:ind w:left="60"/>
              <w:spacing w:after="0" w:line="169" w:lineRule="exact"/>
              <w:rPr>
                <w:sz w:val="20"/>
                <w:szCs w:val="20"/>
                <w:color w:val="auto"/>
              </w:rPr>
            </w:pPr>
            <w:r>
              <w:rPr>
                <w:rFonts w:ascii="Times New Roman" w:cs="Times New Roman" w:eastAsia="Times New Roman" w:hAnsi="Times New Roman"/>
                <w:sz w:val="18"/>
                <w:szCs w:val="18"/>
                <w:color w:val="auto"/>
              </w:rPr>
              <w:t>Up to 3,588 shares issuable upon the</w:t>
            </w:r>
          </w:p>
        </w:tc>
        <w:tc>
          <w:tcPr>
            <w:tcW w:w="0" w:type="dxa"/>
            <w:vAlign w:val="bottom"/>
          </w:tcPr>
          <w:p>
            <w:pPr>
              <w:spacing w:after="0"/>
              <w:rPr>
                <w:sz w:val="1"/>
                <w:szCs w:val="1"/>
                <w:color w:val="auto"/>
              </w:rPr>
            </w:pPr>
          </w:p>
        </w:tc>
      </w:tr>
      <w:tr>
        <w:trPr>
          <w:trHeight w:val="175"/>
        </w:trPr>
        <w:tc>
          <w:tcPr>
            <w:tcW w:w="22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Executive Vice President and</w:t>
            </w:r>
          </w:p>
        </w:tc>
        <w:tc>
          <w:tcPr>
            <w:tcW w:w="12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040" w:type="dxa"/>
            <w:vAlign w:val="bottom"/>
            <w:vMerge w:val="continue"/>
            <w:shd w:val="clear" w:color="auto" w:fill="CCEEFF"/>
          </w:tcPr>
          <w:p>
            <w:pPr>
              <w:spacing w:after="0"/>
              <w:rPr>
                <w:sz w:val="15"/>
                <w:szCs w:val="15"/>
                <w:color w:val="auto"/>
              </w:rPr>
            </w:pPr>
          </w:p>
        </w:tc>
        <w:tc>
          <w:tcPr>
            <w:tcW w:w="1860" w:type="dxa"/>
            <w:vAlign w:val="bottom"/>
            <w:shd w:val="clear" w:color="auto" w:fill="CCEEFF"/>
          </w:tcPr>
          <w:p>
            <w:pPr>
              <w:spacing w:after="0"/>
              <w:rPr>
                <w:sz w:val="15"/>
                <w:szCs w:val="15"/>
                <w:color w:val="auto"/>
              </w:rPr>
            </w:pPr>
          </w:p>
        </w:tc>
        <w:tc>
          <w:tcPr>
            <w:tcW w:w="2820" w:type="dxa"/>
            <w:vAlign w:val="bottom"/>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auto"/>
              </w:rPr>
              <w:t>exercise of options to acquire shares</w:t>
            </w:r>
          </w:p>
        </w:tc>
        <w:tc>
          <w:tcPr>
            <w:tcW w:w="0" w:type="dxa"/>
            <w:vAlign w:val="bottom"/>
          </w:tcPr>
          <w:p>
            <w:pPr>
              <w:spacing w:after="0"/>
              <w:rPr>
                <w:sz w:val="1"/>
                <w:szCs w:val="1"/>
                <w:color w:val="auto"/>
              </w:rPr>
            </w:pPr>
          </w:p>
        </w:tc>
      </w:tr>
      <w:tr>
        <w:trPr>
          <w:trHeight w:val="243"/>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Chief Technology Officer</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Adoption</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08/01/2024</w:t>
            </w:r>
          </w:p>
        </w:tc>
        <w:tc>
          <w:tcPr>
            <w:tcW w:w="2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arrangement</w:t>
            </w:r>
          </w:p>
        </w:tc>
        <w:tc>
          <w:tcPr>
            <w:tcW w:w="1860" w:type="dxa"/>
            <w:vAlign w:val="bottom"/>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9"/>
              </w:rPr>
              <w:t>02/28/2025</w:t>
            </w:r>
          </w:p>
        </w:tc>
        <w:tc>
          <w:tcPr>
            <w:tcW w:w="28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pursuant to the trading arrangement</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40" w:hanging="332"/>
        <w:spacing w:after="0"/>
        <w:tabs>
          <w:tab w:leader="none" w:pos="34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trading arrangement marked as a Rule 10b5-1 trading arrangement is intended to satisfy the affirmative defense of Rule 10b5-1(c).</w:t>
      </w:r>
    </w:p>
    <w:p>
      <w:pPr>
        <w:spacing w:after="0" w:line="180" w:lineRule="exact"/>
        <w:rPr>
          <w:rFonts w:ascii="Times New Roman" w:cs="Times New Roman" w:eastAsia="Times New Roman" w:hAnsi="Times New Roman"/>
          <w:sz w:val="16"/>
          <w:szCs w:val="16"/>
          <w:color w:val="auto"/>
        </w:rPr>
      </w:pPr>
    </w:p>
    <w:p>
      <w:pPr>
        <w:ind w:left="340" w:right="20" w:hanging="332"/>
        <w:spacing w:after="0" w:line="280" w:lineRule="auto"/>
        <w:tabs>
          <w:tab w:leader="none" w:pos="38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trading arrangement permits transactions through and including the earlier to occur of the completion of all sales under the trading arrangement or the date listed in the table.</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exhibits listed in the following Exhibit Index are filed as part of this Quarterly Report on Form 10-Q.</w:t>
      </w: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Exhibit Index to Form 10-Q for the Period Ended September 30, 2024</w:t>
      </w:r>
    </w:p>
    <w:p>
      <w:pPr>
        <w:spacing w:after="0" w:line="337" w:lineRule="exact"/>
        <w:rPr>
          <w:sz w:val="20"/>
          <w:szCs w:val="20"/>
          <w:color w:val="auto"/>
        </w:rPr>
      </w:pPr>
    </w:p>
    <w:p>
      <w:pPr>
        <w:ind w:left="940" w:right="120" w:hanging="806"/>
        <w:spacing w:after="0" w:line="237" w:lineRule="auto"/>
        <w:tabs>
          <w:tab w:leader="none" w:pos="940" w:val="left"/>
        </w:tabs>
        <w:numPr>
          <w:ilvl w:val="0"/>
          <w:numId w:val="47"/>
        </w:numPr>
        <w:rPr>
          <w:rFonts w:ascii="Times New Roman" w:cs="Times New Roman" w:eastAsia="Times New Roman" w:hAnsi="Times New Roman"/>
          <w:sz w:val="18"/>
          <w:szCs w:val="18"/>
          <w:b w:val="1"/>
          <w:bCs w:val="1"/>
          <w:u w:val="single" w:color="auto"/>
          <w:color w:val="0000FF"/>
        </w:rPr>
      </w:pPr>
      <w:r>
        <w:rPr>
          <w:rFonts w:ascii="Times New Roman" w:cs="Times New Roman" w:eastAsia="Times New Roman" w:hAnsi="Times New Roman"/>
          <w:sz w:val="18"/>
          <w:szCs w:val="18"/>
          <w:color w:val="auto"/>
        </w:rPr>
        <w:t>List of Guarantors and Subsidiary Issuers of Guaranteed Securities. (Incorporated by reference to Exhibit 22 to the Quarterly Report on Form 10-Q of Pentair plc for the quarter ended September 30, 2022 (File No. 001-11625)).</w:t>
      </w:r>
    </w:p>
    <w:p>
      <w:pPr>
        <w:spacing w:after="0" w:line="6" w:lineRule="exact"/>
        <w:rPr>
          <w:sz w:val="20"/>
          <w:szCs w:val="20"/>
          <w:color w:val="auto"/>
        </w:rPr>
      </w:pPr>
    </w:p>
    <w:p>
      <w:pPr>
        <w:ind w:left="140"/>
        <w:spacing w:after="0"/>
        <w:tabs>
          <w:tab w:leader="none" w:pos="920" w:val="left"/>
        </w:tabs>
        <w:rPr>
          <w:sz w:val="20"/>
          <w:szCs w:val="20"/>
          <w:color w:val="auto"/>
        </w:rPr>
      </w:pPr>
      <w:r>
        <w:rPr>
          <w:rFonts w:ascii="Times New Roman" w:cs="Times New Roman" w:eastAsia="Times New Roman" w:hAnsi="Times New Roman"/>
          <w:sz w:val="18"/>
          <w:szCs w:val="18"/>
          <w:b w:val="1"/>
          <w:bCs w:val="1"/>
          <w:u w:val="single" w:color="auto"/>
          <w:color w:val="0000FF"/>
        </w:rPr>
        <w:t>31.1</w:t>
      </w:r>
      <w:r>
        <w:rPr>
          <w:sz w:val="20"/>
          <w:szCs w:val="20"/>
          <w:color w:val="auto"/>
        </w:rPr>
        <w:tab/>
      </w:r>
      <w:r>
        <w:rPr>
          <w:rFonts w:ascii="Times New Roman" w:cs="Times New Roman" w:eastAsia="Times New Roman" w:hAnsi="Times New Roman"/>
          <w:sz w:val="17"/>
          <w:szCs w:val="17"/>
          <w:color w:val="auto"/>
        </w:rPr>
        <w:t>Certification of Chief Executive Officer.</w:t>
      </w:r>
    </w:p>
    <w:p>
      <w:pPr>
        <w:spacing w:after="0" w:line="31" w:lineRule="exact"/>
        <w:rPr>
          <w:sz w:val="20"/>
          <w:szCs w:val="20"/>
          <w:color w:val="auto"/>
        </w:rPr>
      </w:pPr>
    </w:p>
    <w:p>
      <w:pPr>
        <w:ind w:left="140"/>
        <w:spacing w:after="0"/>
        <w:tabs>
          <w:tab w:leader="none" w:pos="920" w:val="left"/>
        </w:tabs>
        <w:rPr>
          <w:sz w:val="20"/>
          <w:szCs w:val="20"/>
          <w:color w:val="auto"/>
        </w:rPr>
      </w:pPr>
      <w:r>
        <w:rPr>
          <w:rFonts w:ascii="Times New Roman" w:cs="Times New Roman" w:eastAsia="Times New Roman" w:hAnsi="Times New Roman"/>
          <w:sz w:val="18"/>
          <w:szCs w:val="18"/>
          <w:b w:val="1"/>
          <w:bCs w:val="1"/>
          <w:u w:val="single" w:color="auto"/>
          <w:color w:val="0000FF"/>
        </w:rPr>
        <w:t>31.2</w:t>
      </w:r>
      <w:r>
        <w:rPr>
          <w:sz w:val="20"/>
          <w:szCs w:val="20"/>
          <w:color w:val="auto"/>
        </w:rPr>
        <w:tab/>
      </w:r>
      <w:r>
        <w:rPr>
          <w:rFonts w:ascii="Times New Roman" w:cs="Times New Roman" w:eastAsia="Times New Roman" w:hAnsi="Times New Roman"/>
          <w:sz w:val="17"/>
          <w:szCs w:val="17"/>
          <w:color w:val="auto"/>
        </w:rPr>
        <w:t>Certification of Chief Financial Officer.</w:t>
      </w:r>
    </w:p>
    <w:p>
      <w:pPr>
        <w:spacing w:after="0" w:line="23" w:lineRule="exact"/>
        <w:rPr>
          <w:sz w:val="20"/>
          <w:szCs w:val="20"/>
          <w:color w:val="auto"/>
        </w:rPr>
      </w:pPr>
    </w:p>
    <w:p>
      <w:pPr>
        <w:ind w:left="940" w:hanging="782"/>
        <w:spacing w:after="0" w:line="234" w:lineRule="auto"/>
        <w:tabs>
          <w:tab w:leader="none" w:pos="920" w:val="left"/>
        </w:tabs>
        <w:rPr>
          <w:sz w:val="20"/>
          <w:szCs w:val="20"/>
          <w:color w:val="auto"/>
        </w:rPr>
      </w:pPr>
      <w:r>
        <w:rPr>
          <w:rFonts w:ascii="Times New Roman" w:cs="Times New Roman" w:eastAsia="Times New Roman" w:hAnsi="Times New Roman"/>
          <w:sz w:val="18"/>
          <w:szCs w:val="18"/>
          <w:b w:val="1"/>
          <w:bCs w:val="1"/>
          <w:u w:val="single" w:color="auto"/>
          <w:color w:val="0000FF"/>
        </w:rPr>
        <w:t>32.1</w:t>
      </w:r>
      <w:r>
        <w:rPr>
          <w:sz w:val="20"/>
          <w:szCs w:val="20"/>
          <w:color w:val="auto"/>
        </w:rPr>
        <w:tab/>
      </w:r>
      <w:r>
        <w:rPr>
          <w:rFonts w:ascii="Times New Roman" w:cs="Times New Roman" w:eastAsia="Times New Roman" w:hAnsi="Times New Roman"/>
          <w:sz w:val="18"/>
          <w:szCs w:val="18"/>
          <w:color w:val="auto"/>
        </w:rPr>
        <w:t>Certification of Chief Executive Officer, Pursuant to 18 U.S.C. Section 1350, as Adopted Pursuant to Section 906 of the Sarbanes-Oxley Act of 2002.</w:t>
      </w:r>
    </w:p>
    <w:p>
      <w:pPr>
        <w:ind w:left="140"/>
        <w:spacing w:after="0"/>
        <w:tabs>
          <w:tab w:leader="none" w:pos="920" w:val="left"/>
        </w:tabs>
        <w:rPr>
          <w:sz w:val="20"/>
          <w:szCs w:val="20"/>
          <w:color w:val="auto"/>
        </w:rPr>
      </w:pPr>
      <w:r>
        <w:rPr>
          <w:rFonts w:ascii="Times New Roman" w:cs="Times New Roman" w:eastAsia="Times New Roman" w:hAnsi="Times New Roman"/>
          <w:sz w:val="18"/>
          <w:szCs w:val="18"/>
          <w:b w:val="1"/>
          <w:bCs w:val="1"/>
          <w:u w:val="single" w:color="auto"/>
          <w:color w:val="0000FF"/>
        </w:rPr>
        <w:t>32.2</w:t>
      </w:r>
      <w:r>
        <w:rPr>
          <w:sz w:val="20"/>
          <w:szCs w:val="20"/>
          <w:color w:val="auto"/>
        </w:rPr>
        <w:tab/>
      </w:r>
      <w:r>
        <w:rPr>
          <w:rFonts w:ascii="Times New Roman" w:cs="Times New Roman" w:eastAsia="Times New Roman" w:hAnsi="Times New Roman"/>
          <w:sz w:val="17"/>
          <w:szCs w:val="17"/>
          <w:color w:val="auto"/>
        </w:rPr>
        <w:t>Certification of Chief Financial Officer, Pursuant to 18 U.S.C. Section 1350, as Adopted Pursuant to Section 906 of the Sarbanes-Oxley Act of</w:t>
      </w:r>
    </w:p>
    <w:p>
      <w:pPr>
        <w:ind w:left="940"/>
        <w:spacing w:after="0"/>
        <w:rPr>
          <w:sz w:val="20"/>
          <w:szCs w:val="20"/>
          <w:color w:val="auto"/>
        </w:rPr>
      </w:pPr>
      <w:r>
        <w:rPr>
          <w:rFonts w:ascii="Times New Roman" w:cs="Times New Roman" w:eastAsia="Times New Roman" w:hAnsi="Times New Roman"/>
          <w:sz w:val="18"/>
          <w:szCs w:val="18"/>
          <w:color w:val="auto"/>
        </w:rPr>
        <w:t>2002.</w:t>
      </w:r>
    </w:p>
    <w:p>
      <w:pPr>
        <w:spacing w:after="0" w:line="16" w:lineRule="exact"/>
        <w:rPr>
          <w:sz w:val="20"/>
          <w:szCs w:val="20"/>
          <w:color w:val="auto"/>
        </w:rPr>
      </w:pPr>
    </w:p>
    <w:p>
      <w:pPr>
        <w:jc w:val="both"/>
        <w:ind w:left="940" w:hanging="793"/>
        <w:spacing w:after="0" w:line="215" w:lineRule="auto"/>
        <w:tabs>
          <w:tab w:leader="none" w:pos="94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materials from Pentair plc’s Quarterly Report on Form 10-Q for the quarter ended September 30, 2024 are filed herewith, formatted in iXBRL (Inline Extensible Business Reporting Language): (i) the Condensed Consolidated Statements of Operations and Comprehensive Income for the three and nine months ended September 30, 2024 and 2023, (ii) the Condensed Consolidated Balance Sheets as of September 30, 2024 and December 31, 2023, (iii) the Condensed Consolidated Statements of Cash Flows for the nine months ended September 30, 2024 and 2023, (iv) the Condensed Consolidated Statements of Changes in Equity for the three and nine months ended September 30, 2024 and 2023, (v) Notes to Condensed Consolidated Financial Statements, and (vi) the information included in Part II, Item 5(c). The instance document does not appear in the interactive data file because its XBRL tags are embedded within the Inline XBRL document.</w:t>
      </w:r>
    </w:p>
    <w:p>
      <w:pPr>
        <w:spacing w:after="0" w:line="15" w:lineRule="exact"/>
        <w:rPr>
          <w:sz w:val="20"/>
          <w:szCs w:val="20"/>
          <w:color w:val="auto"/>
        </w:rPr>
      </w:pPr>
    </w:p>
    <w:p>
      <w:pPr>
        <w:ind w:left="940" w:hanging="793"/>
        <w:spacing w:after="0"/>
        <w:tabs>
          <w:tab w:leader="none" w:pos="94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307" w:lineRule="exact"/>
        <w:rPr>
          <w:rFonts w:ascii="Times New Roman" w:cs="Times New Roman" w:eastAsia="Times New Roman" w:hAnsi="Times New Roman"/>
          <w:sz w:val="18"/>
          <w:szCs w:val="18"/>
          <w:b w:val="1"/>
          <w:bCs w:val="1"/>
          <w:color w:val="auto"/>
        </w:rPr>
      </w:pPr>
    </w:p>
    <w:p>
      <w:pPr>
        <w:ind w:left="55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-1070610</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 on October 22, 2024.</w:t>
      </w:r>
    </w:p>
    <w:p>
      <w:pPr>
        <w:spacing w:after="0" w:line="200" w:lineRule="exact"/>
        <w:rPr>
          <w:sz w:val="20"/>
          <w:szCs w:val="20"/>
          <w:color w:val="auto"/>
        </w:rPr>
      </w:pPr>
    </w:p>
    <w:p>
      <w:pPr>
        <w:spacing w:after="0" w:line="340"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8"/>
          <w:szCs w:val="18"/>
          <w:color w:val="auto"/>
        </w:rPr>
        <w:t>Pentair plc</w:t>
      </w:r>
    </w:p>
    <w:p>
      <w:pPr>
        <w:spacing w:after="0" w:line="27"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8"/>
          <w:szCs w:val="18"/>
          <w:color w:val="auto"/>
        </w:rPr>
        <w:t>Registrant</w:t>
      </w:r>
    </w:p>
    <w:p>
      <w:pPr>
        <w:spacing w:after="0" w:line="288"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8"/>
          <w:szCs w:val="18"/>
          <w:color w:val="auto"/>
        </w:rPr>
        <w:t>By /s/ Robert P. Fishman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4248150</wp:posOffset>
            </wp:positionH>
            <wp:positionV relativeFrom="paragraph">
              <wp:posOffset>17145</wp:posOffset>
            </wp:positionV>
            <wp:extent cx="287210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872105" cy="8255"/>
                    </a:xfrm>
                    <a:prstGeom prst="rect">
                      <a:avLst/>
                    </a:prstGeom>
                    <a:noFill/>
                  </pic:spPr>
                </pic:pic>
              </a:graphicData>
            </a:graphic>
          </wp:anchor>
        </w:drawing>
      </w:r>
    </w:p>
    <w:p>
      <w:pPr>
        <w:spacing w:after="0" w:line="16"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8"/>
          <w:szCs w:val="18"/>
          <w:color w:val="auto"/>
        </w:rPr>
        <w:t>Robert P. Fishman</w:t>
      </w:r>
    </w:p>
    <w:p>
      <w:pPr>
        <w:spacing w:after="0" w:line="11"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8"/>
          <w:szCs w:val="18"/>
          <w:color w:val="auto"/>
        </w:rPr>
        <w:t>Executive Vice President, Chief Financial Officer and Chief</w:t>
      </w:r>
    </w:p>
    <w:p>
      <w:pPr>
        <w:ind w:left="6700"/>
        <w:spacing w:after="0"/>
        <w:rPr>
          <w:sz w:val="20"/>
          <w:szCs w:val="20"/>
          <w:color w:val="auto"/>
        </w:rPr>
      </w:pPr>
      <w:r>
        <w:rPr>
          <w:rFonts w:ascii="Times New Roman" w:cs="Times New Roman" w:eastAsia="Times New Roman" w:hAnsi="Times New Roman"/>
          <w:sz w:val="18"/>
          <w:szCs w:val="18"/>
          <w:color w:val="auto"/>
        </w:rPr>
        <w:t>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240"/>
          </w:cols>
          <w:pgMar w:left="320" w:top="118" w:right="3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L. Stauch, certify that:</w:t>
      </w:r>
    </w:p>
    <w:p>
      <w:pPr>
        <w:spacing w:after="0" w:line="252" w:lineRule="exact"/>
        <w:rPr>
          <w:sz w:val="20"/>
          <w:szCs w:val="20"/>
          <w:color w:val="auto"/>
        </w:rPr>
      </w:pPr>
    </w:p>
    <w:p>
      <w:pPr>
        <w:ind w:left="320" w:hanging="312"/>
        <w:spacing w:after="0"/>
        <w:tabs>
          <w:tab w:leader="none" w:pos="3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Pentair plc;</w:t>
      </w:r>
    </w:p>
    <w:p>
      <w:pPr>
        <w:spacing w:after="0" w:line="252" w:lineRule="exact"/>
        <w:rPr>
          <w:rFonts w:ascii="Times New Roman" w:cs="Times New Roman" w:eastAsia="Times New Roman" w:hAnsi="Times New Roman"/>
          <w:sz w:val="18"/>
          <w:szCs w:val="18"/>
          <w:color w:val="auto"/>
        </w:rPr>
      </w:pPr>
    </w:p>
    <w:p>
      <w:pPr>
        <w:jc w:val="both"/>
        <w:ind w:left="260" w:hanging="252"/>
        <w:spacing w:after="0" w:line="282" w:lineRule="auto"/>
        <w:tabs>
          <w:tab w:leader="none" w:pos="391"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8" w:lineRule="exact"/>
        <w:rPr>
          <w:rFonts w:ascii="Times New Roman" w:cs="Times New Roman" w:eastAsia="Times New Roman" w:hAnsi="Times New Roman"/>
          <w:sz w:val="18"/>
          <w:szCs w:val="18"/>
          <w:color w:val="auto"/>
        </w:rPr>
      </w:pPr>
    </w:p>
    <w:p>
      <w:pPr>
        <w:ind w:left="260" w:hanging="252"/>
        <w:spacing w:after="0" w:line="282" w:lineRule="auto"/>
        <w:tabs>
          <w:tab w:leader="none" w:pos="397"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left="260" w:hanging="252"/>
        <w:spacing w:after="0" w:line="266" w:lineRule="auto"/>
        <w:tabs>
          <w:tab w:leader="none" w:pos="44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jc w:val="both"/>
        <w:ind w:left="500" w:hanging="249"/>
        <w:spacing w:after="0" w:line="266" w:lineRule="auto"/>
        <w:tabs>
          <w:tab w:leader="none" w:pos="657"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left="500" w:hanging="249"/>
        <w:spacing w:after="0" w:line="266" w:lineRule="auto"/>
        <w:tabs>
          <w:tab w:leader="none" w:pos="732"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500" w:hanging="249"/>
        <w:spacing w:after="0" w:line="282" w:lineRule="auto"/>
        <w:tabs>
          <w:tab w:leader="none" w:pos="577"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500" w:hanging="249"/>
        <w:spacing w:after="0" w:line="266" w:lineRule="auto"/>
        <w:tabs>
          <w:tab w:leader="none" w:pos="593"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260" w:hanging="252"/>
        <w:spacing w:after="0" w:line="282" w:lineRule="auto"/>
        <w:tabs>
          <w:tab w:leader="none" w:pos="383"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500" w:hanging="249"/>
        <w:spacing w:after="0" w:line="282" w:lineRule="auto"/>
        <w:tabs>
          <w:tab w:leader="none" w:pos="63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500" w:hanging="249"/>
        <w:spacing w:after="0" w:line="273" w:lineRule="auto"/>
        <w:tabs>
          <w:tab w:leader="none" w:pos="631"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 w:lineRule="exact"/>
        <w:rPr>
          <w:sz w:val="20"/>
          <w:szCs w:val="20"/>
          <w:color w:val="auto"/>
        </w:rPr>
      </w:pPr>
    </w:p>
    <w:tbl>
      <w:tblPr>
        <w:tblLayout w:type="fixed"/>
        <w:tblInd w:w="260" w:type="dxa"/>
        <w:tblCellMar>
          <w:top w:w="0" w:type="dxa"/>
          <w:left w:w="0" w:type="dxa"/>
          <w:bottom w:w="0" w:type="dxa"/>
          <w:right w:w="0" w:type="dxa"/>
        </w:tblCellMar>
      </w:tblPr>
      <w:tr>
        <w:trPr>
          <w:trHeight w:val="234"/>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22, 2024</w:t>
            </w:r>
          </w:p>
        </w:tc>
        <w:tc>
          <w:tcPr>
            <w:tcW w:w="5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John L. Stauch</w:t>
            </w:r>
          </w:p>
        </w:tc>
      </w:tr>
      <w:tr>
        <w:trPr>
          <w:trHeight w:val="218"/>
        </w:trPr>
        <w:tc>
          <w:tcPr>
            <w:tcW w:w="5200" w:type="dxa"/>
            <w:vAlign w:val="bottom"/>
          </w:tcPr>
          <w:p>
            <w:pPr>
              <w:spacing w:after="0"/>
              <w:rPr>
                <w:sz w:val="18"/>
                <w:szCs w:val="18"/>
                <w:color w:val="auto"/>
              </w:rPr>
            </w:pP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John L. Stauch</w:t>
            </w:r>
          </w:p>
        </w:tc>
      </w:tr>
      <w:tr>
        <w:trPr>
          <w:trHeight w:val="234"/>
        </w:trPr>
        <w:tc>
          <w:tcPr>
            <w:tcW w:w="5200" w:type="dxa"/>
            <w:vAlign w:val="bottom"/>
          </w:tcPr>
          <w:p>
            <w:pPr>
              <w:spacing w:after="0"/>
              <w:rPr>
                <w:sz w:val="20"/>
                <w:szCs w:val="20"/>
                <w:color w:val="auto"/>
              </w:rPr>
            </w:pP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ectPr>
          <w:pgSz w:w="11900" w:h="16838" w:orient="portrait"/>
          <w:cols w:equalWidth="0" w:num="1">
            <w:col w:w="11240"/>
          </w:cols>
          <w:pgMar w:left="320" w:top="887"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P. Fishman, certify that:</w:t>
      </w:r>
    </w:p>
    <w:p>
      <w:pPr>
        <w:spacing w:after="0" w:line="252" w:lineRule="exact"/>
        <w:rPr>
          <w:sz w:val="20"/>
          <w:szCs w:val="20"/>
          <w:color w:val="auto"/>
        </w:rPr>
      </w:pPr>
    </w:p>
    <w:p>
      <w:pPr>
        <w:ind w:left="320" w:hanging="312"/>
        <w:spacing w:after="0"/>
        <w:tabs>
          <w:tab w:leader="none" w:pos="3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Pentair plc;</w:t>
      </w:r>
    </w:p>
    <w:p>
      <w:pPr>
        <w:spacing w:after="0" w:line="252" w:lineRule="exact"/>
        <w:rPr>
          <w:rFonts w:ascii="Times New Roman" w:cs="Times New Roman" w:eastAsia="Times New Roman" w:hAnsi="Times New Roman"/>
          <w:sz w:val="18"/>
          <w:szCs w:val="18"/>
          <w:color w:val="auto"/>
        </w:rPr>
      </w:pPr>
    </w:p>
    <w:p>
      <w:pPr>
        <w:jc w:val="both"/>
        <w:ind w:left="260" w:hanging="252"/>
        <w:spacing w:after="0" w:line="282" w:lineRule="auto"/>
        <w:tabs>
          <w:tab w:leader="none" w:pos="391"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8" w:lineRule="exact"/>
        <w:rPr>
          <w:rFonts w:ascii="Times New Roman" w:cs="Times New Roman" w:eastAsia="Times New Roman" w:hAnsi="Times New Roman"/>
          <w:sz w:val="18"/>
          <w:szCs w:val="18"/>
          <w:color w:val="auto"/>
        </w:rPr>
      </w:pPr>
    </w:p>
    <w:p>
      <w:pPr>
        <w:ind w:left="260" w:hanging="252"/>
        <w:spacing w:after="0" w:line="282" w:lineRule="auto"/>
        <w:tabs>
          <w:tab w:leader="none" w:pos="397"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left="260" w:hanging="252"/>
        <w:spacing w:after="0" w:line="266" w:lineRule="auto"/>
        <w:tabs>
          <w:tab w:leader="none" w:pos="444"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jc w:val="both"/>
        <w:ind w:left="500" w:hanging="249"/>
        <w:spacing w:after="0" w:line="266" w:lineRule="auto"/>
        <w:tabs>
          <w:tab w:leader="none" w:pos="657"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left="500" w:hanging="249"/>
        <w:spacing w:after="0" w:line="266" w:lineRule="auto"/>
        <w:tabs>
          <w:tab w:leader="none" w:pos="732"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500" w:hanging="249"/>
        <w:spacing w:after="0" w:line="282" w:lineRule="auto"/>
        <w:tabs>
          <w:tab w:leader="none" w:pos="577"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500" w:hanging="249"/>
        <w:spacing w:after="0" w:line="266" w:lineRule="auto"/>
        <w:tabs>
          <w:tab w:leader="none" w:pos="593"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260" w:hanging="252"/>
        <w:spacing w:after="0" w:line="282" w:lineRule="auto"/>
        <w:tabs>
          <w:tab w:leader="none" w:pos="383"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500" w:hanging="249"/>
        <w:spacing w:after="0" w:line="282" w:lineRule="auto"/>
        <w:tabs>
          <w:tab w:leader="none" w:pos="63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500" w:hanging="249"/>
        <w:spacing w:after="0" w:line="273" w:lineRule="auto"/>
        <w:tabs>
          <w:tab w:leader="none" w:pos="631"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22, 2024</w:t>
            </w:r>
          </w:p>
        </w:tc>
        <w:tc>
          <w:tcPr>
            <w:tcW w:w="5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Robert P. Fishman</w:t>
            </w:r>
          </w:p>
        </w:tc>
      </w:tr>
      <w:tr>
        <w:trPr>
          <w:trHeight w:val="218"/>
        </w:trPr>
        <w:tc>
          <w:tcPr>
            <w:tcW w:w="5420" w:type="dxa"/>
            <w:vAlign w:val="bottom"/>
          </w:tcPr>
          <w:p>
            <w:pPr>
              <w:spacing w:after="0"/>
              <w:rPr>
                <w:sz w:val="18"/>
                <w:szCs w:val="18"/>
                <w:color w:val="auto"/>
              </w:rPr>
            </w:pPr>
          </w:p>
        </w:tc>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Robert P. Fishman</w:t>
            </w:r>
          </w:p>
        </w:tc>
      </w:tr>
      <w:tr>
        <w:trPr>
          <w:trHeight w:val="180"/>
        </w:trPr>
        <w:tc>
          <w:tcPr>
            <w:tcW w:w="5420" w:type="dxa"/>
            <w:vAlign w:val="bottom"/>
          </w:tcPr>
          <w:p>
            <w:pPr>
              <w:spacing w:after="0"/>
              <w:rPr>
                <w:sz w:val="15"/>
                <w:szCs w:val="15"/>
                <w:color w:val="auto"/>
              </w:rPr>
            </w:pPr>
          </w:p>
        </w:tc>
        <w:tc>
          <w:tcPr>
            <w:tcW w:w="578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Executive Vice President, Chief Financial Officer and Chief Accounting</w:t>
            </w:r>
          </w:p>
        </w:tc>
      </w:tr>
      <w:tr>
        <w:trPr>
          <w:trHeight w:val="234"/>
        </w:trPr>
        <w:tc>
          <w:tcPr>
            <w:tcW w:w="5420" w:type="dxa"/>
            <w:vAlign w:val="bottom"/>
          </w:tcPr>
          <w:p>
            <w:pPr>
              <w:spacing w:after="0"/>
              <w:rPr>
                <w:sz w:val="20"/>
                <w:szCs w:val="20"/>
                <w:color w:val="auto"/>
              </w:rPr>
            </w:pPr>
          </w:p>
        </w:tc>
        <w:tc>
          <w:tcPr>
            <w:tcW w:w="5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Officer</w:t>
            </w:r>
          </w:p>
        </w:tc>
      </w:tr>
    </w:tbl>
    <w:p>
      <w:pPr>
        <w:sectPr>
          <w:pgSz w:w="11900" w:h="16838" w:orient="portrait"/>
          <w:cols w:equalWidth="0" w:num="1">
            <w:col w:w="11240"/>
          </w:cols>
          <w:pgMar w:left="320" w:top="887"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CEO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Pentair plc (the “Company”) on Form 10-Q for the period ended September 30, 2024 as filed with the Securities and Exchange Commission on the date hereof (the “Report”), I, John L. Stauch, President and Chief Executive Officer of the Company, certify, pursuant to 18 U.S.C. § 1350, as adopted pursuant to Section 906 of the Sarbanes-Oxley Act of 2002, that based on my knowledge:</w:t>
      </w:r>
    </w:p>
    <w:p>
      <w:pPr>
        <w:spacing w:after="0" w:line="203" w:lineRule="exact"/>
        <w:rPr>
          <w:sz w:val="20"/>
          <w:szCs w:val="20"/>
          <w:color w:val="auto"/>
        </w:rPr>
      </w:pPr>
    </w:p>
    <w:p>
      <w:pPr>
        <w:ind w:left="720" w:hanging="388"/>
        <w:spacing w:after="0"/>
        <w:tabs>
          <w:tab w:leader="none" w:pos="7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left="720" w:hanging="388"/>
        <w:spacing w:after="0"/>
        <w:tabs>
          <w:tab w:leader="none" w:pos="7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5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22, 2024</w:t>
            </w:r>
          </w:p>
        </w:tc>
        <w:tc>
          <w:tcPr>
            <w:tcW w:w="5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John L. Stauch</w:t>
            </w:r>
          </w:p>
        </w:tc>
      </w:tr>
      <w:tr>
        <w:trPr>
          <w:trHeight w:val="218"/>
        </w:trPr>
        <w:tc>
          <w:tcPr>
            <w:tcW w:w="5420" w:type="dxa"/>
            <w:vAlign w:val="bottom"/>
          </w:tcPr>
          <w:p>
            <w:pPr>
              <w:spacing w:after="0"/>
              <w:rPr>
                <w:sz w:val="18"/>
                <w:szCs w:val="18"/>
                <w:color w:val="auto"/>
              </w:rPr>
            </w:pPr>
          </w:p>
        </w:tc>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John L. Stauch</w:t>
            </w:r>
          </w:p>
        </w:tc>
      </w:tr>
      <w:tr>
        <w:trPr>
          <w:trHeight w:val="234"/>
        </w:trPr>
        <w:tc>
          <w:tcPr>
            <w:tcW w:w="5420" w:type="dxa"/>
            <w:vAlign w:val="bottom"/>
          </w:tcPr>
          <w:p>
            <w:pPr>
              <w:spacing w:after="0"/>
              <w:rPr>
                <w:sz w:val="20"/>
                <w:szCs w:val="20"/>
                <w:color w:val="auto"/>
              </w:rPr>
            </w:pPr>
          </w:p>
        </w:tc>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ectPr>
          <w:pgSz w:w="11900" w:h="16838" w:orient="portrait"/>
          <w:cols w:equalWidth="0" w:num="1">
            <w:col w:w="11240"/>
          </w:cols>
          <w:pgMar w:left="320" w:top="887"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CFO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Pentair plc (the “Company”) on Form 10-Q for the period ended September 30, 2024 as filed with the Securities and Exchange Commission on the date hereof (the “Report”), I, Robert P. Fishman, Executive Vice President, Chief Financial Officer and Chief Accounting Officer of the Company, certify, pursuant to 18 U.S.C. § 1350, as adopted pursuant to Section 906 of the Sarbanes-Oxley Act of 2002, that based on my knowledge:</w:t>
      </w:r>
    </w:p>
    <w:p>
      <w:pPr>
        <w:spacing w:after="0" w:line="207" w:lineRule="exact"/>
        <w:rPr>
          <w:sz w:val="20"/>
          <w:szCs w:val="20"/>
          <w:color w:val="auto"/>
        </w:rPr>
      </w:pPr>
    </w:p>
    <w:p>
      <w:pPr>
        <w:ind w:left="720" w:hanging="388"/>
        <w:spacing w:after="0"/>
        <w:tabs>
          <w:tab w:leader="none" w:pos="7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left="720" w:hanging="388"/>
        <w:spacing w:after="0"/>
        <w:tabs>
          <w:tab w:leader="none" w:pos="7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5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22, 2024</w:t>
            </w:r>
          </w:p>
        </w:tc>
        <w:tc>
          <w:tcPr>
            <w:tcW w:w="5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Robert P. Fishman</w:t>
            </w:r>
          </w:p>
        </w:tc>
      </w:tr>
      <w:tr>
        <w:trPr>
          <w:trHeight w:val="218"/>
        </w:trPr>
        <w:tc>
          <w:tcPr>
            <w:tcW w:w="5420" w:type="dxa"/>
            <w:vAlign w:val="bottom"/>
          </w:tcPr>
          <w:p>
            <w:pPr>
              <w:spacing w:after="0"/>
              <w:rPr>
                <w:sz w:val="18"/>
                <w:szCs w:val="18"/>
                <w:color w:val="auto"/>
              </w:rPr>
            </w:pPr>
          </w:p>
        </w:tc>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Robert P. Fishman</w:t>
            </w:r>
          </w:p>
        </w:tc>
      </w:tr>
      <w:tr>
        <w:trPr>
          <w:trHeight w:val="180"/>
        </w:trPr>
        <w:tc>
          <w:tcPr>
            <w:tcW w:w="5420" w:type="dxa"/>
            <w:vAlign w:val="bottom"/>
          </w:tcPr>
          <w:p>
            <w:pPr>
              <w:spacing w:after="0"/>
              <w:rPr>
                <w:sz w:val="15"/>
                <w:szCs w:val="15"/>
                <w:color w:val="auto"/>
              </w:rPr>
            </w:pPr>
          </w:p>
        </w:tc>
        <w:tc>
          <w:tcPr>
            <w:tcW w:w="578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Executive Vice President, Chief Financial Officer and Chief Accounting</w:t>
            </w:r>
          </w:p>
        </w:tc>
      </w:tr>
      <w:tr>
        <w:trPr>
          <w:trHeight w:val="234"/>
        </w:trPr>
        <w:tc>
          <w:tcPr>
            <w:tcW w:w="5420" w:type="dxa"/>
            <w:vAlign w:val="bottom"/>
          </w:tcPr>
          <w:p>
            <w:pPr>
              <w:spacing w:after="0"/>
              <w:rPr>
                <w:sz w:val="20"/>
                <w:szCs w:val="20"/>
                <w:color w:val="auto"/>
              </w:rPr>
            </w:pPr>
          </w:p>
        </w:tc>
        <w:tc>
          <w:tcPr>
            <w:tcW w:w="5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Officer</w:t>
            </w:r>
          </w:p>
        </w:tc>
      </w:tr>
    </w:tbl>
    <w:p>
      <w:pPr>
        <w:spacing w:after="0" w:line="1" w:lineRule="exact"/>
        <w:rPr>
          <w:sz w:val="20"/>
          <w:szCs w:val="20"/>
          <w:color w:val="auto"/>
        </w:rPr>
      </w:pP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E49EB4"/>
    <w:multiLevelType w:val="hybridMultilevel"/>
    <w:lvl w:ilvl="0">
      <w:lvlJc w:val="left"/>
      <w:lvlText w:val="☑"/>
      <w:numFmt w:val="bullet"/>
      <w:start w:val="1"/>
    </w:lvl>
  </w:abstractNum>
  <w:abstractNum w:abstractNumId="1">
    <w:nsid w:val="71F32454"/>
    <w:multiLevelType w:val="hybridMultilevel"/>
    <w:lvl w:ilvl="0">
      <w:lvlJc w:val="left"/>
      <w:lvlText w:val="☐"/>
      <w:numFmt w:val="bullet"/>
      <w:start w:val="1"/>
    </w:lvl>
  </w:abstractNum>
  <w:abstractNum w:abstractNumId="2">
    <w:nsid w:val="2CA88611"/>
    <w:multiLevelType w:val="hybridMultilevel"/>
    <w:lvl w:ilvl="0">
      <w:lvlJc w:val="left"/>
      <w:lvlText w:val="%1."/>
      <w:numFmt w:val="decimal"/>
      <w:start w:val="1"/>
    </w:lvl>
  </w:abstractNum>
  <w:abstractNum w:abstractNumId="3">
    <w:nsid w:val="836C40E"/>
    <w:multiLevelType w:val="hybridMultilevel"/>
    <w:lvl w:ilvl="0">
      <w:lvlJc w:val="left"/>
      <w:lvlText w:val="%1."/>
      <w:numFmt w:val="decimal"/>
      <w:start w:val="2"/>
    </w:lvl>
  </w:abstractNum>
  <w:abstractNum w:abstractNumId="4">
    <w:nsid w:val="2901D82"/>
    <w:multiLevelType w:val="hybridMultilevel"/>
    <w:lvl w:ilvl="0">
      <w:lvlJc w:val="left"/>
      <w:lvlText w:val="(%1)"/>
      <w:numFmt w:val="decimal"/>
      <w:start w:val="1"/>
    </w:lvl>
  </w:abstractNum>
  <w:abstractNum w:abstractNumId="5">
    <w:nsid w:val="3A95F874"/>
    <w:multiLevelType w:val="hybridMultilevel"/>
    <w:lvl w:ilvl="0">
      <w:lvlJc w:val="left"/>
      <w:lvlText w:val="%1."/>
      <w:numFmt w:val="decimal"/>
      <w:start w:val="3"/>
    </w:lvl>
  </w:abstractNum>
  <w:abstractNum w:abstractNumId="6">
    <w:nsid w:val="8138641"/>
    <w:multiLevelType w:val="hybridMultilevel"/>
    <w:lvl w:ilvl="0">
      <w:lvlJc w:val="left"/>
      <w:lvlText w:val="(%1)"/>
      <w:numFmt w:val="decimal"/>
      <w:start w:val="1"/>
    </w:lvl>
  </w:abstractNum>
  <w:abstractNum w:abstractNumId="7">
    <w:nsid w:val="1E7FF521"/>
    <w:multiLevelType w:val="hybridMultilevel"/>
    <w:lvl w:ilvl="0">
      <w:lvlJc w:val="left"/>
      <w:lvlText w:val="(%1)"/>
      <w:numFmt w:val="decimal"/>
      <w:start w:val="1"/>
    </w:lvl>
  </w:abstractNum>
  <w:abstractNum w:abstractNumId="8">
    <w:nsid w:val="7C3DBD3D"/>
    <w:multiLevelType w:val="hybridMultilevel"/>
    <w:lvl w:ilvl="0">
      <w:lvlJc w:val="left"/>
      <w:lvlText w:val="%1."/>
      <w:numFmt w:val="decimal"/>
      <w:start w:val="10"/>
    </w:lvl>
  </w:abstractNum>
  <w:abstractNum w:abstractNumId="9">
    <w:nsid w:val="737B8DDC"/>
    <w:multiLevelType w:val="hybridMultilevel"/>
    <w:lvl w:ilvl="0">
      <w:lvlJc w:val="left"/>
      <w:lvlText w:val="•"/>
      <w:numFmt w:val="bullet"/>
      <w:start w:val="1"/>
    </w:lvl>
    <w:lvl w:ilvl="1">
      <w:lvlJc w:val="left"/>
      <w:lvlText w:val="•"/>
      <w:numFmt w:val="bullet"/>
      <w:start w:val="1"/>
    </w:lvl>
  </w:abstractNum>
  <w:abstractNum w:abstractNumId="10">
    <w:nsid w:val="6CEAF087"/>
    <w:multiLevelType w:val="hybridMultilevel"/>
    <w:lvl w:ilvl="0">
      <w:lvlJc w:val="left"/>
      <w:lvlText w:val="%1."/>
      <w:numFmt w:val="decimal"/>
      <w:start w:val="11"/>
    </w:lvl>
  </w:abstractNum>
  <w:abstractNum w:abstractNumId="11">
    <w:nsid w:val="22221A70"/>
    <w:multiLevelType w:val="hybridMultilevel"/>
    <w:lvl w:ilvl="0">
      <w:lvlJc w:val="left"/>
      <w:lvlText w:val="%1."/>
      <w:numFmt w:val="decimal"/>
      <w:start w:val="13"/>
    </w:lvl>
  </w:abstractNum>
  <w:abstractNum w:abstractNumId="12">
    <w:nsid w:val="4516DDE9"/>
    <w:multiLevelType w:val="hybridMultilevel"/>
    <w:lvl w:ilvl="0">
      <w:lvlJc w:val="left"/>
      <w:lvlText w:val="%1."/>
      <w:numFmt w:val="decimal"/>
      <w:start w:val="15"/>
    </w:lvl>
  </w:abstractNum>
  <w:abstractNum w:abstractNumId="13">
    <w:nsid w:val="3006C83E"/>
    <w:multiLevelType w:val="hybridMultilevel"/>
    <w:lvl w:ilvl="0">
      <w:lvlJc w:val="left"/>
      <w:lvlText w:val="•"/>
      <w:numFmt w:val="bullet"/>
      <w:start w:val="1"/>
    </w:lvl>
  </w:abstractNum>
  <w:abstractNum w:abstractNumId="14">
    <w:nsid w:val="614FD4A1"/>
    <w:multiLevelType w:val="hybridMultilevel"/>
    <w:lvl w:ilvl="0">
      <w:lvlJc w:val="left"/>
      <w:lvlText w:val="•"/>
      <w:numFmt w:val="bullet"/>
      <w:start w:val="1"/>
    </w:lvl>
  </w:abstractNum>
  <w:abstractNum w:abstractNumId="15">
    <w:nsid w:val="419AC241"/>
    <w:multiLevelType w:val="hybridMultilevel"/>
    <w:lvl w:ilvl="0">
      <w:lvlJc w:val="left"/>
      <w:lvlText w:val="•"/>
      <w:numFmt w:val="bullet"/>
      <w:start w:val="1"/>
    </w:lvl>
  </w:abstractNum>
  <w:abstractNum w:abstractNumId="16">
    <w:nsid w:val="5577F8E1"/>
    <w:multiLevelType w:val="hybridMultilevel"/>
    <w:lvl w:ilvl="0">
      <w:lvlJc w:val="left"/>
      <w:lvlText w:val="•"/>
      <w:numFmt w:val="bullet"/>
      <w:start w:val="1"/>
    </w:lvl>
    <w:lvl w:ilvl="1">
      <w:lvlJc w:val="left"/>
      <w:lvlText w:val="◦"/>
      <w:numFmt w:val="bullet"/>
      <w:start w:val="1"/>
    </w:lvl>
  </w:abstractNum>
  <w:abstractNum w:abstractNumId="17">
    <w:nsid w:val="440BADFC"/>
    <w:multiLevelType w:val="hybridMultilevel"/>
    <w:lvl w:ilvl="0">
      <w:lvlJc w:val="left"/>
      <w:lvlText w:val="•"/>
      <w:numFmt w:val="bullet"/>
      <w:start w:val="1"/>
    </w:lvl>
  </w:abstractNum>
  <w:abstractNum w:abstractNumId="18">
    <w:nsid w:val="5072367"/>
    <w:multiLevelType w:val="hybridMultilevel"/>
    <w:lvl w:ilvl="0">
      <w:lvlJc w:val="left"/>
      <w:lvlText w:val="•"/>
      <w:numFmt w:val="bullet"/>
      <w:start w:val="1"/>
    </w:lvl>
  </w:abstractNum>
  <w:abstractNum w:abstractNumId="19">
    <w:nsid w:val="3804823E"/>
    <w:multiLevelType w:val="hybridMultilevel"/>
    <w:lvl w:ilvl="0">
      <w:lvlJc w:val="left"/>
      <w:lvlText w:val="•"/>
      <w:numFmt w:val="bullet"/>
      <w:start w:val="1"/>
    </w:lvl>
  </w:abstractNum>
  <w:abstractNum w:abstractNumId="20">
    <w:nsid w:val="77465F01"/>
    <w:multiLevelType w:val="hybridMultilevel"/>
    <w:lvl w:ilvl="0">
      <w:lvlJc w:val="left"/>
      <w:lvlText w:val="•"/>
      <w:numFmt w:val="bullet"/>
      <w:start w:val="1"/>
    </w:lvl>
  </w:abstractNum>
  <w:abstractNum w:abstractNumId="21">
    <w:nsid w:val="7724C67E"/>
    <w:multiLevelType w:val="hybridMultilevel"/>
    <w:lvl w:ilvl="0">
      <w:lvlJc w:val="left"/>
      <w:lvlText w:val="•"/>
      <w:numFmt w:val="bullet"/>
      <w:start w:val="1"/>
    </w:lvl>
  </w:abstractNum>
  <w:abstractNum w:abstractNumId="22">
    <w:nsid w:val="5C482A97"/>
    <w:multiLevelType w:val="hybridMultilevel"/>
    <w:lvl w:ilvl="0">
      <w:lvlJc w:val="left"/>
      <w:lvlText w:val="•"/>
      <w:numFmt w:val="bullet"/>
      <w:start w:val="1"/>
    </w:lvl>
  </w:abstractNum>
  <w:abstractNum w:abstractNumId="23">
    <w:nsid w:val="2463B9EA"/>
    <w:multiLevelType w:val="hybridMultilevel"/>
    <w:lvl w:ilvl="0">
      <w:lvlJc w:val="left"/>
      <w:lvlText w:val="•"/>
      <w:numFmt w:val="bullet"/>
      <w:start w:val="1"/>
    </w:lvl>
  </w:abstractNum>
  <w:abstractNum w:abstractNumId="24">
    <w:nsid w:val="5E884ADC"/>
    <w:multiLevelType w:val="hybridMultilevel"/>
    <w:lvl w:ilvl="0">
      <w:lvlJc w:val="left"/>
      <w:lvlText w:val="•"/>
      <w:numFmt w:val="bullet"/>
      <w:start w:val="1"/>
    </w:lvl>
  </w:abstractNum>
  <w:abstractNum w:abstractNumId="25">
    <w:nsid w:val="51EAD36B"/>
    <w:multiLevelType w:val="hybridMultilevel"/>
    <w:lvl w:ilvl="0">
      <w:lvlJc w:val="left"/>
      <w:lvlText w:val="•"/>
      <w:numFmt w:val="bullet"/>
      <w:start w:val="1"/>
    </w:lvl>
  </w:abstractNum>
  <w:abstractNum w:abstractNumId="26">
    <w:nsid w:val="2D517796"/>
    <w:multiLevelType w:val="hybridMultilevel"/>
    <w:lvl w:ilvl="0">
      <w:lvlJc w:val="left"/>
      <w:lvlText w:val="•"/>
      <w:numFmt w:val="bullet"/>
      <w:start w:val="1"/>
    </w:lvl>
  </w:abstractNum>
  <w:abstractNum w:abstractNumId="27">
    <w:nsid w:val="580BD78F"/>
    <w:multiLevelType w:val="hybridMultilevel"/>
    <w:lvl w:ilvl="0">
      <w:lvlJc w:val="left"/>
      <w:lvlText w:val="•"/>
      <w:numFmt w:val="bullet"/>
      <w:start w:val="1"/>
    </w:lvl>
  </w:abstractNum>
  <w:abstractNum w:abstractNumId="28">
    <w:nsid w:val="153EA438"/>
    <w:multiLevelType w:val="hybridMultilevel"/>
    <w:lvl w:ilvl="0">
      <w:lvlJc w:val="left"/>
      <w:lvlText w:val="•"/>
      <w:numFmt w:val="bullet"/>
      <w:start w:val="1"/>
    </w:lvl>
  </w:abstractNum>
  <w:abstractNum w:abstractNumId="29">
    <w:nsid w:val="3855585C"/>
    <w:multiLevelType w:val="hybridMultilevel"/>
    <w:lvl w:ilvl="0">
      <w:lvlJc w:val="left"/>
      <w:lvlText w:val="•"/>
      <w:numFmt w:val="bullet"/>
      <w:start w:val="1"/>
    </w:lvl>
  </w:abstractNum>
  <w:abstractNum w:abstractNumId="30">
    <w:nsid w:val="70A64E2A"/>
    <w:multiLevelType w:val="hybridMultilevel"/>
    <w:lvl w:ilvl="0">
      <w:lvlJc w:val="left"/>
      <w:lvlText w:val="•"/>
      <w:numFmt w:val="bullet"/>
      <w:start w:val="1"/>
    </w:lvl>
  </w:abstractNum>
  <w:abstractNum w:abstractNumId="31">
    <w:nsid w:val="6A2342EC"/>
    <w:multiLevelType w:val="hybridMultilevel"/>
    <w:lvl w:ilvl="0">
      <w:lvlJc w:val="left"/>
      <w:lvlText w:val="•"/>
      <w:numFmt w:val="bullet"/>
      <w:start w:val="1"/>
    </w:lvl>
  </w:abstractNum>
  <w:abstractNum w:abstractNumId="32">
    <w:nsid w:val="2A487CB0"/>
    <w:multiLevelType w:val="hybridMultilevel"/>
    <w:lvl w:ilvl="0">
      <w:lvlJc w:val="left"/>
      <w:lvlText w:val="•"/>
      <w:numFmt w:val="bullet"/>
      <w:start w:val="1"/>
    </w:lvl>
  </w:abstractNum>
  <w:abstractNum w:abstractNumId="33">
    <w:nsid w:val="1D4ED43B"/>
    <w:multiLevelType w:val="hybridMultilevel"/>
    <w:lvl w:ilvl="0">
      <w:lvlJc w:val="left"/>
      <w:lvlText w:val="•"/>
      <w:numFmt w:val="bullet"/>
      <w:start w:val="1"/>
    </w:lvl>
  </w:abstractNum>
  <w:abstractNum w:abstractNumId="34">
    <w:nsid w:val="725A06FB"/>
    <w:multiLevelType w:val="hybridMultilevel"/>
    <w:lvl w:ilvl="0">
      <w:lvlJc w:val="left"/>
      <w:lvlText w:val="•"/>
      <w:numFmt w:val="bullet"/>
      <w:start w:val="1"/>
    </w:lvl>
  </w:abstractNum>
  <w:abstractNum w:abstractNumId="35">
    <w:nsid w:val="2CD89A32"/>
    <w:multiLevelType w:val="hybridMultilevel"/>
    <w:lvl w:ilvl="0">
      <w:lvlJc w:val="left"/>
      <w:lvlText w:val="•"/>
      <w:numFmt w:val="bullet"/>
      <w:start w:val="1"/>
    </w:lvl>
  </w:abstractNum>
  <w:abstractNum w:abstractNumId="36">
    <w:nsid w:val="57E4CCAF"/>
    <w:multiLevelType w:val="hybridMultilevel"/>
    <w:lvl w:ilvl="0">
      <w:lvlJc w:val="left"/>
      <w:lvlText w:val="•"/>
      <w:numFmt w:val="bullet"/>
      <w:start w:val="1"/>
    </w:lvl>
  </w:abstractNum>
  <w:abstractNum w:abstractNumId="37">
    <w:nsid w:val="7A6D8D3C"/>
    <w:multiLevelType w:val="hybridMultilevel"/>
    <w:lvl w:ilvl="0">
      <w:lvlJc w:val="left"/>
      <w:lvlText w:val="•"/>
      <w:numFmt w:val="bullet"/>
      <w:start w:val="1"/>
    </w:lvl>
  </w:abstractNum>
  <w:abstractNum w:abstractNumId="38">
    <w:nsid w:val="4B588F54"/>
    <w:multiLevelType w:val="hybridMultilevel"/>
    <w:lvl w:ilvl="0">
      <w:lvlJc w:val="left"/>
      <w:lvlText w:val="•"/>
      <w:numFmt w:val="bullet"/>
      <w:start w:val="1"/>
    </w:lvl>
  </w:abstractNum>
  <w:abstractNum w:abstractNumId="39">
    <w:nsid w:val="542289EC"/>
    <w:multiLevelType w:val="hybridMultilevel"/>
    <w:lvl w:ilvl="0">
      <w:lvlJc w:val="left"/>
      <w:lvlText w:val="•"/>
      <w:numFmt w:val="bullet"/>
      <w:start w:val="1"/>
    </w:lvl>
  </w:abstractNum>
  <w:abstractNum w:abstractNumId="40">
    <w:nsid w:val="6DE91B18"/>
    <w:multiLevelType w:val="hybridMultilevel"/>
    <w:lvl w:ilvl="0">
      <w:lvlJc w:val="left"/>
      <w:lvlText w:val="•"/>
      <w:numFmt w:val="bullet"/>
      <w:start w:val="1"/>
    </w:lvl>
  </w:abstractNum>
  <w:abstractNum w:abstractNumId="41">
    <w:nsid w:val="38437FDB"/>
    <w:multiLevelType w:val="hybridMultilevel"/>
    <w:lvl w:ilvl="0">
      <w:lvlJc w:val="left"/>
      <w:lvlText w:val="(%1)"/>
      <w:numFmt w:val="decimal"/>
      <w:start w:val="1"/>
    </w:lvl>
  </w:abstractNum>
  <w:abstractNum w:abstractNumId="42">
    <w:nsid w:val="7644A45C"/>
    <w:multiLevelType w:val="hybridMultilevel"/>
    <w:lvl w:ilvl="0">
      <w:lvlJc w:val="left"/>
      <w:lvlText w:val="(%1)"/>
      <w:numFmt w:val="lowerLetter"/>
      <w:start w:val="1"/>
    </w:lvl>
  </w:abstractNum>
  <w:abstractNum w:abstractNumId="43">
    <w:nsid w:val="32FFF902"/>
    <w:multiLevelType w:val="hybridMultilevel"/>
    <w:lvl w:ilvl="0">
      <w:lvlJc w:val="left"/>
      <w:lvlText w:val="(%1)"/>
      <w:numFmt w:val="lowerLetter"/>
      <w:start w:val="1"/>
    </w:lvl>
  </w:abstractNum>
  <w:abstractNum w:abstractNumId="44">
    <w:nsid w:val="684A481A"/>
    <w:multiLevelType w:val="hybridMultilevel"/>
    <w:lvl w:ilvl="0">
      <w:lvlJc w:val="left"/>
      <w:lvlText w:val="(%1)"/>
      <w:numFmt w:val="lowerLetter"/>
      <w:start w:val="3"/>
    </w:lvl>
  </w:abstractNum>
  <w:abstractNum w:abstractNumId="45">
    <w:nsid w:val="579478FE"/>
    <w:multiLevelType w:val="hybridMultilevel"/>
    <w:lvl w:ilvl="0">
      <w:lvlJc w:val="left"/>
      <w:lvlText w:val="(%1)"/>
      <w:numFmt w:val="lowerLetter"/>
      <w:start w:val="1"/>
    </w:lvl>
  </w:abstractNum>
  <w:abstractNum w:abstractNumId="46">
    <w:nsid w:val="749ABB43"/>
    <w:multiLevelType w:val="hybridMultilevel"/>
    <w:lvl w:ilvl="0">
      <w:lvlJc w:val="left"/>
      <w:lvlText w:val="%1"/>
      <w:numFmt w:val="decimal"/>
      <w:start w:val="22"/>
    </w:lvl>
  </w:abstractNum>
  <w:abstractNum w:abstractNumId="47">
    <w:nsid w:val="3DC240FB"/>
    <w:multiLevelType w:val="hybridMultilevel"/>
    <w:lvl w:ilvl="0">
      <w:lvlJc w:val="left"/>
      <w:lvlText w:val="%1"/>
      <w:numFmt w:val="decimal"/>
      <w:start w:val="101"/>
    </w:lvl>
  </w:abstractNum>
  <w:abstractNum w:abstractNumId="48">
    <w:nsid w:val="1BA026FA"/>
    <w:multiLevelType w:val="hybridMultilevel"/>
    <w:lvl w:ilvl="0">
      <w:lvlJc w:val="left"/>
      <w:lvlText w:val="%1"/>
      <w:numFmt w:val="decimal"/>
      <w:start w:val="104"/>
    </w:lvl>
  </w:abstractNum>
  <w:abstractNum w:abstractNumId="49">
    <w:nsid w:val="79A1DEAA"/>
    <w:multiLevelType w:val="hybridMultilevel"/>
    <w:lvl w:ilvl="0">
      <w:lvlJc w:val="left"/>
      <w:lvlText w:val="%1."/>
      <w:numFmt w:val="decimal"/>
      <w:start w:val="1"/>
    </w:lvl>
    <w:lvl w:ilvl="1">
      <w:lvlJc w:val="left"/>
      <w:lvlText w:val="%2)"/>
      <w:numFmt w:val="lowerLetter"/>
      <w:start w:val="1"/>
    </w:lvl>
  </w:abstractNum>
  <w:abstractNum w:abstractNumId="50">
    <w:nsid w:val="75C6C33A"/>
    <w:multiLevelType w:val="hybridMultilevel"/>
    <w:lvl w:ilvl="0">
      <w:lvlJc w:val="left"/>
      <w:lvlText w:val="%1."/>
      <w:numFmt w:val="decimal"/>
      <w:start w:val="1"/>
    </w:lvl>
    <w:lvl w:ilvl="1">
      <w:lvlJc w:val="left"/>
      <w:lvlText w:val="%2)"/>
      <w:numFmt w:val="lowerLetter"/>
      <w:start w:val="1"/>
    </w:lvl>
  </w:abstractNum>
  <w:abstractNum w:abstractNumId="51">
    <w:nsid w:val="12E685FB"/>
    <w:multiLevelType w:val="hybridMultilevel"/>
    <w:lvl w:ilvl="0">
      <w:lvlJc w:val="left"/>
      <w:lvlText w:val="(%1)"/>
      <w:numFmt w:val="decimal"/>
      <w:start w:val="1"/>
    </w:lvl>
  </w:abstractNum>
  <w:abstractNum w:abstractNumId="52">
    <w:nsid w:val="70C6A52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2024-10-22T15:48:50Z</dcterms:created>
  <dcterms:modified xsi:type="dcterms:W3CDTF">2024-10-22T15:48:50Z</dcterms:modified>
</cp:coreProperties>
</file>