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520700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37"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jc w:val="center"/>
        <w:ind w:left="4300" w:right="1400" w:hanging="4274"/>
        <w:spacing w:after="0" w:line="391" w:lineRule="auto"/>
        <w:tabs>
          <w:tab w:leader="none" w:pos="112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-21590</wp:posOffset>
            </wp:positionV>
            <wp:extent cx="196278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Borders>
              <w:bottom w:val="single" w:sz="8" w:color="auto"/>
            </w:tcBorders>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1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98-1141328</w:t>
            </w:r>
          </w:p>
        </w:tc>
      </w:tr>
      <w:tr>
        <w:trPr>
          <w:trHeight w:val="228"/>
        </w:trPr>
        <w:tc>
          <w:tcPr>
            <w:tcW w:w="5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22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9"/>
        </w:trPr>
        <w:tc>
          <w:tcPr>
            <w:tcW w:w="43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Regal House, 70 London Road,</w:t>
            </w:r>
          </w:p>
        </w:tc>
        <w:tc>
          <w:tcPr>
            <w:tcW w:w="1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Twickenham,</w:t>
            </w:r>
          </w:p>
        </w:tc>
        <w:tc>
          <w:tcPr>
            <w:tcW w:w="1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London,  TW13QS</w:t>
            </w:r>
          </w:p>
        </w:tc>
        <w:tc>
          <w:tcPr>
            <w:tcW w:w="3360" w:type="dxa"/>
            <w:vAlign w:val="bottom"/>
            <w:tcBorders>
              <w:bottom w:val="single" w:sz="8" w:color="auto"/>
            </w:tcBorders>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United Kingdom</w:t>
            </w:r>
          </w:p>
        </w:tc>
      </w:tr>
      <w:tr>
        <w:trPr>
          <w:trHeight w:val="228"/>
        </w:trPr>
        <w:tc>
          <w:tcPr>
            <w:tcW w:w="7680" w:type="dxa"/>
            <w:vAlign w:val="bottom"/>
            <w:gridSpan w:val="3"/>
          </w:tcPr>
          <w:p>
            <w:pPr>
              <w:ind w:left="3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60" w:type="dxa"/>
            <w:vAlign w:val="bottom"/>
          </w:tcPr>
          <w:p>
            <w:pPr>
              <w:spacing w:after="0"/>
              <w:rPr>
                <w:sz w:val="19"/>
                <w:szCs w:val="19"/>
                <w:color w:val="auto"/>
              </w:rPr>
            </w:pPr>
          </w:p>
        </w:tc>
      </w:tr>
    </w:tbl>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37"/>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9" w:lineRule="exact"/>
        <w:rPr>
          <w:sz w:val="24"/>
          <w:szCs w:val="24"/>
          <w:color w:val="auto"/>
        </w:rPr>
      </w:pPr>
    </w:p>
    <w:p>
      <w:pPr>
        <w:ind w:right="2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20" w:type="dxa"/>
            <w:vAlign w:val="bottom"/>
          </w:tcPr>
          <w:p>
            <w:pPr>
              <w:spacing w:after="0"/>
              <w:rPr>
                <w:sz w:val="18"/>
                <w:szCs w:val="18"/>
                <w:color w:val="auto"/>
              </w:rPr>
            </w:pP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vMerge w:val="restart"/>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1820" w:type="dxa"/>
            <w:vAlign w:val="bottom"/>
          </w:tcPr>
          <w:p>
            <w:pPr>
              <w:spacing w:after="0"/>
              <w:rPr>
                <w:sz w:val="18"/>
                <w:szCs w:val="18"/>
                <w:color w:val="auto"/>
              </w:rPr>
            </w:pP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6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0" w:type="dxa"/>
            <w:vAlign w:val="bottom"/>
            <w:vMerge w:val="continue"/>
          </w:tcPr>
          <w:p>
            <w:pPr>
              <w:spacing w:after="0"/>
              <w:rPr>
                <w:sz w:val="22"/>
                <w:szCs w:val="22"/>
                <w:color w:val="auto"/>
              </w:rPr>
            </w:pPr>
          </w:p>
        </w:tc>
        <w:tc>
          <w:tcPr>
            <w:tcW w:w="1980" w:type="dxa"/>
            <w:vAlign w:val="bottom"/>
            <w:vMerge w:val="continue"/>
          </w:tcPr>
          <w:p>
            <w:pPr>
              <w:spacing w:after="0"/>
              <w:rPr>
                <w:sz w:val="22"/>
                <w:szCs w:val="22"/>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Non-accelerated filer</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2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2022, 164,498,354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4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40"/>
        </w:trPr>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248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20" w:type="dxa"/>
            <w:vAlign w:val="bottom"/>
          </w:tcPr>
          <w:p>
            <w:pPr>
              <w:spacing w:after="0"/>
              <w:rPr>
                <w:sz w:val="22"/>
                <w:szCs w:val="22"/>
                <w:color w:val="auto"/>
              </w:rPr>
            </w:pPr>
          </w:p>
        </w:tc>
      </w:tr>
      <w:tr>
        <w:trPr>
          <w:trHeight w:val="264"/>
        </w:trPr>
        <w:tc>
          <w:tcPr>
            <w:tcW w:w="2040" w:type="dxa"/>
            <w:vAlign w:val="bottom"/>
          </w:tcPr>
          <w:p>
            <w:pPr>
              <w:spacing w:after="0"/>
              <w:rPr>
                <w:sz w:val="22"/>
                <w:szCs w:val="22"/>
                <w:color w:val="auto"/>
              </w:rPr>
            </w:pPr>
          </w:p>
        </w:tc>
        <w:tc>
          <w:tcPr>
            <w:tcW w:w="82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4</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5</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6</w:t>
            </w:r>
          </w:p>
        </w:tc>
        <w:tc>
          <w:tcPr>
            <w:tcW w:w="420" w:type="dxa"/>
            <w:vAlign w:val="bottom"/>
          </w:tcPr>
          <w:p>
            <w:pPr>
              <w:spacing w:after="0"/>
              <w:rPr>
                <w:sz w:val="22"/>
                <w:szCs w:val="22"/>
                <w:color w:val="auto"/>
              </w:rPr>
            </w:pPr>
          </w:p>
        </w:tc>
      </w:tr>
      <w:tr>
        <w:trPr>
          <w:trHeight w:val="263"/>
        </w:trPr>
        <w:tc>
          <w:tcPr>
            <w:tcW w:w="2040" w:type="dxa"/>
            <w:vAlign w:val="bottom"/>
          </w:tcPr>
          <w:p>
            <w:pPr>
              <w:spacing w:after="0"/>
              <w:rPr>
                <w:sz w:val="22"/>
                <w:szCs w:val="22"/>
                <w:color w:val="auto"/>
              </w:rPr>
            </w:pPr>
          </w:p>
        </w:tc>
        <w:tc>
          <w:tcPr>
            <w:tcW w:w="41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20" w:type="dxa"/>
            <w:vAlign w:val="bottom"/>
            <w:gridSpan w:val="4"/>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23</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40" w:type="dxa"/>
            <w:vAlign w:val="bottom"/>
            <w:gridSpan w:val="2"/>
          </w:tcPr>
          <w:p>
            <w:pPr>
              <w:spacing w:after="0"/>
              <w:rPr>
                <w:sz w:val="22"/>
                <w:szCs w:val="22"/>
                <w:color w:val="auto"/>
              </w:rPr>
            </w:pPr>
          </w:p>
        </w:tc>
        <w:tc>
          <w:tcPr>
            <w:tcW w:w="1760" w:type="dxa"/>
            <w:vAlign w:val="bottom"/>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36</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6"/>
          </w:tcPr>
          <w:p>
            <w:pPr>
              <w:spacing w:after="0"/>
              <w:rPr>
                <w:sz w:val="22"/>
                <w:szCs w:val="22"/>
                <w:color w:val="auto"/>
              </w:rPr>
            </w:pPr>
          </w:p>
        </w:tc>
        <w:tc>
          <w:tcPr>
            <w:tcW w:w="3900" w:type="dxa"/>
            <w:vAlign w:val="bottom"/>
            <w:gridSpan w:val="3"/>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37</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37</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gridSpan w:val="2"/>
          </w:tcPr>
          <w:p>
            <w:pPr>
              <w:spacing w:after="0"/>
              <w:rPr>
                <w:sz w:val="22"/>
                <w:szCs w:val="22"/>
                <w:color w:val="auto"/>
              </w:rPr>
            </w:pPr>
          </w:p>
        </w:tc>
        <w:tc>
          <w:tcPr>
            <w:tcW w:w="6880" w:type="dxa"/>
            <w:vAlign w:val="bottom"/>
            <w:gridSpan w:val="10"/>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37</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0" w:type="dxa"/>
            <w:vAlign w:val="bottom"/>
            <w:gridSpan w:val="9"/>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3900" w:type="dxa"/>
            <w:vAlign w:val="bottom"/>
            <w:gridSpan w:val="3"/>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38</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700" w:type="dxa"/>
            <w:vAlign w:val="bottom"/>
            <w:gridSpan w:val="12"/>
          </w:tcPr>
          <w:p>
            <w:pPr>
              <w:spacing w:after="0"/>
              <w:rPr>
                <w:sz w:val="22"/>
                <w:szCs w:val="22"/>
                <w:color w:val="auto"/>
              </w:rPr>
            </w:pPr>
          </w:p>
        </w:tc>
        <w:tc>
          <w:tcPr>
            <w:tcW w:w="3900" w:type="dxa"/>
            <w:vAlign w:val="bottom"/>
            <w:gridSpan w:val="3"/>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40</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40" w:type="dxa"/>
            <w:vAlign w:val="bottom"/>
            <w:gridSpan w:val="1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440" w:type="dxa"/>
            <w:vAlign w:val="bottom"/>
            <w:gridSpan w:val="13"/>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41</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6"/>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780" w:type="dxa"/>
            <w:vAlign w:val="bottom"/>
            <w:gridSpan w:val="4"/>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700" w:type="dxa"/>
            <w:vAlign w:val="bottom"/>
            <w:gridSpan w:val="8"/>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8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1,785.2</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1"/>
        </w:trPr>
        <w:tc>
          <w:tcPr>
            <w:tcW w:w="514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115.4</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385.9</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market value of derivative financial instruments,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ordinary share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520" w:type="dxa"/>
            <w:vAlign w:val="bottom"/>
          </w:tcPr>
          <w:p>
            <w:pPr>
              <w:spacing w:after="0"/>
              <w:rPr>
                <w:sz w:val="17"/>
                <w:szCs w:val="17"/>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auto"/>
            </w:tcBorders>
            <w:vMerge w:val="continue"/>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allowances of $10.3 and $9.1, respectively</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4,607.0</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3,139.6</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4,753.6</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60" w:type="dxa"/>
            <w:vAlign w:val="bottom"/>
            <w:shd w:val="clear" w:color="auto" w:fill="CCEEFF"/>
          </w:tcPr>
          <w:p>
            <w:pPr>
              <w:ind w:left="47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2,331.7</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Ordinary shares $0.01 par value, 426.0 authorized, 164.5 and 165.1 issued at September 30, 2022 and</w:t>
            </w:r>
          </w:p>
        </w:tc>
        <w:tc>
          <w:tcPr>
            <w:tcW w:w="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5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2,639.2</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4,753.6</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4"/>
                <w:szCs w:val="14"/>
                <w:color w:val="auto"/>
              </w:rPr>
            </w:pPr>
          </w:p>
        </w:tc>
        <w:tc>
          <w:tcPr>
            <w:tcW w:w="14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76"/>
        </w:trPr>
        <w:tc>
          <w:tcPr>
            <w:tcW w:w="800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from continuing operations to net cash provided by (used for)</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activities of continuing operations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bridge financing fees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business acquisitions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businesses,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net investment hedges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borrowings (repayments) of revolving long-term debt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employees, net of shares withheld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Receipts (payments) upon the maturity of cross currency swaps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2"/>
                <w:szCs w:val="12"/>
                <w:color w:val="auto"/>
              </w:rPr>
            </w:pPr>
          </w:p>
        </w:tc>
        <w:tc>
          <w:tcPr>
            <w:tcW w:w="182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10"/>
              <w:spacing w:after="0" w:line="149"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12"/>
                <w:szCs w:val="12"/>
                <w:color w:val="auto"/>
              </w:rPr>
            </w:pPr>
          </w:p>
        </w:tc>
        <w:tc>
          <w:tcPr>
            <w:tcW w:w="1040" w:type="dxa"/>
            <w:vAlign w:val="bottom"/>
          </w:tcPr>
          <w:p>
            <w:pPr>
              <w:jc w:val="right"/>
              <w:ind w:right="190"/>
              <w:spacing w:after="0" w:line="149"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200" w:type="dxa"/>
            <w:vAlign w:val="bottom"/>
          </w:tcPr>
          <w:p>
            <w:pPr>
              <w:spacing w:after="0"/>
              <w:rPr>
                <w:sz w:val="12"/>
                <w:szCs w:val="12"/>
                <w:color w:val="auto"/>
              </w:rPr>
            </w:pPr>
          </w:p>
        </w:tc>
        <w:tc>
          <w:tcPr>
            <w:tcW w:w="1400" w:type="dxa"/>
            <w:vAlign w:val="bottom"/>
          </w:tcPr>
          <w:p>
            <w:pPr>
              <w:jc w:val="center"/>
              <w:ind w:right="110"/>
              <w:spacing w:after="0" w:line="149" w:lineRule="exact"/>
              <w:rPr>
                <w:sz w:val="20"/>
                <w:szCs w:val="20"/>
                <w:color w:val="auto"/>
              </w:rPr>
            </w:pPr>
            <w:r>
              <w:rPr>
                <w:rFonts w:ascii="Times New Roman" w:cs="Times New Roman" w:eastAsia="Times New Roman" w:hAnsi="Times New Roman"/>
                <w:sz w:val="17"/>
                <w:szCs w:val="17"/>
                <w:b w:val="1"/>
                <w:bCs w:val="1"/>
                <w:color w:val="auto"/>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$0.21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$0.21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$0.21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110"/>
              <w:spacing w:after="0" w:line="156"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14"/>
                <w:szCs w:val="14"/>
                <w:color w:val="auto"/>
              </w:rPr>
            </w:pPr>
          </w:p>
        </w:tc>
        <w:tc>
          <w:tcPr>
            <w:tcW w:w="1040" w:type="dxa"/>
            <w:vAlign w:val="bottom"/>
          </w:tcPr>
          <w:p>
            <w:pPr>
              <w:jc w:val="right"/>
              <w:ind w:right="19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4"/>
                <w:szCs w:val="14"/>
                <w:color w:val="auto"/>
              </w:rPr>
            </w:pPr>
          </w:p>
        </w:tc>
        <w:tc>
          <w:tcPr>
            <w:tcW w:w="1400" w:type="dxa"/>
            <w:vAlign w:val="bottom"/>
          </w:tcPr>
          <w:p>
            <w:pPr>
              <w:jc w:val="center"/>
              <w:ind w:right="110"/>
              <w:spacing w:after="0" w:line="15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$0.20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$0.20 per share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$0.20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Responsibility for Interim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2021.</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2020, the World Health Organization declared the novel coronavirus 2019 (“COVID-19”) a global pandemic. The COVID-19 pandemic has had and may continue to have an unfavorable impact on certain parts of our business. The broader implications of the COVID-19 pandemic on our business, financial condition and results of operations remain uncertain and will depend on certain developments, including the duration and severity of the COVID-19 pandemic, the impact of virus variants, the effectiveness of vaccinations, the COVID-19 pandemic’s impact on our customers and suppliers and the range of governmental and community reactions to the pandemic. We may continue to experience reduced customer demand in certain parts of our business, impacts to our operations, or constrained labor and/or supply that could materially and adversely impact our business, financial condition, results of operations, liquidity and cash flows in future periods.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December 31. We report our interim quarterly periods on a calendar quarter basis.</w:t>
      </w:r>
    </w:p>
    <w:p>
      <w:pPr>
        <w:spacing w:after="0" w:line="24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15 for revenue disaggregated by segment.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net sales information, based on geographic destination of the sale,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9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Developing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Developed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Consolidated net sales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1,055.1</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969.2</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3,118.9</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2,776.2</w:t>
            </w:r>
          </w:p>
        </w:tc>
        <w:tc>
          <w:tcPr>
            <w:tcW w:w="0" w:type="dxa"/>
            <w:vAlign w:val="bottom"/>
          </w:tcPr>
          <w:p>
            <w:pPr>
              <w:spacing w:after="0"/>
              <w:rPr>
                <w:sz w:val="1"/>
                <w:szCs w:val="1"/>
                <w:color w:val="auto"/>
              </w:rPr>
            </w:pPr>
          </w:p>
        </w:tc>
      </w:tr>
    </w:tbl>
    <w:p>
      <w:pPr>
        <w:ind w:left="200" w:hanging="174"/>
        <w:spacing w:after="0" w:line="224"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Developing includes China, Eastern Europe, Latin America, the Middle East and Southeast Asia.</w:t>
      </w:r>
    </w:p>
    <w:p>
      <w:pPr>
        <w:spacing w:after="0" w:line="2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Developed includes Australia, Canada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Vertical net sales information was as follows: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9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2022, we had $111.1 million of remaining performance obligations on contracts with an original expected duration of one year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recognize the majority of our remaining performance obligations on these contracts within the next 12 to 18 months.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560" w:type="dxa"/>
            <w:vAlign w:val="bottom"/>
          </w:tcPr>
          <w:p>
            <w:pPr>
              <w:spacing w:after="0"/>
              <w:rPr>
                <w:sz w:val="17"/>
                <w:szCs w:val="17"/>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7"/>
                <w:szCs w:val="17"/>
                <w:color w:val="auto"/>
              </w:rPr>
            </w:pPr>
          </w:p>
        </w:tc>
        <w:tc>
          <w:tcPr>
            <w:tcW w:w="14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 assets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8"/>
              </w:rPr>
              <w:t>(5.1)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$14.5 million change in net contract liabilities from December 31, 2021 to September 30, 2022 was primarily the result of timing of milestone payments and the recognition of $1.1 million of impairment losses on our contract assets in the first quarter of 2022 related to our exit of business activity in Russia. Approximately 85% of our contract liabilities at December 31, 2021 were recognized in revenue in the first nine months of 2022.</w:t>
      </w:r>
    </w:p>
    <w:p>
      <w:pPr>
        <w:spacing w:after="0" w:line="19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July 28, 2022, as part of our Consumer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spacing w:after="0" w:line="1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Manitowoc Ice is a designer, manufacturer, and distributor of commercial ice machines. The acquisition of Manitowoc Ice allows us to enhance and deliver our total water management offerings to an expanded network of channel partners and customers.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purchase price has been preliminarily allocated based on the estimated fair value of assets acquired and liabilities assumed at the date of the Manitowoc Ice acquisition. The preliminary purchase price allocation is subject to further refinement and may require significant adjustments to arrive at the final purchase price allocation. These changes will primarily relate to the fair value of tangible assets and the related income tax impacts. We expect the final purchase price allocation to be completed by the third quarter of 2023. There can be no assurance that such finalization will not result in material changes from the preliminary purchase price allocation.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preliminary estimates of the fair values of the assets acquired and liabilities assumed in the Manitowoc Ice acquisition:</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2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9"/>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42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1,625.3</w:t>
            </w: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4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excess of purchase price over tangible net assets and identified intangible assets acquired has been preliminarily allocated to goodwill in the amount of $796.7 million, all of which is expected to be deductible for income tax purposes. Goodwill recognized from the Manitowoc Ice acquisition primarily reflects the future economic benefit resulting from synergies of our combined operations.</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Identifiable intangible assets acquired as part of the Manitowoc Ice acquisition include $78.4 million of indefinite-lived trade name intangible assets, $588.4 million of definite-lived customer relationships with an estimated useful life of 20 years, $47.1 million of definite-lived proprietary technology intangible assets with an estimated useful life of 10 years and $14.4 million of other definite-lived intangible assets with an estimated useful life of four months. The fair values of trade names and proprietary technology acquired in the acquisition were determined using a relief-from-royalty method, and customer relationships and other definite-lived intangible assets acquired were determined using a multi-period excess earnings method. These methods utilize unobservable inputs that are significant to these fair value measurements and thus classified as Level 3 of the fair value hierarchy.</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Manitowoc Ice’s net sales and operating income for the period from the acquisition date to September 30, 2022 were $66.5 million and $1.3 million, respectively. Manitowoc’s operating income includes $12.9 million of identifiable intangible asset amortization expense and $5.8 million of amortization of inventory fair market value step-up.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unaudited pro forma financial information as if the Manitowoc Ice acquisition had occurred on January 1,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312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1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1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448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3,009.2</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from continuing operations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Pro forma earnings per ordinary share - continuing</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net income from continuing operations includes Manitowoc Ice’s identifiable intangible asset amortization expense of $8.5 million for the three months ended September 30, 2022 and 2021, respectively, and $25.6 million and $40.0 million for the nine months ended September 30, 2022 and 2021, respectively. The unaudited pro forma net income from continuing operations for the three and nine months ended September 30, 2022 excludes the impact of $18.8 million and $34.2 million, respectively, of transaction-related charges, acquisition-related bridge financing costs and non-recurring expense related to the fair value adjustment to acquisition-date inventory. The nine months ended September 30, 2021 was adjusted to include transaction-related charges and non-recurring expense related to the fair value adjustment to acquisition-date inventory.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condensed consolidated financial information has been prepared for comparative purposes only and includes certain adjustments, as noted above. The adjustments are estimates based on currently available information and actual amounts may differ materially from these estimates. They do not reflect the effect of costs or synergies that would have been expected to result from the integration of the Manitowoc Ice acquisition. The pro forma information does not purport to be indicative of the results of operations that actually would have resulted had the Manitowoc Ice acquisition occurred on January 1, 2021.</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 as part of both of our Consumer Solutions and Industrial &amp; Flow Technologies reporting segments, we completed the acquisition of Pleatco Holdings, LLC and related entities for $256.9 million in cash, net of cash acquired and working capital true-ups. The excess of purchase price over tangible net assets acquired has been preliminarily allocated to goodwill in the amount of $140.1 million, $136.4 million of which is expected to be deductible for income tax purposes. Identifiable intangible assets acquired consisted of $97.9 million of definite-lived customer relationships with an estimated useful life of 17 years. We expect the final purchase price allocation to be completed in the fourth quarter of 2022. The pro forma impact of this acquisition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as part of our Consumer Solutions reporting segment, we completed the acquisition of Ken’s Beverage, Inc. for $82.2 million in cash, net of cash acquired and working capital true-ups. The excess of purchase price over tangible net assets acquired has been allocated to goodwill in the amount of $28.3 million, all of which is expected to be deductible for income tax purposes. Identifiable intangible assets acquired consisted of $38.0 million of definite-lived customer relationships with an estimated useful life of 22 years. The pro forma impact of this acquisition is not material.</w:t>
      </w:r>
    </w:p>
    <w:p>
      <w:pPr>
        <w:spacing w:after="0" w:line="20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for the three and nine months ended September 30, 2022 and 2021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2022, we issued our annual share-based compensation grants under the Pentair plc 2020 Share and Incentive Plan to eligible employees. The total number of awards issued was approximately 0.6 million, of which 0.3 million were restricted stock units (“RSUs”), 0.2 million were stock options and 0.1 million were performance share units (“PSUs”). The weighted-average grant date fair value of the RSUs, stock options and PSUs issued was $60.78, $17.92, and $68.28, respectively.</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5220" w:type="dxa"/>
            <w:vAlign w:val="bottom"/>
          </w:tcPr>
          <w:p>
            <w:pPr>
              <w:jc w:val="right"/>
              <w:ind w:right="590"/>
              <w:spacing w:after="0" w:line="190"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38"/>
        </w:trPr>
        <w:tc>
          <w:tcPr>
            <w:tcW w:w="602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Annual Grant</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29.60 %</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United States (“U.S.”) Treasury Department yield curve in effect at the time of grant.</w:t>
      </w:r>
    </w:p>
    <w:p>
      <w:pPr>
        <w:spacing w:after="0" w:line="210"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Transformation Program</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initiated and continued execution of restructuring actions aimed at reducing our fixed cost structure and realigning our business as well as certain initiatives associated with the Transformation Program. These actions included a reduction in hourly and salaried headcount of approximately 400 employees.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Restructuring and transformation-related costs within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Condensed Consolidated Statements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Income included the following: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Initiatives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restructuring costs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Transformation Program</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transformation costs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transformation costs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hanging="154"/>
        <w:spacing w:after="0" w:line="230" w:lineRule="auto"/>
        <w:tabs>
          <w:tab w:leader="none" w:pos="1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restructuring costs primarily consist of asset impairment and various contract termination costs.</w:t>
      </w:r>
    </w:p>
    <w:p>
      <w:pPr>
        <w:spacing w:after="0" w:line="37"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transformation costs primarily consist of professional services and project management and related costs.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transformation costs by reportable segment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Solutions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&amp; Flow Technologies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13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 xml:space="preserve">Activity related to accrued severance and related costs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Condensed Consolidated Balance Sheets is summarized as follows for the nine months ended September 30, 2022:</w:t>
      </w:r>
    </w:p>
    <w:tbl>
      <w:tblPr>
        <w:tblLayout w:type="fixed"/>
        <w:tblInd w:w="0" w:type="dxa"/>
        <w:tblCellMar>
          <w:top w:w="0" w:type="dxa"/>
          <w:left w:w="0" w:type="dxa"/>
          <w:bottom w:w="0" w:type="dxa"/>
          <w:right w:w="0" w:type="dxa"/>
        </w:tblCellMar>
      </w:tblPr>
      <w:tr>
        <w:trPr>
          <w:trHeight w:val="186"/>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60" w:type="dxa"/>
            <w:vAlign w:val="bottom"/>
          </w:tcPr>
          <w:p>
            <w:pPr>
              <w:spacing w:after="0"/>
              <w:rPr>
                <w:sz w:val="16"/>
                <w:szCs w:val="16"/>
                <w:color w:val="auto"/>
              </w:rPr>
            </w:pPr>
          </w:p>
        </w:tc>
        <w:tc>
          <w:tcPr>
            <w:tcW w:w="1420" w:type="dxa"/>
            <w:vAlign w:val="bottom"/>
          </w:tcPr>
          <w:p>
            <w:pPr>
              <w:ind w:left="80"/>
              <w:spacing w:after="0" w:line="186"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vMerge w:val="continue"/>
          </w:tcPr>
          <w:p>
            <w:pPr>
              <w:spacing w:after="0"/>
              <w:rPr>
                <w:sz w:val="21"/>
                <w:szCs w:val="21"/>
                <w:color w:val="auto"/>
              </w:rPr>
            </w:pPr>
          </w:p>
        </w:tc>
        <w:tc>
          <w:tcPr>
            <w:tcW w:w="40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406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w:t>
            </w:r>
          </w:p>
        </w:tc>
        <w:tc>
          <w:tcPr>
            <w:tcW w:w="40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10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bl>
    <w:p>
      <w:pPr>
        <w:spacing w:after="0" w:line="3" w:lineRule="exact"/>
        <w:rPr>
          <w:sz w:val="20"/>
          <w:szCs w:val="20"/>
          <w:color w:val="auto"/>
        </w:rPr>
      </w:pPr>
    </w:p>
    <w:p>
      <w:pPr>
        <w:sectPr>
          <w:pgSz w:w="11900" w:h="16838" w:orient="portrait"/>
          <w:cols w:equalWidth="0" w:num="2">
            <w:col w:w="4860" w:space="280"/>
            <w:col w:w="6100"/>
          </w:cols>
          <w:pgMar w:left="320" w:top="118" w:right="339" w:bottom="1440" w:gutter="0" w:footer="0" w:header="0"/>
        </w:sectPr>
      </w:pPr>
    </w:p>
    <w:tbl>
      <w:tblPr>
        <w:tblLayout w:type="fixed"/>
        <w:tblInd w:w="0" w:type="dxa"/>
        <w:tblCellMar>
          <w:top w:w="0" w:type="dxa"/>
          <w:left w:w="0" w:type="dxa"/>
          <w:bottom w:w="0" w:type="dxa"/>
          <w:right w:w="0" w:type="dxa"/>
        </w:tblCellMar>
      </w:tblPr>
      <w:tr>
        <w:trPr>
          <w:trHeight w:val="250"/>
        </w:trPr>
        <w:tc>
          <w:tcPr>
            <w:tcW w:w="4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60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w:t>
            </w:r>
          </w:p>
        </w:tc>
        <w:tc>
          <w:tcPr>
            <w:tcW w:w="6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84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115.4</w:t>
            </w:r>
          </w:p>
        </w:tc>
        <w:tc>
          <w:tcPr>
            <w:tcW w:w="60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143.7</w:t>
            </w:r>
          </w:p>
        </w:tc>
        <w:tc>
          <w:tcPr>
            <w:tcW w:w="64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386.9</w:t>
            </w: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407.4</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6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165.7</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Dilutive impact of stock options, restricted stock units and</w:t>
            </w: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4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8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ordinary share</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8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0.87</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8"/>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8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0.87</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8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8"/>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8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86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Anti-dilutive stock options excluded from the calculation of</w:t>
            </w: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3"/>
        </w:trPr>
        <w:tc>
          <w:tcPr>
            <w:tcW w:w="4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8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our allowance for credit losses is summarized as follows for the nine months ended September 30, 2022:</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6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932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5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93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5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9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9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Balance Sheet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74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420" w:type="dxa"/>
            <w:vAlign w:val="bottom"/>
            <w:tcBorders>
              <w:bottom w:val="single" w:sz="8" w:color="auto"/>
            </w:tcBorders>
            <w:vMerge w:val="continue"/>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2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in excess of billings</w:t>
            </w:r>
          </w:p>
        </w:tc>
        <w:tc>
          <w:tcPr>
            <w:tcW w:w="2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2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27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965.9</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657.1</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655.9</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2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lease assets</w:t>
            </w:r>
          </w:p>
        </w:tc>
        <w:tc>
          <w:tcPr>
            <w:tcW w:w="2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contract assets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2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2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2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warranty</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rebates and incentives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freight</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Billings in excess of cost</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lease liability</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restructuring</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2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liabilities</w:t>
            </w:r>
          </w:p>
        </w:tc>
        <w:tc>
          <w:tcPr>
            <w:tcW w:w="2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lease liability</w:t>
            </w:r>
          </w:p>
        </w:tc>
        <w:tc>
          <w:tcPr>
            <w:tcW w:w="2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liabilities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plan liabilities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contract liabilities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160" w:type="dxa"/>
            <w:vAlign w:val="bottom"/>
          </w:tcPr>
          <w:p>
            <w:pPr>
              <w:spacing w:after="0"/>
              <w:rPr>
                <w:sz w:val="17"/>
                <w:szCs w:val="17"/>
                <w:color w:val="auto"/>
              </w:rPr>
            </w:pPr>
          </w:p>
        </w:tc>
        <w:tc>
          <w:tcPr>
            <w:tcW w:w="1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84"/>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Accounting</w:t>
            </w:r>
          </w:p>
        </w:tc>
        <w:tc>
          <w:tcPr>
            <w:tcW w:w="200" w:type="dxa"/>
            <w:vAlign w:val="bottom"/>
          </w:tcPr>
          <w:p>
            <w:pPr>
              <w:spacing w:after="0"/>
              <w:rPr>
                <w:sz w:val="16"/>
                <w:szCs w:val="16"/>
                <w:color w:val="auto"/>
              </w:rPr>
            </w:pPr>
          </w:p>
        </w:tc>
        <w:tc>
          <w:tcPr>
            <w:tcW w:w="12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220" w:type="dxa"/>
            <w:vAlign w:val="bottom"/>
          </w:tcPr>
          <w:p>
            <w:pPr>
              <w:spacing w:after="0"/>
              <w:rPr>
                <w:sz w:val="16"/>
                <w:szCs w:val="16"/>
                <w:color w:val="auto"/>
              </w:rPr>
            </w:pPr>
          </w:p>
        </w:tc>
        <w:tc>
          <w:tcPr>
            <w:tcW w:w="12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rPr>
              <w:t>currency</w:t>
            </w: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Solutions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2,500.6</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Industrial &amp; Flow Technologies</w:t>
            </w:r>
          </w:p>
        </w:tc>
        <w:tc>
          <w:tcPr>
            <w:tcW w:w="9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48"/>
        </w:trPr>
        <w:tc>
          <w:tcPr>
            <w:tcW w:w="3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4"/>
                <w:szCs w:val="14"/>
                <w:color w:val="auto"/>
              </w:rPr>
            </w:pPr>
          </w:p>
        </w:tc>
        <w:tc>
          <w:tcPr>
            <w:tcW w:w="1240" w:type="dxa"/>
            <w:vAlign w:val="bottom"/>
          </w:tcPr>
          <w:p>
            <w:pPr>
              <w:jc w:val="center"/>
              <w:ind w:right="50"/>
              <w:spacing w:after="0" w:line="17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4"/>
                <w:szCs w:val="14"/>
                <w:color w:val="auto"/>
              </w:rPr>
            </w:pPr>
          </w:p>
        </w:tc>
        <w:tc>
          <w:tcPr>
            <w:tcW w:w="1240" w:type="dxa"/>
            <w:vAlign w:val="bottom"/>
          </w:tcPr>
          <w:p>
            <w:pPr>
              <w:jc w:val="center"/>
              <w:ind w:right="50"/>
              <w:spacing w:after="0" w:line="17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9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 and patents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Identifiable intangible asset amortization expense was $18.5 million and $6.0 million for the three months ended September 30, 2022 and 2021, respectively, and $31.4 million and $19.4 million for the nine months ended September 30, 2022 and 2021,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identifiable intangible assets during the remainder of 2022 and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8"/>
        </w:trPr>
        <w:tc>
          <w:tcPr>
            <w:tcW w:w="38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2027</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Average interest rate as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60" w:type="dxa"/>
            <w:vAlign w:val="bottom"/>
          </w:tcPr>
          <w:p>
            <w:pPr>
              <w:spacing w:after="0"/>
              <w:rPr>
                <w:sz w:val="17"/>
                <w:szCs w:val="17"/>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vMerge w:val="continue"/>
          </w:tcPr>
          <w:p>
            <w:pPr>
              <w:spacing w:after="0"/>
              <w:rPr>
                <w:sz w:val="21"/>
                <w:szCs w:val="21"/>
                <w:color w:val="auto"/>
              </w:rPr>
            </w:pPr>
          </w:p>
        </w:tc>
        <w:tc>
          <w:tcPr>
            <w:tcW w:w="272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of September 30, 2022</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7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3.940%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7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4.300%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27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4.358%</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7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3.150%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4.650%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7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4.500%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5.900%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discounts</w:t>
            </w:r>
          </w:p>
        </w:tc>
        <w:tc>
          <w:tcPr>
            <w:tcW w:w="27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debt</w:t>
            </w:r>
          </w:p>
        </w:tc>
        <w:tc>
          <w:tcPr>
            <w:tcW w:w="27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2,448.1</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894.1</w:t>
            </w:r>
          </w:p>
        </w:tc>
        <w:tc>
          <w:tcPr>
            <w:tcW w:w="0" w:type="dxa"/>
            <w:vAlign w:val="bottom"/>
          </w:tcPr>
          <w:p>
            <w:pPr>
              <w:spacing w:after="0"/>
              <w:rPr>
                <w:sz w:val="1"/>
                <w:szCs w:val="1"/>
                <w:color w:val="auto"/>
              </w:rPr>
            </w:pPr>
          </w:p>
        </w:tc>
      </w:tr>
    </w:tbl>
    <w:p>
      <w:pPr>
        <w:ind w:left="200" w:hanging="174"/>
        <w:spacing w:after="0" w:line="224" w:lineRule="auto"/>
        <w:tabs>
          <w:tab w:leader="none" w:pos="2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which was amended and restated in December 2021,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adjusted base rate, the London interbank offered rate, the euro interbank offered rate or the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total availability under the Senior Credit Facility was $448.4 million. In addition, PFSA has the option to request to increase the revolving credit facility and/or enter into one or more additional tranches of term loans in an aggregate amount of up to $300.0 million, subject to customary conditions, including the commitment of the participating lenders.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in contemplation of the acquisition of Manitowoc Ice, Pentair and PFSA entered into a Loan Agreement among PFSA, as borrower, Pentair, as guarantor, and the lenders and agents party thereto, providing for a five-year $600.0 million senior unsecured term loan facility (the “Term Loan Facility”). In June 2022, the Term Loan Facility was amended to increase the facility by $400.0 million to an aggregate principal amount of $1.0 billion.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2022, in contemplation of the acquisition of Manitowoc Ice, Pentair, as guarantor, and PFSA, as issuer, completed a public offering of $400.0 million aggregate principal amount of 5.900% Senior Notes due 2032 (“2032 Senior Notes”).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used the net proceeds from the Term Loan Facility and the issuance of the 2032 Senior Notes to finance a portion of the Manitowoc Ice acquisition purchase price and to pay related fees and expenses.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$20.9 million, of which there were no outstanding borrowings at September 30, 2022. Borrowings under these credit facilities bear interest at variable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fixed rate senior notes maturing in the next twelve months.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outstanding, excluding unamortized issuance costs and discounts, at September 30, 2022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Q4</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8"/>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debt obligation maturities</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w:t>
            </w:r>
          </w:p>
        </w:tc>
      </w:tr>
    </w:tbl>
    <w:p>
      <w:pPr>
        <w:spacing w:after="0" w:line="59" w:lineRule="exact"/>
        <w:rPr>
          <w:sz w:val="20"/>
          <w:szCs w:val="20"/>
          <w:color w:val="auto"/>
        </w:rPr>
      </w:pPr>
    </w:p>
    <w:p>
      <w:pPr>
        <w:ind w:right="7640" w:firstLine="8"/>
        <w:spacing w:after="0" w:line="263" w:lineRule="auto"/>
        <w:tabs>
          <w:tab w:leader="none" w:pos="63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Derivatives and Financial Instruments </w:t>
      </w:r>
      <w:r>
        <w:rPr>
          <w:rFonts w:ascii="Times New Roman" w:cs="Times New Roman" w:eastAsia="Times New Roman" w:hAnsi="Times New Roman"/>
          <w:sz w:val="18"/>
          <w:szCs w:val="18"/>
          <w:b w:val="1"/>
          <w:bCs w:val="1"/>
          <w:i w:val="1"/>
          <w:iCs w:val="1"/>
          <w:color w:val="auto"/>
        </w:rPr>
        <w:t>Derivative financial instruments</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and December 31, 2021, we had outstanding foreign currency derivative contracts with gross notional U.S. dollar equivalent amounts of $7.5 million and $14.7 million, respectively. The impact of these contracts on the Condensed Consolidated Statements of Operations and Comprehensive Income was not material for any period presented.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September 30, 2022 and December 31, 2021, we had outstanding cross currency swap agreements with a combined notional amount of $681.5 million and $794.4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gains of $82.0 million and $7.3 million at September 30, 2022 and December 31, 2021, respectively,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we entered into transactions to early terminate and cash settle €700 million of our cross currency swap agreements due to favorable market conditions. The termination of the cross currency swap agreements resulted in cash proceeds of $85.3 million. Subsequent to the termination, we entered into new cross currency swap agreements with euro notional amounts matching the original swap agreements.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2022, we terminated two of our cross currency swap agreements, resulting in total net cash received of $9.0 million, of which $8.8 million is included within investing activities and $0.2 million is included within financing activities on the Consolidated Statement of Cash Flows. We entered into new cross currency swaps with a combined notional amount of $320.0 million to replace the terminated cross currency swap agreements.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2021, one of our cross currency swap agreements which was accounted for as a cash flow hedge matured, resulting in a net cash payment of $14.7 million. The net cash payment is included within financing activities on the Condensed Consolidated Statements of Cash Flows.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3"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580" w:hanging="741"/>
        <w:spacing w:after="0" w:line="237" w:lineRule="auto"/>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6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Valuation is based upon other unobservable inputs that are significant to the fair value measurement.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values of each class of financial instruments:</w:t>
      </w:r>
    </w:p>
    <w:p>
      <w:pPr>
        <w:spacing w:after="0" w:line="151" w:lineRule="exact"/>
        <w:rPr>
          <w:sz w:val="20"/>
          <w:szCs w:val="20"/>
          <w:color w:val="auto"/>
        </w:rPr>
      </w:pPr>
    </w:p>
    <w:p>
      <w:pPr>
        <w:ind w:left="460" w:hanging="331"/>
        <w:spacing w:after="0" w:line="284" w:lineRule="auto"/>
        <w:tabs>
          <w:tab w:leader="none" w:pos="4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short-term financial instruments (cash and cash equivalents, accounts and notes receivable, accounts and notes payable and variable-rate debt)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amount approximates fair value because of the short maturity period;</w:t>
      </w:r>
    </w:p>
    <w:p>
      <w:pPr>
        <w:spacing w:after="0" w:line="104" w:lineRule="exact"/>
        <w:rPr>
          <w:rFonts w:ascii="Times New Roman" w:cs="Times New Roman" w:eastAsia="Times New Roman" w:hAnsi="Times New Roman"/>
          <w:sz w:val="18"/>
          <w:szCs w:val="18"/>
          <w:i w:val="1"/>
          <w:iCs w:val="1"/>
          <w:color w:val="auto"/>
        </w:rPr>
      </w:pPr>
    </w:p>
    <w:p>
      <w:pPr>
        <w:ind w:left="500" w:hanging="330"/>
        <w:spacing w:after="0" w:line="284" w:lineRule="auto"/>
        <w:tabs>
          <w:tab w:leader="none" w:pos="4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fixed-rate debt, including current maturities </w:t>
      </w:r>
      <w:r>
        <w:rPr>
          <w:rFonts w:ascii="Times New Roman" w:cs="Times New Roman" w:eastAsia="Times New Roman" w:hAnsi="Times New Roman"/>
          <w:sz w:val="18"/>
          <w:szCs w:val="18"/>
          <w:color w:val="auto"/>
        </w:rPr>
        <w:t>— fair value is based on market quotes available for issuance of debt with similar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inputs that are classified as Level 2 in the valuation hierarchy defined by the accounting guidance;</w:t>
      </w:r>
    </w:p>
    <w:p>
      <w:pPr>
        <w:spacing w:after="0" w:line="104" w:lineRule="exact"/>
        <w:rPr>
          <w:rFonts w:ascii="Times New Roman" w:cs="Times New Roman" w:eastAsia="Times New Roman" w:hAnsi="Times New Roman"/>
          <w:sz w:val="18"/>
          <w:szCs w:val="18"/>
          <w:color w:val="auto"/>
        </w:rPr>
      </w:pPr>
    </w:p>
    <w:p>
      <w:pPr>
        <w:jc w:val="both"/>
        <w:ind w:left="500" w:right="20" w:hanging="330"/>
        <w:spacing w:after="0" w:line="267" w:lineRule="auto"/>
        <w:tabs>
          <w:tab w:leader="none" w:pos="4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currency contract agreements </w:t>
      </w:r>
      <w:r>
        <w:rPr>
          <w:rFonts w:ascii="Times New Roman" w:cs="Times New Roman" w:eastAsia="Times New Roman" w:hAnsi="Times New Roman"/>
          <w:sz w:val="18"/>
          <w:szCs w:val="18"/>
          <w:color w:val="auto"/>
        </w:rPr>
        <w:t>— fair values are determined through the use of models that consider various assumptions, including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yield curves, as well as other relevant economic measures, which are inputs that are classified as Level 2 in the valuation hierarchy defined by the accounting guidance; and</w:t>
      </w:r>
    </w:p>
    <w:p>
      <w:pPr>
        <w:spacing w:after="0" w:line="119" w:lineRule="exact"/>
        <w:rPr>
          <w:rFonts w:ascii="Times New Roman" w:cs="Times New Roman" w:eastAsia="Times New Roman" w:hAnsi="Times New Roman"/>
          <w:sz w:val="18"/>
          <w:szCs w:val="18"/>
          <w:color w:val="auto"/>
        </w:rPr>
      </w:pPr>
    </w:p>
    <w:p>
      <w:pPr>
        <w:jc w:val="both"/>
        <w:ind w:left="460" w:hanging="331"/>
        <w:spacing w:after="0" w:line="261" w:lineRule="auto"/>
        <w:tabs>
          <w:tab w:leader="none" w:pos="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compensation plan assets (mutual funds, common/collective trusts and cash equivalents for payment of certain non-qualified benefits for retired, terminated and active employees) </w:t>
      </w:r>
      <w:r>
        <w:rPr>
          <w:rFonts w:ascii="Times New Roman" w:cs="Times New Roman" w:eastAsia="Times New Roman" w:hAnsi="Times New Roman"/>
          <w:sz w:val="18"/>
          <w:szCs w:val="18"/>
          <w:color w:val="auto"/>
        </w:rPr>
        <w:t>— fair value of mutual funds and cash equivalents are based on quoted market prices in active markets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recorded amounts and estimated fair values of total debt, excluding unamortized issuance costs and discounts,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23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4"/>
                <w:szCs w:val="14"/>
                <w:color w:val="auto"/>
              </w:rPr>
            </w:pPr>
          </w:p>
        </w:tc>
        <w:tc>
          <w:tcPr>
            <w:tcW w:w="960" w:type="dxa"/>
            <w:vAlign w:val="bottom"/>
          </w:tcPr>
          <w:p>
            <w:pPr>
              <w:jc w:val="center"/>
              <w:ind w:right="21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4"/>
                <w:szCs w:val="14"/>
                <w:color w:val="auto"/>
              </w:rPr>
            </w:pPr>
          </w:p>
        </w:tc>
        <w:tc>
          <w:tcPr>
            <w:tcW w:w="96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2,416.5</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and nonrecurring basis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30"/>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58"/>
        </w:trPr>
        <w:tc>
          <w:tcPr>
            <w:tcW w:w="5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2022 was 13.9%, compared to 14.2% for the nine months ended September 30, 2021. We continue to actively pursue initiatives to reduce our effective tax rate. The tax rate in any quarter can be affected positively or negatively by the mix of global earnings or adjustments that are required to be reported in the specific quarter of resolution.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total gross liability for uncertain tax positions was $36.5 million and $37.3 million at September 30, 2022 and December 31, 2021, respectively. We record penalties and interest related to unrecognized tax benefits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interest expense</w:t>
      </w:r>
      <w:r>
        <w:rPr>
          <w:rFonts w:ascii="Times New Roman" w:cs="Times New Roman" w:eastAsia="Times New Roman" w:hAnsi="Times New Roman"/>
          <w:sz w:val="18"/>
          <w:szCs w:val="18"/>
          <w:color w:val="auto"/>
        </w:rPr>
        <w:t>, respectively, on the Condensed Consolidated Statements of Operations and Comprehensive Income, which is consistent with our past practices.</w:t>
      </w:r>
    </w:p>
    <w:p>
      <w:pPr>
        <w:spacing w:after="0" w:line="13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pension plans for the three and nine months ended September 30, 2022 and 2021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0.6</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1.8</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(0.1)</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3.3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Components of net periodic benefit expense for our other post-retirement plans for the three and nine months ended September 30, 2022 and 2021 were not material.</w:t>
      </w:r>
    </w:p>
    <w:p>
      <w:pPr>
        <w:spacing w:after="0" w:line="185" w:lineRule="exact"/>
        <w:rPr>
          <w:sz w:val="20"/>
          <w:szCs w:val="20"/>
          <w:color w:val="auto"/>
        </w:rPr>
      </w:pPr>
    </w:p>
    <w:p>
      <w:pPr>
        <w:ind w:right="8960" w:firstLine="8"/>
        <w:spacing w:after="0" w:line="263" w:lineRule="auto"/>
        <w:tabs>
          <w:tab w:leader="none" w:pos="64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b w:val="1"/>
          <w:bCs w:val="1"/>
          <w:i w:val="1"/>
          <w:iCs w:val="1"/>
          <w:color w:val="auto"/>
        </w:rPr>
        <w:t>Share repurchases</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The authorization expires on December 31, 2025. During the nine months ended September 30, 2022, we repurchased 0.9 million of our ordinary shares for $50.0 million. As of September 30, 2022, we had $600.0 million available for share repurchases under this authorization.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19, 2022, the Board of Directors declared a quarterly cash dividend of $0.21, payable on November 4, 2022 to shareholders of record at the close of business on October 21, 2022.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$34.5 million at September 30, 2022, compared to $33.0 million at December 31, 2021.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information by reportable segment is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2"/>
                <w:szCs w:val="22"/>
                <w:color w:val="auto"/>
              </w:rPr>
            </w:pPr>
          </w:p>
        </w:tc>
        <w:tc>
          <w:tcPr>
            <w:tcW w:w="2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&amp; Flow Technologies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Segment income (loss)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Solutions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&amp; Flow Technologies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consolidated segment income to consolidated income from continuing operations before income taxes: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Deal-related costs and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step-up</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Russia business exit impact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40" w:firstLine="8"/>
        <w:spacing w:after="0" w:line="263" w:lineRule="auto"/>
        <w:tabs>
          <w:tab w:leader="none" w:pos="643"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Legal proceedings</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matters, including those relating to the use or installation of our products; consumer matters and employment and labor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named as defendant, target or a potentially responsible party in a number of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September 30, 2022 and December 31, 2021, our recorded reserves for environmental matters were not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 and guarantees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our disposition of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maximum obligations under such indemnifications are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service and product warranties of continuing operations for the nine months ended September 30, 2022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56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6260" w:type="dxa"/>
            <w:vAlign w:val="bottom"/>
            <w:tcBorders>
              <w:bottom w:val="single" w:sz="8" w:color="auto"/>
            </w:tcBorders>
            <w:vMerge w:val="continue"/>
          </w:tcPr>
          <w:p>
            <w:pPr>
              <w:spacing w:after="0"/>
              <w:rPr>
                <w:sz w:val="21"/>
                <w:szCs w:val="21"/>
                <w:color w:val="auto"/>
              </w:rPr>
            </w:pPr>
          </w:p>
        </w:tc>
        <w:tc>
          <w:tcPr>
            <w:tcW w:w="35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product warranty provision</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5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
        </w:trPr>
        <w:tc>
          <w:tcPr>
            <w:tcW w:w="626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outstanding value of bonds, letters of credit and bank guarantees totaled $99.2 million and $104.5 million,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0"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our ability to integrate the Manitowoc Ice acquisition successfully; our ability to retain customers and employees of Manitowoc Ice; the overall global economic and business conditions impacting our business, including the strength of housing and related markets and conditions relating to the conflict between Russia and Ukraine and related sanctions; the overall impact of the COVID-19 pandemic including the impact of virus variants and the effectiveness of vaccinations on the global economy, our workforce, businesses, operations, customers, suppliers and customer demand; supply, demand, logistics, competition and pricing pressures related to and in the markets we serve; volatility in currency exchange and interest rates; failure of markets to accept new product introductions and enhancements; the ability to successfully identify, finance, complete and integrate acquisitions; the ability to achieve the benefits of our restructuring plans, cost reduction initiatives and transformation program; risks associated with operating foreign businesses and foreign supply chains; the impact of raw material costs, labor costs and other inflation; the impact of seasonality of sales and weather conditions; our ability to comply with laws and regulations; the impact of changes in laws, regulations and administrative policy, including those that limit U.S. tax benefits or impact ability to trade, trade agreements and tariffs; the outcome of litigation and governmental proceedings; and the ability to achieve our long-term strategic operating and ESG goals. Additional information concerning these and other factors is contained in our filings with the U.S. Securities and Exchange Commission (the “SEC”), including this Form 10-Q and our Annual Report on Form 10-K for the year ended December 31, 2021. All forward-looking statements speak only as of the date of this report. Pentair assumes no obligation, and disclaims any obligation, to update the information contained in this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improving, moving or helping people enjoy water, we help manage the world’s most precious resource. We are comprised of two reporting segments: Consumer Solutions and Industrial &amp; Flow Technologies. For the first nine months of 2022, the Consumer Solutions and Industrial</w:t>
      </w:r>
    </w:p>
    <w:p>
      <w:pPr>
        <w:spacing w:after="0" w:line="2" w:lineRule="exact"/>
        <w:rPr>
          <w:sz w:val="20"/>
          <w:szCs w:val="20"/>
          <w:color w:val="auto"/>
        </w:rPr>
      </w:pPr>
    </w:p>
    <w:p>
      <w:pPr>
        <w:ind w:firstLine="8"/>
        <w:spacing w:after="0" w:line="260" w:lineRule="auto"/>
        <w:tabs>
          <w:tab w:leader="none" w:pos="1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 Technologies segments represented approximately 64% and 36% of total revenues, respectively. We classify our operations into business segments based primarily on types of products offered and markets served:</w:t>
      </w:r>
    </w:p>
    <w:p>
      <w:pPr>
        <w:spacing w:after="0" w:line="12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Consumer Solutions </w:t>
      </w:r>
      <w:r>
        <w:rPr>
          <w:rFonts w:ascii="Times New Roman" w:cs="Times New Roman" w:eastAsia="Times New Roman" w:hAnsi="Times New Roman"/>
          <w:sz w:val="18"/>
          <w:szCs w:val="18"/>
          <w:color w:val="auto"/>
        </w:rPr>
        <w:t>— This segment designs, manufactures and sells energy-efficient residential and commercial pool equipment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commercial ice machines,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Industrial &amp; Flow Technologies </w:t>
      </w:r>
      <w:r>
        <w:rPr>
          <w:rFonts w:ascii="Times New Roman" w:cs="Times New Roman" w:eastAsia="Times New Roman" w:hAnsi="Times New Roman"/>
          <w:sz w:val="18"/>
          <w:szCs w:val="18"/>
          <w:color w:val="auto"/>
        </w:rPr>
        <w:t>— This segment manufactures and sells a variety of fluid treatment and pump products and systems,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transfer, fire suppression, flood control, agricultural irrigation and crop spray. The primary focus of this segment is business-to-business.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28, 2022, as part of our Consumer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spacing w:after="0" w:line="1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Effective January 1, 2023, Pentair will move to three reporting segments to reflect how we expect to manage our business beginning in 2023. As a result of this segment change, the Consumer Solutions segment will be divided into a Pool segment and a Water Solutions segment. Our new Water Solutions segment will include Manitowoc Ice. The Industrial &amp; Flow Technologies segment will remain the same.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 Update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2020, the World Health Organization declared the COVID-19 outbreak a pandemic. The ongoing effects of the COVID-19 pandemic continue to impact global economic conditions.</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extent of the COVID-19 pandemic’s effect on our operational and financial performance in the future will depend on future developments, including the duration, geographic location and intensity of the pandemic, the impact of virus variants, the effectiveness of vaccinations, our continued ability to manufacture and distribute our products, as well as any future actions that may be taken by governmental authorities or by us relating to the pandemic.</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more information regarding factors and events that may impact our business, results of operations and financial condition as a result of the COVID-19 pandemic, see “Risk Factors - Risks Relating to our Business: The COVID-19 pandemic may have a material negative impact on our business, financial condition, results of operations and cash flows” included in Item 1A. “Risk Factors” in our Annual Report on Form 10-K for the year ended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 Inflation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nine months of 2022, we have continued to experience various degrees of supply chain challenges, including increased lead times for raw materials due to availability constraints and high demand. While we have elevated our engagement with our suppliers and used secondary suppliers and new methods of procurement where available to mitigate the supply chain pressures, we expect supply chain challenges to continue throughout the remainder of 2022.</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supply chain disruptions described above, we have experienced inflationary increases of certain raw materials, such as metals, resins and electronics (including drives and motors), as well as logistics, transportation and labor costs. While we have taken pricing actions and we strive for productivity improvements that could help offset these inflationary cost increases, we expect inflationary cost increases to continue throughout the remainder of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Uncertainties Regarding Our Existing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trends and uncertainties affected our financial performance in the first nine months of 2022 and/or may impact our results in the future:</w:t>
      </w:r>
    </w:p>
    <w:p>
      <w:pPr>
        <w:spacing w:after="0" w:line="171" w:lineRule="exact"/>
        <w:rPr>
          <w:sz w:val="20"/>
          <w:szCs w:val="20"/>
          <w:color w:val="auto"/>
        </w:rPr>
      </w:pPr>
    </w:p>
    <w:p>
      <w:pPr>
        <w:jc w:val="both"/>
        <w:ind w:left="660" w:hanging="328"/>
        <w:spacing w:after="0" w:line="25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many uncertainties regarding the COVID-19 pandemic, including the anticipated duration and severity of the pandemic, the spread of an increasing number of virus variants, the extent of worldwide social, political and economic disruption it may continue to cause and the distribution and effectiveness of vaccines to address the COVID-19 virus. The broader implications of the COVID-19 pandemic that are reasonably likely to impact our business, financial condition, results of operations and cash flows cannot be determined at this time, and ultimately will be affected by a number of evolving factors including the length of time that the pandemic continues and the impact of vaccines on it, the impact of virus variants, the effectiveness of vaccinations, the pandemic’s effect on the demand for our products and services, our supply chain, and our manufacturing capacity, as well as the impact of governmental regulations imposed in response to the pandemic. See further discussion above under “</w:t>
      </w:r>
      <w:r>
        <w:rPr>
          <w:rFonts w:ascii="Times New Roman" w:cs="Times New Roman" w:eastAsia="Times New Roman" w:hAnsi="Times New Roman"/>
          <w:sz w:val="18"/>
          <w:szCs w:val="18"/>
          <w:i w:val="1"/>
          <w:iCs w:val="1"/>
          <w:color w:val="auto"/>
        </w:rPr>
        <w:t>COVID-19 Pandemic Update”</w:t>
      </w:r>
      <w:r>
        <w:rPr>
          <w:rFonts w:ascii="Times New Roman" w:cs="Times New Roman" w:eastAsia="Times New Roman" w:hAnsi="Times New Roman"/>
          <w:sz w:val="18"/>
          <w:szCs w:val="18"/>
          <w:color w:val="auto"/>
        </w:rPr>
        <w:t xml:space="preserve"> for key trends and uncertainties with regard to the COVID-19 pandemic.</w:t>
      </w:r>
    </w:p>
    <w:p>
      <w:pPr>
        <w:spacing w:after="0" w:line="13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2021 and the first nine months of 2022, we executed certain business restructuring initiatives aimed at reducing our fixed cost structure and realigning our business. We expect these actions to continue throughout the remainder of 2022 and to drive margin growth.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we created a transformation office and launched and committed resources to the Transformation Program designed to accelerate growth and drive margin expansion by driving operational excellence, reducing complexity and streamlining our processes. We expect to continue to implement Transformation Program initiatives and incur transformation costs throughout the remainder of 2022 and beyond.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nine months of 2022, we continued to experience supply chain challenges, including increased lead times for raw materials due to availability constraints and high demand. While we have elevated our engagement with our suppliers and used secondary suppliers and new methods of procurement where available to mitigate the supply chain pressures, we expect supply chain challenges to continue throughout the remainder of 2022, which may continue thereafter and could negatively impact our results of operations.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nine months of 2022, we continued to experience inflationary increases in costs of raw materials such as metals, resins and electronics (including drives and motors), as well as increases in logistics, transportation and labor costs. While we have taken pricing actions and we strive for productivity improvements that could help offset these inflationary cost increases, we expect inflationary cost increases to continue throughout the remainder of 2022, which may continue thereafter and could negatively impact our results of operations.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nine months of 2022, we continued to experience increased inventory levels in order to support market demand and reflect ongoing supply chain challenges. In the third quarter of 2022, we began to see inventory correcting within our residential distributor channels, which we expect to result in moderated volumes for the next few quarters as channel inventories normalize to more historical levels and could negatively impact our results of operations.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the first nine months of 2022, our backlog, primarily in our Consumer Solutions segment, decreased compared to the backlog at the end of 2021. Shipments outpaced new orders during the period as customers balanced the need to place new orders with market demand and channel inventory levels. This downward trend may continue throughout the remainder of 2022 as we expect backlog to return to more historical levels.</w:t>
      </w:r>
    </w:p>
    <w:p>
      <w:pPr>
        <w:spacing w:after="0" w:line="121"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our operating objectives remain to focus on delivering our core while continuing to build out our future. We expect to execute these objectives by:</w:t>
      </w:r>
    </w:p>
    <w:p>
      <w:pPr>
        <w:spacing w:after="0" w:line="17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revenue growth in our core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income and cash by managing price/cost inflation, prioritizing growth investments and addressing the cost structures as necessary;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focus on capital allocation through:</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Committing to maintain our investment grade rating;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cash to shareholders through dividends and share repurchases;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our business with strategically-aligned mergers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growth initiatives that accelerate our investments in digital, technology and services expansion;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Transformation Program initiatives that will drive operational excellence, reduce complexity and improve our organizational structure;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Manitowoc Ice’s operations with our existing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three months ended September 30, 2022 and 2021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6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85.9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707.0</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634.4</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72.6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348.1</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33.0 %</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34.5 %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 pts</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177.3</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145.6</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16.8 %</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 pts</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147.1</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13.9 %</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17.3 %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(3.4) pts</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16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127.7</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165.8</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9.6 %</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13.3 %</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(3.7) pts</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nine months ended September 30, 2022 and September 30, 2021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4"/>
                <w:szCs w:val="14"/>
                <w:color w:val="auto"/>
              </w:rPr>
            </w:pPr>
          </w:p>
        </w:tc>
        <w:tc>
          <w:tcPr>
            <w:tcW w:w="14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4"/>
                <w:szCs w:val="14"/>
                <w:color w:val="auto"/>
              </w:rPr>
            </w:pPr>
          </w:p>
        </w:tc>
        <w:tc>
          <w:tcPr>
            <w:tcW w:w="1240" w:type="dxa"/>
            <w:vAlign w:val="bottom"/>
          </w:tcPr>
          <w:p>
            <w:pPr>
              <w:jc w:val="right"/>
              <w:ind w:right="71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2,776.2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342.7</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2,079.1</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1,785.2</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293.9</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1,039.8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991.0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48.8</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33.3 %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35.7 %</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40" w:type="dxa"/>
            <w:vAlign w:val="bottom"/>
            <w:gridSpan w:val="2"/>
          </w:tcPr>
          <w:p>
            <w:pPr>
              <w:ind w:left="700"/>
              <w:spacing w:after="0"/>
              <w:rPr>
                <w:sz w:val="20"/>
                <w:szCs w:val="20"/>
                <w:color w:val="auto"/>
              </w:rPr>
            </w:pPr>
            <w:r>
              <w:rPr>
                <w:rFonts w:ascii="Times New Roman" w:cs="Times New Roman" w:eastAsia="Times New Roman" w:hAnsi="Times New Roman"/>
                <w:sz w:val="18"/>
                <w:szCs w:val="18"/>
                <w:i w:val="1"/>
                <w:iCs w:val="1"/>
                <w:color w:val="auto"/>
              </w:rPr>
              <w:t>(2.4) pts</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487.0</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440.4</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46.6</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15.9 %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i w:val="1"/>
                <w:iCs w:val="1"/>
                <w:color w:val="auto"/>
              </w:rPr>
              <w:t>(0.3) pts</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i w:val="1"/>
                <w:iCs w:val="1"/>
                <w:color w:val="auto"/>
              </w:rPr>
              <w:t>(0.1) pts</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483.7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486.2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15.5 %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40" w:type="dxa"/>
            <w:vAlign w:val="bottom"/>
            <w:gridSpan w:val="2"/>
          </w:tcPr>
          <w:p>
            <w:pPr>
              <w:ind w:left="700"/>
              <w:spacing w:after="0"/>
              <w:rPr>
                <w:sz w:val="20"/>
                <w:szCs w:val="20"/>
                <w:color w:val="auto"/>
              </w:rPr>
            </w:pPr>
            <w:r>
              <w:rPr>
                <w:rFonts w:ascii="Times New Roman" w:cs="Times New Roman" w:eastAsia="Times New Roman" w:hAnsi="Times New Roman"/>
                <w:sz w:val="18"/>
                <w:szCs w:val="18"/>
                <w:i w:val="1"/>
                <w:iCs w:val="1"/>
                <w:color w:val="auto"/>
              </w:rPr>
              <w:t>(2.0) pts</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16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449.2</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475.1</w:t>
            </w: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(25.9)</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13.9 %</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14.2 %</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(0.3) pts</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consolidated net sales change from the prior period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51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37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r>
      <w:tr>
        <w:trPr>
          <w:trHeight w:val="238"/>
        </w:trPr>
        <w:tc>
          <w:tcPr>
            <w:tcW w:w="238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37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5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(10.5)%</w:t>
            </w:r>
          </w:p>
        </w:tc>
        <w:tc>
          <w:tcPr>
            <w:tcW w:w="3760" w:type="dxa"/>
            <w:vAlign w:val="bottom"/>
            <w:shd w:val="clear" w:color="auto" w:fill="CCEEFF"/>
          </w:tcPr>
          <w:p>
            <w:pPr>
              <w:ind w:left="324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5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14.7</w:t>
            </w:r>
          </w:p>
        </w:tc>
        <w:tc>
          <w:tcPr>
            <w:tcW w:w="3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5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4.2</w:t>
            </w:r>
          </w:p>
        </w:tc>
        <w:tc>
          <w:tcPr>
            <w:tcW w:w="3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51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7.4</w:t>
            </w:r>
          </w:p>
        </w:tc>
        <w:tc>
          <w:tcPr>
            <w:tcW w:w="3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2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5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(2.7)</w:t>
            </w:r>
          </w:p>
        </w:tc>
        <w:tc>
          <w:tcPr>
            <w:tcW w:w="3760" w:type="dxa"/>
            <w:vAlign w:val="bottom"/>
            <w:tcBorders>
              <w:bottom w:val="single" w:sz="8" w:color="auto"/>
            </w:tcBorders>
            <w:shd w:val="clear" w:color="auto" w:fill="CCEEFF"/>
          </w:tcPr>
          <w:p>
            <w:pPr>
              <w:ind w:left="324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8.9 %</w:t>
            </w:r>
          </w:p>
        </w:tc>
        <w:tc>
          <w:tcPr>
            <w:tcW w:w="3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8.9 and 12.3 percent increases in net sales in the third quarter and first nine months, respectively, of 2022 from 2021 were primarily driven by:</w:t>
      </w:r>
    </w:p>
    <w:p>
      <w:pPr>
        <w:spacing w:after="0" w:line="173" w:lineRule="exact"/>
        <w:rPr>
          <w:sz w:val="20"/>
          <w:szCs w:val="20"/>
          <w:color w:val="auto"/>
        </w:rPr>
      </w:pPr>
    </w:p>
    <w:p>
      <w:pPr>
        <w:ind w:left="500" w:hanging="330"/>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from the acquisitions of Manitowoc Ice, Pleatco Holdings, LLC (“Pleatco”), and Ken’s Beverage, Inc. (“KBI”) completed in the third quarter of 2022, the fourth quarter of 2021 and the second quarter of 2021, respectively;</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a rise in inflationary cost; and</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increase in our industrial solutions flow businesses within our Industrial &amp; Flow Technologies segment in the third quarter and first nine months of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500" w:hanging="330"/>
        <w:spacing w:after="0" w:line="282" w:lineRule="auto"/>
        <w:tabs>
          <w:tab w:leader="none" w:pos="49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volume decrease in our Consumer Solutions segment mainly driven by our pool and residential water treatment businesses in the third quarter and first nine months of 2022;</w:t>
      </w:r>
    </w:p>
    <w:p>
      <w:pPr>
        <w:spacing w:after="0" w:line="107" w:lineRule="exact"/>
        <w:rPr>
          <w:rFonts w:ascii="Times New Roman" w:cs="Times New Roman" w:eastAsia="Times New Roman" w:hAnsi="Times New Roman"/>
          <w:sz w:val="18"/>
          <w:szCs w:val="18"/>
          <w:i w:val="1"/>
          <w:iCs w:val="1"/>
          <w:color w:val="auto"/>
        </w:rPr>
      </w:pPr>
    </w:p>
    <w:p>
      <w:pPr>
        <w:ind w:left="500" w:hanging="330"/>
        <w:spacing w:after="0" w:line="282" w:lineRule="auto"/>
        <w:tabs>
          <w:tab w:leader="none" w:pos="4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decrease in our residential and irrigation flow businesses within our Industrial &amp; Flow Technologies segment in the third quarter and first nine months of 2022; and</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third quarter and first nine months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1.5 and 2.4 percentage point decreases in gross profit as a percentage of net sales in the third quarter and first nine months, respectively, of 2022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were primarily driven by:</w:t>
      </w:r>
    </w:p>
    <w:p>
      <w:pPr>
        <w:spacing w:after="0" w:line="153" w:lineRule="exact"/>
        <w:rPr>
          <w:sz w:val="20"/>
          <w:szCs w:val="20"/>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inflationary cost increases due to tight supply of raw materials such as metals, resins and electronics;</w:t>
      </w:r>
    </w:p>
    <w:p>
      <w:pPr>
        <w:spacing w:after="0" w:line="171" w:lineRule="exact"/>
        <w:rPr>
          <w:rFonts w:ascii="Times New Roman" w:cs="Times New Roman" w:eastAsia="Times New Roman" w:hAnsi="Times New Roman"/>
          <w:sz w:val="18"/>
          <w:szCs w:val="18"/>
          <w:b w:val="1"/>
          <w:bCs w:val="1"/>
          <w:i w:val="1"/>
          <w:iCs w:val="1"/>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logistics and labor costs due to increased demand, additional headcount and factory labor wage increases;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inventory fair market value step-up of $5.8 million as a result of the Manitowoc Ice acquisition; and</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of $2.3 million recorded in the first nine months of 2022 for the write-off of inventory and costs related to contracts and orders that we will no longer fulfill in light of our exiting of business activity and sales in Russia.</w:t>
      </w:r>
    </w:p>
    <w:p>
      <w:pPr>
        <w:spacing w:after="0" w:line="200" w:lineRule="exact"/>
        <w:rPr>
          <w:sz w:val="20"/>
          <w:szCs w:val="20"/>
          <w:color w:val="auto"/>
        </w:rPr>
      </w:pPr>
    </w:p>
    <w:p>
      <w:pPr>
        <w:spacing w:after="0" w:line="286" w:lineRule="exact"/>
        <w:rPr>
          <w:sz w:val="20"/>
          <w:szCs w:val="20"/>
          <w:color w:val="auto"/>
        </w:rPr>
      </w:pPr>
    </w:p>
    <w:p>
      <w:pPr>
        <w:ind w:left="480" w:hanging="310"/>
        <w:spacing w:after="0"/>
        <w:tabs>
          <w:tab w:leader="none" w:pos="48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increases in selling prices to mitigate impacts of inflation.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1.8 percentage point increase in SG&amp;A as a percentage of net sales in the third quarter of 2022 from 2021 was primarily driven by:</w:t>
      </w:r>
    </w:p>
    <w:p>
      <w:pPr>
        <w:spacing w:after="0" w:line="153" w:lineRule="exact"/>
        <w:rPr>
          <w:sz w:val="20"/>
          <w:szCs w:val="20"/>
          <w:color w:val="auto"/>
        </w:rPr>
      </w:pPr>
    </w:p>
    <w:p>
      <w:pPr>
        <w:ind w:left="500" w:right="20" w:hanging="330"/>
        <w:spacing w:after="0" w:line="282" w:lineRule="auto"/>
        <w:tabs>
          <w:tab w:leader="none" w:pos="49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identifiable intangible asset amortization expense of $12.9 million related to the addition of Manitowoc Ice’s definite-lived intangible assets in the third quarter of 2022;</w:t>
      </w:r>
    </w:p>
    <w:p>
      <w:pPr>
        <w:spacing w:after="0" w:line="107" w:lineRule="exact"/>
        <w:rPr>
          <w:rFonts w:ascii="Times New Roman" w:cs="Times New Roman" w:eastAsia="Times New Roman" w:hAnsi="Times New Roman"/>
          <w:sz w:val="18"/>
          <w:szCs w:val="18"/>
          <w:i w:val="1"/>
          <w:iCs w:val="1"/>
          <w:color w:val="auto"/>
        </w:rPr>
      </w:pPr>
    </w:p>
    <w:p>
      <w:pPr>
        <w:ind w:left="500" w:hanging="330"/>
        <w:spacing w:after="0" w:line="282" w:lineRule="auto"/>
        <w:tabs>
          <w:tab w:leader="none" w:pos="49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deal-related costs and expenses of $13.4 million in the third quarter of 2022, compared to $2.1 million in the third quarter of 2021 primarily as a result of the Manitowoc Ice acquisition;</w:t>
      </w:r>
    </w:p>
    <w:p>
      <w:pPr>
        <w:spacing w:after="0" w:line="107"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restructuring costs of $10.9 million in the third quarter of 2022, compared to none in the third quarter of 2021; and</w:t>
      </w:r>
    </w:p>
    <w:p>
      <w:pPr>
        <w:spacing w:after="0" w:line="171"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transformation costs of $10.1 million in the third quarter of 2022, compared to $4.0 million in the third quarter of 2021.</w:t>
      </w:r>
    </w:p>
    <w:p>
      <w:pPr>
        <w:spacing w:after="0" w:line="200" w:lineRule="exact"/>
        <w:rPr>
          <w:sz w:val="20"/>
          <w:szCs w:val="20"/>
          <w:color w:val="auto"/>
        </w:rPr>
      </w:pPr>
    </w:p>
    <w:p>
      <w:pPr>
        <w:spacing w:after="0" w:line="349" w:lineRule="exact"/>
        <w:rPr>
          <w:sz w:val="20"/>
          <w:szCs w:val="20"/>
          <w:color w:val="auto"/>
        </w:rPr>
      </w:pPr>
    </w:p>
    <w:p>
      <w:pPr>
        <w:ind w:left="500" w:right="20" w:hanging="330"/>
        <w:spacing w:after="0" w:line="282" w:lineRule="auto"/>
        <w:tabs>
          <w:tab w:leader="none" w:pos="495"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higher employee incentive expense in the third quarter of 2021 compared to the third quarter of 2022 as a result of stronger financial performance in 2021 than initially forecasted.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The 0.3 percentage point decrease in SG&amp;A as a percentage of net sales in the </w:t>
      </w:r>
      <w:r>
        <w:rPr>
          <w:rFonts w:ascii="Times New Roman" w:cs="Times New Roman" w:eastAsia="Times New Roman" w:hAnsi="Times New Roman"/>
          <w:sz w:val="18"/>
          <w:szCs w:val="18"/>
          <w:color w:val="auto"/>
        </w:rPr>
        <w:t>first nine months</w:t>
      </w:r>
      <w:r>
        <w:rPr>
          <w:rFonts w:ascii="Times New Roman" w:cs="Times New Roman" w:eastAsia="Times New Roman" w:hAnsi="Times New Roman"/>
          <w:sz w:val="18"/>
          <w:szCs w:val="18"/>
          <w:i w:val="1"/>
          <w:iCs w:val="1"/>
          <w:color w:val="auto"/>
        </w:rPr>
        <w:t xml:space="preserve"> of 2022 from 2021 was primarily driven by:</w:t>
      </w:r>
    </w:p>
    <w:p>
      <w:pPr>
        <w:spacing w:after="0" w:line="173" w:lineRule="exact"/>
        <w:rPr>
          <w:sz w:val="20"/>
          <w:szCs w:val="20"/>
          <w:color w:val="auto"/>
        </w:rPr>
      </w:pPr>
    </w:p>
    <w:p>
      <w:pPr>
        <w:ind w:left="500" w:hanging="330"/>
        <w:spacing w:after="0" w:line="282" w:lineRule="auto"/>
        <w:tabs>
          <w:tab w:leader="none" w:pos="49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higher employee incentive and stock compensation expense in the first nine months of 2021 compared to the first nine months of 2022 as a result of stronger financial performance in 2021 than initially forecasted;</w:t>
      </w:r>
    </w:p>
    <w:p>
      <w:pPr>
        <w:spacing w:after="0" w:line="107" w:lineRule="exact"/>
        <w:rPr>
          <w:rFonts w:ascii="Times New Roman" w:cs="Times New Roman" w:eastAsia="Times New Roman" w:hAnsi="Times New Roman"/>
          <w:sz w:val="18"/>
          <w:szCs w:val="18"/>
          <w:b w:val="1"/>
          <w:bCs w:val="1"/>
          <w:i w:val="1"/>
          <w:iCs w:val="1"/>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proceeds received in the second quarter of 2022 as recovery of previously incurred expenses;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sale of fixed assets completed in the second quarter of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480" w:hanging="310"/>
        <w:spacing w:after="0"/>
        <w:tabs>
          <w:tab w:leader="none" w:pos="48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transformation costs of $20.8 million in the first nine months of 2022, compared to $5.9 million in the first nine months of 2021; and</w:t>
      </w:r>
    </w:p>
    <w:p>
      <w:pPr>
        <w:spacing w:after="0" w:line="171" w:lineRule="exact"/>
        <w:rPr>
          <w:rFonts w:ascii="Times New Roman" w:cs="Times New Roman" w:eastAsia="Times New Roman" w:hAnsi="Times New Roman"/>
          <w:sz w:val="18"/>
          <w:szCs w:val="18"/>
          <w:i w:val="1"/>
          <w:iCs w:val="1"/>
          <w:color w:val="auto"/>
        </w:rPr>
      </w:pPr>
    </w:p>
    <w:p>
      <w:pPr>
        <w:ind w:left="500" w:hanging="330"/>
        <w:spacing w:after="0" w:line="282" w:lineRule="auto"/>
        <w:tabs>
          <w:tab w:leader="none" w:pos="49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increased deal-related costs and expenses of $21.4 million in the first nine months of 2022, compared to $3.8 million in the first nine months of 2021 primarily as a result of the Manitowoc Ice acquisition.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increase in net interest expense in the third quarter and first nine months of 2022 from 2021 was primarily driven by:</w:t>
      </w:r>
    </w:p>
    <w:p>
      <w:pPr>
        <w:spacing w:after="0" w:line="153" w:lineRule="exact"/>
        <w:rPr>
          <w:sz w:val="20"/>
          <w:szCs w:val="20"/>
          <w:color w:val="auto"/>
        </w:rPr>
      </w:pPr>
    </w:p>
    <w:p>
      <w:pPr>
        <w:ind w:left="480" w:hanging="31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debt due to the acquisition of Manitowoc Ice;</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debt issuance costs of $1.3 million during the third quarter of 2022 and $9.0 million during the first nine months of 2022 related to financing commitments for a bridge loan facility established in connection with the definitive agreement to purchase Manitowoc Ice; and</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variable interest rates compared to the same periods of the prior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increase was partially offset by:</w:t>
      </w:r>
    </w:p>
    <w:p>
      <w:pPr>
        <w:spacing w:after="0" w:line="173" w:lineRule="exact"/>
        <w:rPr>
          <w:sz w:val="20"/>
          <w:szCs w:val="20"/>
          <w:color w:val="auto"/>
        </w:rPr>
      </w:pPr>
    </w:p>
    <w:p>
      <w:pPr>
        <w:ind w:left="500" w:hanging="330"/>
        <w:spacing w:after="0" w:line="282" w:lineRule="auto"/>
        <w:tabs>
          <w:tab w:leader="none" w:pos="4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weakening of the Euro compared to the same periods of the prior year resulting in less interest expense on the outstanding cross currency swaps in the third quarter and first nine months of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The 3.7 and 0.3 percentage point decreases in the effective tax rate in the third quarter and first nine months, respectively, of 2022 from 2021 were primarily driven b</w:t>
      </w:r>
      <w:r>
        <w:rPr>
          <w:rFonts w:ascii="Times New Roman" w:cs="Times New Roman" w:eastAsia="Times New Roman" w:hAnsi="Times New Roman"/>
          <w:sz w:val="18"/>
          <w:szCs w:val="18"/>
          <w:color w:val="auto"/>
        </w:rPr>
        <w:t>y:</w:t>
      </w:r>
    </w:p>
    <w:p>
      <w:pPr>
        <w:spacing w:after="0" w:line="127" w:lineRule="exact"/>
        <w:rPr>
          <w:sz w:val="20"/>
          <w:szCs w:val="20"/>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mix of global earnings.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480" w:hanging="310"/>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favorable discrete items that occurred during the third quarter and first nine months of 2021 that did not occur in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two reportable segments (Consumer Solutions and Industrial &amp; Flow Technologies). Each of these segments is comprised of various product offerings that serve multiple end users.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acquisition-related expenses, costs of restructuring and transformation activities, impairments and other unusual non-operating items.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 Solutions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net sales and segment income for Consumer Solutions were as follows: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12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3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613.6</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1,992.7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1,711.9</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144.2</w:t>
            </w:r>
          </w:p>
        </w:tc>
        <w:tc>
          <w:tcPr>
            <w:tcW w:w="1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466.3</w:t>
            </w:r>
          </w:p>
        </w:tc>
        <w:tc>
          <w:tcPr>
            <w:tcW w:w="2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418.6</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23.8 %</w:t>
            </w:r>
          </w:p>
        </w:tc>
        <w:tc>
          <w:tcPr>
            <w:tcW w:w="17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23.5 %</w:t>
            </w:r>
          </w:p>
        </w:tc>
        <w:tc>
          <w:tcPr>
            <w:tcW w:w="17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i w:val="1"/>
                <w:iCs w:val="1"/>
                <w:color w:val="auto"/>
              </w:rPr>
              <w:t>0.3 pts</w:t>
            </w:r>
          </w:p>
        </w:tc>
        <w:tc>
          <w:tcPr>
            <w:tcW w:w="13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23.4 %</w:t>
            </w:r>
          </w:p>
        </w:tc>
        <w:tc>
          <w:tcPr>
            <w:tcW w:w="15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24.5 %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 pts</w:t>
            </w:r>
          </w:p>
        </w:tc>
      </w:tr>
      <w:tr>
        <w:trPr>
          <w:trHeight w:val="454"/>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change in Consumer Solutions net sales from the prior period were as follows:</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7"/>
        </w:trPr>
        <w:tc>
          <w:tcPr>
            <w:tcW w:w="2320" w:type="dxa"/>
            <w:vAlign w:val="bottom"/>
          </w:tcPr>
          <w:p>
            <w:pPr>
              <w:spacing w:after="0"/>
              <w:rPr>
                <w:sz w:val="24"/>
                <w:szCs w:val="24"/>
                <w:color w:val="auto"/>
              </w:rPr>
            </w:pPr>
          </w:p>
        </w:tc>
        <w:tc>
          <w:tcPr>
            <w:tcW w:w="522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37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r>
      <w:tr>
        <w:trPr>
          <w:trHeight w:val="238"/>
        </w:trPr>
        <w:tc>
          <w:tcPr>
            <w:tcW w:w="2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88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820" w:type="dxa"/>
            <w:vAlign w:val="bottom"/>
            <w:tcBorders>
              <w:bottom w:val="single" w:sz="8" w:color="auto"/>
            </w:tcBorders>
          </w:tcPr>
          <w:p>
            <w:pPr>
              <w:spacing w:after="0"/>
              <w:rPr>
                <w:sz w:val="20"/>
                <w:szCs w:val="20"/>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7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(17.6)%</w:t>
            </w:r>
          </w:p>
        </w:tc>
        <w:tc>
          <w:tcPr>
            <w:tcW w:w="1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16.1</w:t>
            </w:r>
          </w:p>
        </w:tc>
        <w:tc>
          <w:tcPr>
            <w:tcW w:w="1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17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11.3</w:t>
            </w:r>
          </w:p>
        </w:tc>
        <w:tc>
          <w:tcPr>
            <w:tcW w:w="1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7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c>
          <w:tcPr>
            <w:tcW w:w="1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8.4 %</w:t>
            </w:r>
          </w:p>
        </w:tc>
        <w:tc>
          <w:tcPr>
            <w:tcW w:w="1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8.4 and 16.4 percent increases in net sales for Consumer Solutions in the third quarter and first nine months, respectively, of 2022 from 2021 were primarily driven by:</w:t>
      </w:r>
    </w:p>
    <w:p>
      <w:pPr>
        <w:spacing w:after="0" w:line="106" w:lineRule="exact"/>
        <w:rPr>
          <w:sz w:val="20"/>
          <w:szCs w:val="20"/>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impacts of inflation;</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Manitowoc Ice acquisition that occurred in the third quarter of 2022 and the Pleatco and KBI acquisitions that occurred in the fourth quarter of 2021 and the second quarter of 2021, respectively; and</w:t>
      </w:r>
    </w:p>
    <w:p>
      <w:pPr>
        <w:spacing w:after="0" w:line="10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in our commercial water solutions business in the third quarter and first nine months of 2022 compared to the prior year periods.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500" w:hanging="330"/>
        <w:spacing w:after="0" w:line="282" w:lineRule="auto"/>
        <w:tabs>
          <w:tab w:leader="none" w:pos="4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in our pool and residential water treatment businesses in the third quarter and first nine months of 2022 compared to the prior year periods; and</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third quarter and first nine months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Consumer Solutions segment income as a percentage of net sales from the prior period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19"/>
                <w:szCs w:val="19"/>
                <w:color w:val="auto"/>
              </w:rPr>
            </w:pPr>
          </w:p>
        </w:tc>
        <w:tc>
          <w:tcPr>
            <w:tcW w:w="4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500" w:type="dxa"/>
            <w:vAlign w:val="bottom"/>
          </w:tcPr>
          <w:p>
            <w:pPr>
              <w:spacing w:after="0"/>
              <w:rPr>
                <w:sz w:val="19"/>
                <w:szCs w:val="19"/>
                <w:color w:val="auto"/>
              </w:rPr>
            </w:pPr>
          </w:p>
        </w:tc>
        <w:tc>
          <w:tcPr>
            <w:tcW w:w="3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280" w:type="dxa"/>
            <w:vAlign w:val="bottom"/>
          </w:tcPr>
          <w:p>
            <w:pPr>
              <w:spacing w:after="0"/>
              <w:rPr>
                <w:sz w:val="19"/>
                <w:szCs w:val="19"/>
                <w:color w:val="auto"/>
              </w:rPr>
            </w:pPr>
          </w:p>
        </w:tc>
      </w:tr>
      <w:tr>
        <w:trPr>
          <w:trHeight w:val="238"/>
        </w:trPr>
        <w:tc>
          <w:tcPr>
            <w:tcW w:w="27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5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Growth/Price/Acquisition</w:t>
            </w:r>
          </w:p>
        </w:tc>
        <w:tc>
          <w:tcPr>
            <w:tcW w:w="4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4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19"/>
                <w:szCs w:val="19"/>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4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shd w:val="clear" w:color="auto" w:fill="CCEEFF"/>
          </w:tcPr>
          <w:p>
            <w:pPr>
              <w:spacing w:after="0"/>
              <w:rPr>
                <w:sz w:val="19"/>
                <w:szCs w:val="19"/>
                <w:color w:val="auto"/>
              </w:rPr>
            </w:pP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shd w:val="clear" w:color="auto" w:fill="CCEEFF"/>
          </w:tcPr>
          <w:p>
            <w:pPr>
              <w:spacing w:after="0"/>
              <w:rPr>
                <w:sz w:val="19"/>
                <w:szCs w:val="19"/>
                <w:color w:val="auto"/>
              </w:rPr>
            </w:pPr>
          </w:p>
        </w:tc>
      </w:tr>
      <w:tr>
        <w:trPr>
          <w:trHeight w:val="230"/>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4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Borders>
              <w:bottom w:val="single" w:sz="8" w:color="auto"/>
            </w:tcBorders>
          </w:tcPr>
          <w:p>
            <w:pPr>
              <w:spacing w:after="0"/>
              <w:rPr>
                <w:sz w:val="19"/>
                <w:szCs w:val="19"/>
                <w:color w:val="auto"/>
              </w:rPr>
            </w:pPr>
          </w:p>
        </w:tc>
      </w:tr>
      <w:tr>
        <w:trPr>
          <w:trHeight w:val="248"/>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2780" w:type="dxa"/>
            <w:vAlign w:val="bottom"/>
            <w:tcBorders>
              <w:top w:val="single" w:sz="8" w:color="CCEEFF"/>
              <w:bottom w:val="single" w:sz="8" w:color="auto"/>
            </w:tcBorders>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0.3 percentage point increase in segment income for Consumer Solutions as a percentage of net sales in the third quarter of 2022 from 2021 was primarily driven by:</w:t>
      </w:r>
    </w:p>
    <w:p>
      <w:pPr>
        <w:spacing w:after="0" w:line="106" w:lineRule="exact"/>
        <w:rPr>
          <w:sz w:val="20"/>
          <w:szCs w:val="20"/>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of the Manitowoc Ice business that was acquired in the third quarter of 2022;</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the impacts of inflation;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 w:hanging="310"/>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mix of higher margin products in the pool business in the third quarter of 2022 compared to 2021;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in our commercial water solutions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500" w:hanging="330"/>
        <w:spacing w:after="0" w:line="282" w:lineRule="auto"/>
        <w:tabs>
          <w:tab w:leader="none" w:pos="4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due to high demand and limited supply of raw materials such as metals, resins and electronics along with increased logistics and labor costs; and</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productivity in our pool and residential water treatment businesses due to decreased sales volume.</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1.1 percentage point decrease in segment income for Consumer Solutions as a percentage of net sales in the first nine months of 2022 from 2021 was primarily driven by:</w:t>
      </w:r>
    </w:p>
    <w:p>
      <w:pPr>
        <w:spacing w:after="0" w:line="106" w:lineRule="exact"/>
        <w:rPr>
          <w:sz w:val="20"/>
          <w:szCs w:val="20"/>
          <w:color w:val="auto"/>
        </w:rPr>
      </w:pPr>
    </w:p>
    <w:p>
      <w:pPr>
        <w:ind w:left="500" w:hanging="330"/>
        <w:spacing w:after="0" w:line="282" w:lineRule="auto"/>
        <w:tabs>
          <w:tab w:leader="none" w:pos="4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due to high demand and limited supply of raw materials such as metals, resins and electronics along with increased logistics and labor costs; and</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productivity in our pool and residential water treatment businesses due to decreased sales volume.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480" w:hanging="310"/>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of the Manitowoc Ice business that was acquired in the third quarter of 2022;</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the impacts of inflation;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in our commercial water solutions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&amp; Flow Technologies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Industrial &amp; Flow Technologies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340" w:type="dxa"/>
            <w:vAlign w:val="bottom"/>
          </w:tcPr>
          <w:p>
            <w:pPr>
              <w:spacing w:after="0"/>
              <w:rPr>
                <w:sz w:val="14"/>
                <w:szCs w:val="14"/>
                <w:color w:val="auto"/>
              </w:rPr>
            </w:pPr>
          </w:p>
        </w:tc>
        <w:tc>
          <w:tcPr>
            <w:tcW w:w="132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355.1</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1,063.1</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3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159.5</w:t>
            </w:r>
          </w:p>
        </w:tc>
        <w:tc>
          <w:tcPr>
            <w:tcW w:w="3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14.8 %</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2.1</w:t>
            </w:r>
          </w:p>
        </w:tc>
        <w:tc>
          <w:tcPr>
            <w:tcW w:w="80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w w:val="85"/>
              </w:rPr>
              <w:t>pts</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15.7 %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5"/>
              </w:rPr>
              <w:t>pts</w:t>
            </w:r>
          </w:p>
        </w:tc>
        <w:tc>
          <w:tcPr>
            <w:tcW w:w="0" w:type="dxa"/>
            <w:vAlign w:val="bottom"/>
          </w:tcPr>
          <w:p>
            <w:pPr>
              <w:spacing w:after="0"/>
              <w:rPr>
                <w:sz w:val="1"/>
                <w:szCs w:val="1"/>
                <w:color w:val="auto"/>
              </w:rPr>
            </w:pPr>
          </w:p>
        </w:tc>
      </w:tr>
      <w:tr>
        <w:trPr>
          <w:trHeight w:val="441"/>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components of the change in Industrial &amp; Flow Technologies net sales from the prior period were as follows: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2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366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3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1.7 %</w:t>
            </w: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12.4</w:t>
            </w: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14.1</w:t>
            </w: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0.8</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9.7 %</w:t>
            </w: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9.7 and 5.8 percent increases in net sales for Industrial &amp; Flow Technologies in the third quarter and first nine months, respectively, of 2022 from 2021 were primarily driven by:</w:t>
      </w:r>
    </w:p>
    <w:p>
      <w:pPr>
        <w:spacing w:after="0" w:line="106" w:lineRule="exact"/>
        <w:rPr>
          <w:sz w:val="20"/>
          <w:szCs w:val="20"/>
          <w:color w:val="auto"/>
        </w:rPr>
      </w:pPr>
    </w:p>
    <w:p>
      <w:pPr>
        <w:ind w:left="480" w:hanging="310"/>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inflationary cost increases;</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in our industrial solutions business in the third quarter and first nine months of 2022 due to continued recovery in our project sales;</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in our commercial and infrastructure flow businesses in the third quarter of 2022;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 w:hanging="310"/>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acquisition of Pleatco in the fourth quarter of 2021.</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decreased sales volume in our residential and irrigation flow businesses in the third quarter and first nine months of 2022; and</w:t>
      </w:r>
    </w:p>
    <w:p>
      <w:pPr>
        <w:spacing w:after="0" w:line="171"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third quarter and first nine months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Industrial &amp; Flow Technologies segment income as a percentage of net sales from the prior period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19"/>
                <w:szCs w:val="19"/>
                <w:color w:val="auto"/>
              </w:rPr>
            </w:pPr>
          </w:p>
        </w:tc>
        <w:tc>
          <w:tcPr>
            <w:tcW w:w="4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4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2022</w:t>
            </w:r>
          </w:p>
        </w:tc>
        <w:tc>
          <w:tcPr>
            <w:tcW w:w="260" w:type="dxa"/>
            <w:vAlign w:val="bottom"/>
          </w:tcPr>
          <w:p>
            <w:pPr>
              <w:spacing w:after="0"/>
              <w:rPr>
                <w:sz w:val="19"/>
                <w:szCs w:val="19"/>
                <w:color w:val="auto"/>
              </w:rPr>
            </w:pPr>
          </w:p>
        </w:tc>
      </w:tr>
      <w:tr>
        <w:trPr>
          <w:trHeight w:val="238"/>
        </w:trPr>
        <w:tc>
          <w:tcPr>
            <w:tcW w:w="27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4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60" w:type="dxa"/>
            <w:vAlign w:val="bottom"/>
            <w:tcBorders>
              <w:bottom w:val="single" w:sz="8" w:color="auto"/>
            </w:tcBorders>
          </w:tcPr>
          <w:p>
            <w:pPr>
              <w:spacing w:after="0"/>
              <w:rPr>
                <w:sz w:val="20"/>
                <w:szCs w:val="20"/>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Growth/Price/Acquisition</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352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spacing w:after="0"/>
              <w:rPr>
                <w:sz w:val="19"/>
                <w:szCs w:val="19"/>
                <w:color w:val="auto"/>
              </w:rPr>
            </w:pPr>
          </w:p>
        </w:tc>
        <w:tc>
          <w:tcPr>
            <w:tcW w:w="352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98"/>
              </w:rPr>
              <w:t>(0.1)</w:t>
            </w:r>
          </w:p>
        </w:tc>
        <w:tc>
          <w:tcPr>
            <w:tcW w:w="260" w:type="dxa"/>
            <w:vAlign w:val="bottom"/>
          </w:tcPr>
          <w:p>
            <w:pPr>
              <w:spacing w:after="0"/>
              <w:rPr>
                <w:sz w:val="19"/>
                <w:szCs w:val="19"/>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shd w:val="clear" w:color="auto" w:fill="CCEEFF"/>
          </w:tcPr>
          <w:p>
            <w:pPr>
              <w:spacing w:after="0"/>
              <w:rPr>
                <w:sz w:val="19"/>
                <w:szCs w:val="19"/>
                <w:color w:val="auto"/>
              </w:rPr>
            </w:pPr>
          </w:p>
        </w:tc>
        <w:tc>
          <w:tcPr>
            <w:tcW w:w="3520" w:type="dxa"/>
            <w:vAlign w:val="bottom"/>
            <w:shd w:val="clear" w:color="auto" w:fill="CCEEFF"/>
          </w:tcPr>
          <w:p>
            <w:pPr>
              <w:jc w:val="center"/>
              <w:ind w:left="3050"/>
              <w:spacing w:after="0"/>
              <w:rPr>
                <w:sz w:val="20"/>
                <w:szCs w:val="20"/>
                <w:color w:val="auto"/>
              </w:rPr>
            </w:pPr>
            <w:r>
              <w:rPr>
                <w:rFonts w:ascii="Times New Roman" w:cs="Times New Roman" w:eastAsia="Times New Roman" w:hAnsi="Times New Roman"/>
                <w:sz w:val="18"/>
                <w:szCs w:val="18"/>
                <w:color w:val="auto"/>
                <w:w w:val="98"/>
              </w:rPr>
              <w:t>(7.8)</w:t>
            </w:r>
          </w:p>
        </w:tc>
        <w:tc>
          <w:tcPr>
            <w:tcW w:w="260" w:type="dxa"/>
            <w:vAlign w:val="bottom"/>
            <w:shd w:val="clear" w:color="auto" w:fill="CCEEFF"/>
          </w:tcPr>
          <w:p>
            <w:pPr>
              <w:spacing w:after="0"/>
              <w:rPr>
                <w:sz w:val="19"/>
                <w:szCs w:val="19"/>
                <w:color w:val="auto"/>
              </w:rPr>
            </w:pPr>
          </w:p>
        </w:tc>
      </w:tr>
      <w:tr>
        <w:trPr>
          <w:trHeight w:val="230"/>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4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left="3050"/>
              <w:spacing w:after="0"/>
              <w:rPr>
                <w:sz w:val="20"/>
                <w:szCs w:val="20"/>
                <w:color w:val="auto"/>
              </w:rPr>
            </w:pPr>
            <w:r>
              <w:rPr>
                <w:rFonts w:ascii="Times New Roman" w:cs="Times New Roman" w:eastAsia="Times New Roman" w:hAnsi="Times New Roman"/>
                <w:sz w:val="18"/>
                <w:szCs w:val="18"/>
                <w:color w:val="auto"/>
                <w:w w:val="98"/>
              </w:rPr>
              <w:t>(0.7)</w:t>
            </w:r>
          </w:p>
        </w:tc>
        <w:tc>
          <w:tcPr>
            <w:tcW w:w="260" w:type="dxa"/>
            <w:vAlign w:val="bottom"/>
            <w:tcBorders>
              <w:bottom w:val="single" w:sz="8" w:color="auto"/>
            </w:tcBorders>
          </w:tcPr>
          <w:p>
            <w:pPr>
              <w:spacing w:after="0"/>
              <w:rPr>
                <w:sz w:val="19"/>
                <w:szCs w:val="19"/>
                <w:color w:val="auto"/>
              </w:rPr>
            </w:pPr>
          </w:p>
        </w:tc>
      </w:tr>
      <w:tr>
        <w:trPr>
          <w:trHeight w:val="248"/>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pts</w:t>
            </w:r>
          </w:p>
        </w:tc>
        <w:tc>
          <w:tcPr>
            <w:tcW w:w="3520" w:type="dxa"/>
            <w:vAlign w:val="bottom"/>
            <w:tcBorders>
              <w:bottom w:val="single" w:sz="8" w:color="auto"/>
            </w:tcBorders>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278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2.1 and 0.7 percentage point increases in segment income for Industrial &amp; Flow Technologies as a percentage of net sales in the third quarter and first nine months, respectively, of 2022 from 2021, were primarily driven by:</w:t>
      </w:r>
    </w:p>
    <w:p>
      <w:pPr>
        <w:spacing w:after="0" w:line="106" w:lineRule="exact"/>
        <w:rPr>
          <w:sz w:val="20"/>
          <w:szCs w:val="20"/>
          <w:color w:val="auto"/>
        </w:rPr>
      </w:pPr>
    </w:p>
    <w:p>
      <w:pPr>
        <w:ind w:left="480" w:hanging="310"/>
        <w:spacing w:after="0"/>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selling prices to mitigate inflationary cost increases;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proceeds and gain on sale of fixed assets in the second quarter of 2022.</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500" w:right="20" w:hanging="330"/>
        <w:spacing w:after="0" w:line="282" w:lineRule="auto"/>
        <w:tabs>
          <w:tab w:leader="none" w:pos="4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due to high demand and tight supply of metals and resins along with increased logistics costs due to supply chain constraints and labor costs due to workforce shortages; and</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productivity due to supply chain and plant inefficiencies.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BACKLOG OF ORDERS BY SEGMENT</w:t>
            </w: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2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4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4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Solutions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Industrial &amp; Flow Technologies</w:t>
            </w:r>
          </w:p>
        </w:tc>
        <w:tc>
          <w:tcPr>
            <w:tcW w:w="10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32.0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(460.5)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backlog is short-cycle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2022 net sales.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backlog in our Consumer Solutions segment from December 31, 2021 to September 30, 2022 was primarily driven by pool backlog continuing to trend to more historical levels due to increased manufacturing capacity and customers balancing the need to place new orders with market demand and channel inventory levels.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 seasonal cash flows primarily due to seasonal demand in a number of markets. Consistent with historical trends, we experienced seasonal cash usage in the first quarter of 2022 and drew on our revolving credit facility to fund our operations. This cash usage reversed in the second quarter of 2022 as the seasonality of our businesses peaked and generated significant cash to fund our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End-user demand for pool and certain pumping equipment follows warm weather trends and historically has been at seasonal highs from April to August. The magnitude of the sales spike has historically been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4"/>
                <w:szCs w:val="14"/>
                <w:color w:val="auto"/>
              </w:rPr>
            </w:pPr>
          </w:p>
        </w:tc>
        <w:tc>
          <w:tcPr>
            <w:tcW w:w="144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4"/>
                <w:szCs w:val="14"/>
                <w:color w:val="auto"/>
              </w:rPr>
            </w:pPr>
          </w:p>
        </w:tc>
        <w:tc>
          <w:tcPr>
            <w:tcW w:w="14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 of 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540.4</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(114.4)</w:t>
            </w:r>
          </w:p>
        </w:tc>
        <w:tc>
          <w:tcPr>
            <w:tcW w:w="0" w:type="dxa"/>
            <w:vAlign w:val="bottom"/>
          </w:tcPr>
          <w:p>
            <w:pPr>
              <w:spacing w:after="0"/>
              <w:rPr>
                <w:sz w:val="1"/>
                <w:szCs w:val="1"/>
                <w:color w:val="auto"/>
              </w:rPr>
            </w:pPr>
          </w:p>
        </w:tc>
      </w:tr>
      <w:tr>
        <w:trPr>
          <w:trHeight w:val="234"/>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200" w:type="dxa"/>
            <w:vAlign w:val="bottom"/>
          </w:tcPr>
          <w:p>
            <w:pPr>
              <w:spacing w:after="0"/>
              <w:rPr>
                <w:sz w:val="20"/>
                <w:szCs w:val="20"/>
                <w:color w:val="auto"/>
              </w:rPr>
            </w:pPr>
          </w:p>
        </w:tc>
        <w:tc>
          <w:tcPr>
            <w:tcW w:w="14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$271.5 million in net cash provided by operating activities of continuing operations in the first nine months of 2022 primarily reflects $458.2 million of net income from continuing operations, net of non-cash depreciation and definite-lived intangible amortization. Additionally, we had a cash outflow of $165.2 million as a result of changes in net working capital, primarily due to increased inventory balances compared to December 31, 2021. Inventory is higher due to inflationary impacts and continued supply chain inefficiencies.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$540.4 million in net cash provided by operating activities of continuing operations in the first nine months of 2021 primarily reflects $465.1 million of net income from continuing operations, net of non-cash depreciation and definite-lived intangible amortization. Additionally, we had a cash inflow of $64.3 million as a result of changes in net working capital, primarily the result of increased sales and demand leading to higher accrued rebates and incentives, accounts payable, accounts receivable and inventory balances.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used for investing activities in the first nine months of 2022 primarily reflects the net cash paid of $1,591.5 million for the Manitowoc Ice acquisition and capital expenditures of $63.2 million, partially offset by cash received upon the settlement of net investment hedges of $8.8 million.</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the first nine months of 2021 reflects the net cash paid of $82.8 million for the Ken’s Beverage, Inc. acquisition prior to working capital true-ups and capital expenditures of $38.6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in the first nine months of 2022 primarily relates to net borrowings of revolving long-term debt of $256.1 million and net proceeds received from the Term Loan Facility and issuance of the 2032 Senior Notes of $1,391.3 million used to finance the Manitowoc Ice acquisition, partially offset by dividend payments of $104.1 million, repayment of $88.3 million senior fixed notes, share repurchases of $50.0 million and payments of debt issuance costs of $15.7 million.</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the first nine months of 2021 primarily relates to the repayment of $103.8 million of senior fixed notes, net repayments of revolving long-term debt of $36.1 million, share repurchases of $100.0 million, dividend payments of $99.9 million and payments upon the maturity of cross currency swaps of $14.7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greater than 100 percent conversion of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free cash flow:</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4"/>
                <w:szCs w:val="14"/>
                <w:color w:val="auto"/>
              </w:rPr>
            </w:pPr>
          </w:p>
        </w:tc>
        <w:tc>
          <w:tcPr>
            <w:tcW w:w="132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4"/>
                <w:szCs w:val="14"/>
                <w:color w:val="auto"/>
              </w:rPr>
            </w:pPr>
          </w:p>
        </w:tc>
        <w:tc>
          <w:tcPr>
            <w:tcW w:w="132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of continuing operations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 of continuing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from continuing operations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1"/>
        </w:trPr>
        <w:tc>
          <w:tcPr>
            <w:tcW w:w="8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Capital</w:t>
      </w:r>
    </w:p>
    <w:p>
      <w:pPr>
        <w:spacing w:after="0" w:line="20"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which was amended and restated in December 2021,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adjusted base rate, the London interbank offered rate, the euro interbank offered rate or the central bank rate, plus, in each case, an applicable margin. The applicable margin is based on, at PFSA’s election, Pentair’s leverage level or PFSA’s public credit rating.</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total availability under the Senior Credit Facility was $448.4 million. In addition, PFSA has the option to request to increase the revolving credit facility and/or enter into one or more additional tranches of term loans in an aggregate amount of up to $300.0 million, subject to customary conditions, including the commitment of the participating lenders.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in contemplation of the acquisition of Manitowoc Ice, Pentair and PFSA entered into a Loan Agreement among PFSA, as borrower, Pentair, as guarantor, and the lenders and agents party thereto, providing for a five-year $600.0 million senior unsecured term loan facility (the “Term Loan Facility”). In June 2022, the Term Loan Facility was amended to increase the facility by $400.0 million to an aggregate principal amount of $1.0 billion.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2022, in contemplation of the acquisition of Manitowoc Ice, Pentair, as guarantor, and PFSA, as issuer, completed a public offering of $400.0 million aggregate principal amount of 5.900% Senior Notes due 2032 (“2032 Senior Notes”).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used the net proceeds from the Term Loan Facility and the issuance of the 2032 Senior Notes to finance a portion of the Manitowoc Ice acquisition purchase price and to pay related fees and expenses.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$20.9 million, of which there were no outstanding borrowings at September 30, 2022. Borrowings under these credit facilities bear interest at variable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fixed rate senior notes maturing in the next twelve months.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we had $92.3 million of cash held in certain countries in which the ability to repatriate is limited due to local regulations or significant potential tax consequences.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The authorization expires on December 31, 2025. During the nine months ended September 30, 2022, we repurchased 0.9 million of our ordinary shares for $50.0 million. As of September 30, 2022, we had $600.0 million available for share repurchases under this authorization.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19, 2022, the Board of Directors declared a quarterly cash dividend of $0.21, payable on November 4, 2022 to shareholders of record at the close of business on October 21, 2022.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$34.5 million at September 30, 2022, compared to $33.0 million at December 31, 2021.</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paid dividends in the first nine months of 2022 of $104.1 million, or $0.63 per ordinary share, compared with $99.9 million, or $0.60 per ordinary share, in the prior year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$8.4 billion as of December 31,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guarantor information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Neither the subsidiaries of the Parent Company Guarantor nor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summarized financial information as of September 30, 2022 and December 31, 2021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8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vMerge w:val="continue"/>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(2)</w:t>
            </w:r>
          </w:p>
        </w:tc>
        <w:tc>
          <w:tcPr>
            <w:tcW w:w="3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3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Noncurrent liabilities </w:t>
            </w:r>
            <w:r>
              <w:rPr>
                <w:rFonts w:ascii="Times New Roman" w:cs="Times New Roman" w:eastAsia="Times New Roman" w:hAnsi="Times New Roman"/>
                <w:sz w:val="23"/>
                <w:szCs w:val="23"/>
                <w:color w:val="auto"/>
                <w:vertAlign w:val="superscript"/>
              </w:rPr>
              <w:t>(4)</w:t>
            </w:r>
          </w:p>
        </w:tc>
        <w:tc>
          <w:tcPr>
            <w:tcW w:w="3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0" w:type="dxa"/>
            <w:vAlign w:val="bottom"/>
          </w:tcPr>
          <w:p>
            <w:pPr>
              <w:spacing w:after="0"/>
              <w:rPr>
                <w:sz w:val="1"/>
                <w:szCs w:val="1"/>
                <w:color w:val="auto"/>
              </w:rPr>
            </w:pPr>
          </w:p>
        </w:tc>
      </w:tr>
    </w:tbl>
    <w:p>
      <w:pPr>
        <w:ind w:left="200" w:hanging="174"/>
        <w:spacing w:after="0" w:line="206" w:lineRule="auto"/>
        <w:tabs>
          <w:tab w:leader="none" w:pos="200"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No assets due from non-guarantor subsidiaries were included as of September 30, 2022 and December 31, 2021, respectively.</w:t>
      </w:r>
    </w:p>
    <w:p>
      <w:pPr>
        <w:spacing w:after="0" w:line="20" w:lineRule="exact"/>
        <w:rPr>
          <w:rFonts w:ascii="Times New Roman" w:cs="Times New Roman" w:eastAsia="Times New Roman" w:hAnsi="Times New Roman"/>
          <w:sz w:val="22"/>
          <w:szCs w:val="22"/>
          <w:color w:val="auto"/>
          <w:vertAlign w:val="superscript"/>
        </w:rPr>
      </w:pPr>
    </w:p>
    <w:p>
      <w:pPr>
        <w:ind w:left="200" w:hanging="174"/>
        <w:spacing w:after="0" w:line="181" w:lineRule="auto"/>
        <w:tabs>
          <w:tab w:leader="none" w:pos="20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assets due from non-guarantor subsidiaries of $2,644.2 million and $1,202.5 million as of September 30, 2022 and December 31, 2021, respectively.</w:t>
      </w:r>
    </w:p>
    <w:p>
      <w:pPr>
        <w:spacing w:after="0" w:line="20" w:lineRule="exact"/>
        <w:rPr>
          <w:rFonts w:ascii="Times New Roman" w:cs="Times New Roman" w:eastAsia="Times New Roman" w:hAnsi="Times New Roman"/>
          <w:sz w:val="21"/>
          <w:szCs w:val="21"/>
          <w:color w:val="auto"/>
          <w:vertAlign w:val="superscript"/>
        </w:rPr>
      </w:pPr>
    </w:p>
    <w:p>
      <w:pPr>
        <w:ind w:left="200" w:hanging="174"/>
        <w:spacing w:after="0" w:line="181" w:lineRule="auto"/>
        <w:tabs>
          <w:tab w:leader="none" w:pos="20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liabilities due to non-guarantor subsidiaries of $918.3 million and $792.1 million as of September 30, 2022 and December 31, 2021, respectively.</w:t>
      </w:r>
    </w:p>
    <w:p>
      <w:pPr>
        <w:spacing w:after="0" w:line="20" w:lineRule="exact"/>
        <w:rPr>
          <w:rFonts w:ascii="Times New Roman" w:cs="Times New Roman" w:eastAsia="Times New Roman" w:hAnsi="Times New Roman"/>
          <w:sz w:val="21"/>
          <w:szCs w:val="21"/>
          <w:color w:val="auto"/>
          <w:vertAlign w:val="superscript"/>
        </w:rPr>
      </w:pPr>
    </w:p>
    <w:p>
      <w:pPr>
        <w:ind w:left="200" w:hanging="174"/>
        <w:spacing w:after="0" w:line="181" w:lineRule="auto"/>
        <w:tabs>
          <w:tab w:leader="none" w:pos="20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liabilities due to non-guarantor subsidiaries of $239.3 million and $276.8 million as of September 30, 2022 and December 31, 2021, respectively.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2021,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2021, except for the additional critical accounting policy related to business combinations as set forth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Assets and liabilities acquired in a business combination are recorded at their estimated fair values at the acquisition date. Goodwill is recorded when the purchase price exceeds the estimated fair value of the net identifiable tangible and intangible assets acquired. Estimates of intangible asset fair value represent management’s best estimate of assumptions and about future events and uncertainties, including significant judgments related to future cash flows, discount rates, margin and revenue growth assumptions including royalty rates and customer attrition rates, and others. Inputs used are generally obtained from historical data supplemented by current and anticipated market conditions and growth rates. If the actual results differ from the estimates and judgments used in these fair values, the amounts recorded in the consolidated financial statements could result in a possible impairment of the intangible assets and goodwill or require acceleration of the amortization expense of finite-lived intangible assets.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Allocations of the purchase price for acquisitions are based on estimates of the fair value of the net assets acquired and are subject to adjustment upon finalization of the purchase price allocation. During this measurement period, we will adjust assets or liabilities if new information is obtained about facts and circumstances that existed as of the acquisition date that, if known, would have resulted in the recognition of those assets and liabilities as of that date. All changes that do not qualify as measurement period adjustments are included in current period earnings.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quarter ended September 30, 2022. For additional information refer to Item 7A of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71" w:lineRule="exact"/>
        <w:rPr>
          <w:sz w:val="20"/>
          <w:szCs w:val="20"/>
          <w:color w:val="auto"/>
        </w:rPr>
      </w:pPr>
    </w:p>
    <w:p>
      <w:pPr>
        <w:ind w:left="400" w:hanging="392"/>
        <w:spacing w:after="0"/>
        <w:tabs>
          <w:tab w:leader="none" w:pos="4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rFonts w:ascii="Times New Roman" w:cs="Times New Roman" w:eastAsia="Times New Roman" w:hAnsi="Times New Roman"/>
          <w:sz w:val="18"/>
          <w:szCs w:val="18"/>
          <w:b w:val="1"/>
          <w:bCs w:val="1"/>
          <w:color w:val="auto"/>
        </w:rPr>
      </w:pPr>
    </w:p>
    <w:p>
      <w:pPr>
        <w:jc w:val="both"/>
        <w:ind w:left="4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2022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September 30, 2022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34"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rFonts w:ascii="Times New Roman" w:cs="Times New Roman" w:eastAsia="Times New Roman" w:hAnsi="Times New Roman"/>
          <w:sz w:val="18"/>
          <w:szCs w:val="18"/>
          <w:b w:val="1"/>
          <w:bCs w:val="1"/>
          <w:color w:val="auto"/>
        </w:rPr>
      </w:pPr>
    </w:p>
    <w:p>
      <w:pPr>
        <w:jc w:val="both"/>
        <w:ind w:left="4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quarter ended September 30, 2022, we completed the acquisition of Manitowoc Ice. As part of our ongoing integration activities associated with the Manitowoc Ice acquisition, we are reviewing the internal controls and procedures of Manitowoc Ice and working to augment our company-wide controls to reflect the risks inherent in the acquisition. There were no other changes in our internal control over financial reporting that occurred during the quarter ended September 30, 2022 that has materially affected, or is reasonably likely to materially affect, our internal control over financial reporting.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claims; claims relating to the use or installation of our products; consumer and consumer protection matters; and employment and labor matters. Refer to “Legal Proceedings” and “Environmental Matters” within </w:t>
      </w:r>
      <w:r>
        <w:rPr>
          <w:rFonts w:ascii="Times New Roman" w:cs="Times New Roman" w:eastAsia="Times New Roman" w:hAnsi="Times New Roman"/>
          <w:sz w:val="18"/>
          <w:szCs w:val="18"/>
          <w:u w:val="single" w:color="auto"/>
          <w:color w:val="0000FF"/>
        </w:rPr>
        <w:t>Note 16 “Commitments and Contingencies”</w:t>
      </w:r>
      <w:r>
        <w:rPr>
          <w:rFonts w:ascii="Times New Roman" w:cs="Times New Roman" w:eastAsia="Times New Roman" w:hAnsi="Times New Roman"/>
          <w:sz w:val="18"/>
          <w:szCs w:val="18"/>
          <w:color w:val="auto"/>
        </w:rPr>
        <w:t xml:space="preserve"> of the condensed consolidated financial statements included within ITEM 1 of Part I of this Form 10-Q for information regarding legal and regulatory proceedings we are involved in.</w:t>
      </w:r>
    </w:p>
    <w:p>
      <w:pPr>
        <w:spacing w:after="0" w:line="3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Annual Report on Form 10-K for the year ended December 31, 2021, except for the additional risk factors relating to the Manitowoc Ice acquisition set forth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the Manitowoc Ice acquisition and any benefit may take longer to realize than we expect.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Manitowoc Ice acquisition will involve the integration of Manitowoc Ice’s operations with our existing operations, and there are uncertainties inherent in such an integration. We will be required to devote significant management attention and resources to integrating Manitowoc Ice’s operations. Delays or unexpected difficulties in the integration process could adversely affect our business, financial results and financial condition. Even if we are able to integrate Manitowoc Ice’s operations successfully, this integration may not result in the realization of the full benefits of revenue synergies, cost savings and operational efficiencies that we expect or the achievement of these benefits within a reasonable period of time or at all.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new risks, known and unknown, relating to the Manitowoc Ice acquisition.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experience risks, losses and damages associated with the Manitowoc Ice acquisition. The risks we could face include the following:</w:t>
      </w:r>
    </w:p>
    <w:p>
      <w:pPr>
        <w:spacing w:after="0" w:line="166" w:lineRule="exact"/>
        <w:rPr>
          <w:sz w:val="20"/>
          <w:szCs w:val="20"/>
          <w:color w:val="auto"/>
        </w:rPr>
      </w:pPr>
    </w:p>
    <w:p>
      <w:pPr>
        <w:jc w:val="both"/>
        <w:ind w:left="660" w:hanging="328"/>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Manitowoc Ice acquisition may lead to the incurrence of costs to review, upgrade and integrate Manitowoc Ice’s systems with our compliance and reporting systems, including our systems of internal control over financial reporting. The process of integrating Manitowoc Ice into our internal control over financial reporting could require significant time and effort from our management and other personnel and could increase our compliance costs; and</w:t>
      </w:r>
    </w:p>
    <w:p>
      <w:pPr>
        <w:spacing w:after="0" w:line="15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Manitowoc Ice acquisition involves the inherent risk of liabilities, and these liabilities may prove more costly or produce more adverse effects than we anticipate, such as actual or potential litigation and regulatory matters. In addition, in the course of the due diligence review of Manitowoc Ice, we may not have discovered, or may have been unable to quantify, undisclosed liabilities of Manitowoc Ice, and we may not be indemnified or have insurance for any of these liabilities. Any such liabilities could have an adverse effect on our business, results of operations, financial condition and cash flows following the completion of the Manitowoc Ice acquisition.</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associated with the Manitowoc Ice acquisition could have a material adverse impact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September 30, 2022, we had $2,448.1 million of total debt on a consolidated basis. Our indebtedness increased materially in connection with our acquisition of Manitowoc Ice, which we funded with borrowings of $1.0 billion under our Term Loan Facility and the net proceeds from the issuance of $400.0 million of 2032 Senior Notes, together with cash on hand and/or borrowings under our revolving credit facility, for an aggregate amount of approximately $1.6 billion of new indebtedness in connection with the Manitowoc Ice acquisition. We and our subsidiaries may incur additional indebtedness in the future and, subject to limitations on the amount of secured indebtedness we may incur without securing the notes and other outstanding debt securities, the indenture that will govern the notes will not restrict us from incurring indebtedness in the future. Future increases in our level of indebtedness will have several important effects on our future operations, including, without limitation:</w:t>
      </w:r>
    </w:p>
    <w:p>
      <w:pPr>
        <w:spacing w:after="0" w:line="148"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additional cash requirements in order to support the payment of interest on our outstanding indebtedness;</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outstanding indebtedness and leverage may increase our vulnerability to adverse changes in general economic and industry conditions, as well as to competitive pressure;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general corporate and other purposes may be reduced;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 and our industry may be reduced;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to make acquisitions and develop technology may be limited.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including the notes, depends upon our future performance, which will be subject to general economic conditions and financial, business and other factors affecting our consolidated operations, many of which are beyond our control. If we are unable to generate sufficient cash flow from operations in the future to service our debt and meet our other cash requirements, we may be required, among other things:</w:t>
      </w:r>
    </w:p>
    <w:p>
      <w:pPr>
        <w:spacing w:after="0" w:line="13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our indebtedness, including the notes;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 or businesses;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or operating expenditures.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and meet our other cash requirements, including the notes. In addition, any such financing, refinancing or sale of assets might not be available at all or on economically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ordinary shares during the third quarter of 2022: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80" w:type="dxa"/>
            <w:vAlign w:val="bottom"/>
          </w:tcPr>
          <w:p>
            <w:pPr>
              <w:spacing w:after="0"/>
              <w:rPr>
                <w:sz w:val="19"/>
                <w:szCs w:val="19"/>
                <w:color w:val="auto"/>
              </w:rPr>
            </w:pPr>
          </w:p>
        </w:tc>
        <w:tc>
          <w:tcPr>
            <w:tcW w:w="16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1660" w:type="dxa"/>
            <w:vAlign w:val="bottom"/>
            <w:vMerge w:val="restart"/>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3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b w:val="1"/>
                <w:bCs w:val="1"/>
                <w:color w:val="auto"/>
              </w:rPr>
              <w:t>Total number of shares   Dollar value of shares that</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23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9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may yet be purchased</w:t>
            </w:r>
          </w:p>
        </w:tc>
        <w:tc>
          <w:tcPr>
            <w:tcW w:w="0" w:type="dxa"/>
            <w:vAlign w:val="bottom"/>
          </w:tcPr>
          <w:p>
            <w:pPr>
              <w:spacing w:after="0"/>
              <w:rPr>
                <w:sz w:val="1"/>
                <w:szCs w:val="1"/>
                <w:color w:val="auto"/>
              </w:rPr>
            </w:pPr>
          </w:p>
        </w:tc>
      </w:tr>
      <w:tr>
        <w:trPr>
          <w:trHeight w:val="176"/>
        </w:trPr>
        <w:tc>
          <w:tcPr>
            <w:tcW w:w="248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60" w:type="dxa"/>
            <w:vAlign w:val="bottom"/>
          </w:tcPr>
          <w:p>
            <w:pPr>
              <w:jc w:val="center"/>
              <w:ind w:left="4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3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9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 the plans or</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5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1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30</w:t>
            </w:r>
          </w:p>
        </w:tc>
        <w:tc>
          <w:tcPr>
            <w:tcW w:w="16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46.17</w:t>
            </w:r>
          </w:p>
        </w:tc>
        <w:tc>
          <w:tcPr>
            <w:tcW w:w="234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600,002,203</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 August 27</w:t>
            </w:r>
          </w:p>
        </w:tc>
        <w:tc>
          <w:tcPr>
            <w:tcW w:w="1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4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48.45</w:t>
            </w:r>
          </w:p>
        </w:tc>
        <w:tc>
          <w:tcPr>
            <w:tcW w:w="23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600,002,203</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28 - September 30</w:t>
            </w:r>
          </w:p>
        </w:tc>
        <w:tc>
          <w:tcPr>
            <w:tcW w:w="16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41.93</w:t>
            </w:r>
          </w:p>
        </w:tc>
        <w:tc>
          <w:tcPr>
            <w:tcW w:w="234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600,002,203</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purchases in this column include 945 shares for the period July 1 - July 30, 444 shares for the period July 31 - August 27 and 1,028 shares for the period August 28 - September 30 deemed surrendered to us by participants in our equity incentive plans to satisfy the exercise price or withholding of tax obligations related to the exercise of stock options and vesting of restricted and performance shares.</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The authorization expires on December 31, 2025. As of September 30, 2022, we had $600.0 million available for share repurchases under this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 to Form 10-Q for the Period Ended September 30, 2022</w:t>
      </w:r>
    </w:p>
    <w:p>
      <w:pPr>
        <w:spacing w:after="0" w:line="337" w:lineRule="exact"/>
        <w:rPr>
          <w:sz w:val="20"/>
          <w:szCs w:val="20"/>
          <w:color w:val="auto"/>
        </w:rPr>
      </w:pPr>
    </w:p>
    <w:p>
      <w:pPr>
        <w:ind w:left="940" w:hanging="793"/>
        <w:spacing w:after="0"/>
        <w:tabs>
          <w:tab w:leader="none" w:pos="940" w:val="left"/>
        </w:tabs>
        <w:numPr>
          <w:ilvl w:val="0"/>
          <w:numId w:val="57"/>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List of Guarantors and Subsidiary Issuers of Guaranteed Securities.</w:t>
      </w:r>
    </w:p>
    <w:p>
      <w:pPr>
        <w:spacing w:after="0" w:line="27" w:lineRule="exact"/>
        <w:rPr>
          <w:rFonts w:ascii="Times New Roman" w:cs="Times New Roman" w:eastAsia="Times New Roman" w:hAnsi="Times New Roman"/>
          <w:sz w:val="18"/>
          <w:szCs w:val="18"/>
          <w:b w:val="1"/>
          <w:bCs w:val="1"/>
          <w:u w:val="single" w:color="auto"/>
          <w:color w:val="0000FF"/>
        </w:rPr>
      </w:pPr>
    </w:p>
    <w:p>
      <w:pPr>
        <w:ind w:left="140"/>
        <w:spacing w:after="0"/>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31.1</w:t>
      </w:r>
      <w:r>
        <w:rPr>
          <w:rFonts w:ascii="Times New Roman" w:cs="Times New Roman" w:eastAsia="Times New Roman" w:hAnsi="Times New Roman"/>
          <w:sz w:val="17"/>
          <w:szCs w:val="17"/>
          <w:color w:val="auto"/>
        </w:rPr>
        <w:t>Certification of Chief Executive Officer.</w:t>
      </w:r>
    </w:p>
    <w:p>
      <w:pPr>
        <w:spacing w:after="0" w:line="22" w:lineRule="exact"/>
        <w:rPr>
          <w:rFonts w:ascii="Times New Roman" w:cs="Times New Roman" w:eastAsia="Times New Roman" w:hAnsi="Times New Roman"/>
          <w:sz w:val="18"/>
          <w:szCs w:val="18"/>
          <w:b w:val="1"/>
          <w:bCs w:val="1"/>
          <w:u w:val="single" w:color="auto"/>
          <w:color w:val="0000FF"/>
        </w:rPr>
      </w:pPr>
    </w:p>
    <w:p>
      <w:pPr>
        <w:ind w:left="140"/>
        <w:spacing w:after="0"/>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31.2</w:t>
      </w:r>
      <w:r>
        <w:rPr>
          <w:rFonts w:ascii="Times New Roman" w:cs="Times New Roman" w:eastAsia="Times New Roman" w:hAnsi="Times New Roman"/>
          <w:sz w:val="17"/>
          <w:szCs w:val="17"/>
          <w:color w:val="auto"/>
        </w:rPr>
        <w:t>Certification of Chief Financial Officer.</w:t>
      </w:r>
    </w:p>
    <w:p>
      <w:pPr>
        <w:spacing w:after="0" w:line="23" w:lineRule="exact"/>
        <w:rPr>
          <w:sz w:val="20"/>
          <w:szCs w:val="20"/>
          <w:color w:val="auto"/>
        </w:rPr>
      </w:pPr>
    </w:p>
    <w:p>
      <w:pPr>
        <w:ind w:left="940" w:hanging="782"/>
        <w:spacing w:after="0" w:line="234" w:lineRule="auto"/>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32.2</w:t>
      </w:r>
      <w:r>
        <w:rPr>
          <w:sz w:val="20"/>
          <w:szCs w:val="20"/>
          <w:color w:val="auto"/>
        </w:rPr>
        <w:tab/>
      </w:r>
      <w:r>
        <w:rPr>
          <w:rFonts w:ascii="Times New Roman" w:cs="Times New Roman" w:eastAsia="Times New Roman" w:hAnsi="Times New Roman"/>
          <w:sz w:val="17"/>
          <w:szCs w:val="17"/>
          <w:color w:val="auto"/>
        </w:rPr>
        <w:t>Certification of Chief Financial Officer, Pursuant to 18 U.S.C. Section 1350, as Adopted Pursuant to Section 906 of the Sarbanes-Oxley Act of</w:t>
      </w:r>
    </w:p>
    <w:p>
      <w:pPr>
        <w:ind w:left="940"/>
        <w:spacing w:after="0"/>
        <w:rPr>
          <w:sz w:val="20"/>
          <w:szCs w:val="20"/>
          <w:color w:val="auto"/>
        </w:rPr>
      </w:pPr>
      <w:r>
        <w:rPr>
          <w:rFonts w:ascii="Times New Roman" w:cs="Times New Roman" w:eastAsia="Times New Roman" w:hAnsi="Times New Roman"/>
          <w:sz w:val="18"/>
          <w:szCs w:val="18"/>
          <w:color w:val="auto"/>
        </w:rPr>
        <w:t>2002.</w:t>
      </w:r>
    </w:p>
    <w:p>
      <w:pPr>
        <w:spacing w:after="0" w:line="16" w:lineRule="exact"/>
        <w:rPr>
          <w:sz w:val="20"/>
          <w:szCs w:val="20"/>
          <w:color w:val="auto"/>
        </w:rPr>
      </w:pPr>
    </w:p>
    <w:p>
      <w:pPr>
        <w:jc w:val="both"/>
        <w:ind w:left="940" w:hanging="793"/>
        <w:spacing w:after="0" w:line="217" w:lineRule="auto"/>
        <w:tabs>
          <w:tab w:leader="none" w:pos="9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materials from Pentair plc’s Quarterly Report on Form 10-Q for the quarter ended September 30, 2022 are filed herewith, formatted in iXBRL (Inline Extensible Business Reporting Language): (i) the Condensed Consolidated Statements of Operations and Comprehensive Income for the three and nine months ended September 30, 2022 and 2021, (ii) the Condensed Consolidated Balance Sheets as of September 30, 2022 and December 31, 2021, (iii) the Condensed Consolidated Statements of Cash Flows for the nine months ended September 30, 2022 and 2021, (iv) the Condensed Consolidated Statements of Changes in Equity for the three and nine months ended September 30, 2022 and 2021, and (v) Notes to Condensed Consolidated Financial Statements. The instance document does not appear in the interactive data file because its XBRL tags are embedded within the Inline XBRL document.</w:t>
      </w:r>
    </w:p>
    <w:p>
      <w:pPr>
        <w:spacing w:after="0" w:line="4" w:lineRule="exact"/>
        <w:rPr>
          <w:sz w:val="20"/>
          <w:szCs w:val="20"/>
          <w:color w:val="auto"/>
        </w:rPr>
      </w:pPr>
    </w:p>
    <w:p>
      <w:pPr>
        <w:ind w:left="940" w:hanging="793"/>
        <w:spacing w:after="0"/>
        <w:tabs>
          <w:tab w:leader="none" w:pos="9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62"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October 25, 2022.</w:t>
      </w:r>
    </w:p>
    <w:p>
      <w:pPr>
        <w:spacing w:after="0" w:line="200" w:lineRule="exact"/>
        <w:rPr>
          <w:sz w:val="20"/>
          <w:szCs w:val="20"/>
          <w:color w:val="auto"/>
        </w:rPr>
      </w:pPr>
    </w:p>
    <w:p>
      <w:pPr>
        <w:spacing w:after="0" w:line="34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721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Robert P. Fishman</w:t>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p>
      <w:pPr>
        <w:ind w:left="67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1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Guarantors and Subsidiary Issuers of Guaranteed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guarantors of the 4.650% Senior Notes due 2025, 4.500% Senior Notes due 2029 and 5.900% Senior Notes due 2032 issued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Pentair Finance S.à r.l., which is a wholly-owned subsidiary of Pentair plc:</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Guarantor</w:t>
            </w:r>
          </w:p>
        </w:tc>
        <w:tc>
          <w:tcPr>
            <w:tcW w:w="6260" w:type="dxa"/>
            <w:vAlign w:val="bottom"/>
            <w:tcBorders>
              <w:bottom w:val="single" w:sz="8" w:color="auto"/>
            </w:tcBorders>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Pentair plc</w:t>
            </w:r>
          </w:p>
        </w:tc>
        <w:tc>
          <w:tcPr>
            <w:tcW w:w="62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7"/>
              </w:rPr>
              <w:t>Ireland</w:t>
            </w:r>
          </w:p>
        </w:tc>
      </w:tr>
    </w:tbl>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2022</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2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2022</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September 30, 2022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2022</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September 30, 2022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07" w:lineRule="exact"/>
        <w:rPr>
          <w:sz w:val="20"/>
          <w:szCs w:val="20"/>
          <w:color w:val="auto"/>
        </w:rPr>
      </w:pPr>
    </w:p>
    <w:p>
      <w:pPr>
        <w:ind w:left="720" w:hanging="388"/>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2022</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2"/>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3"/>
    </w:lvl>
  </w:abstractNum>
  <w:abstractNum w:abstractNumId="6">
    <w:nsid w:val="5577F8E1"/>
    <w:multiLevelType w:val="hybridMultilevel"/>
    <w:lvl w:ilvl="0">
      <w:lvlJc w:val="left"/>
      <w:lvlText w:val="%1."/>
      <w:numFmt w:val="decimal"/>
      <w:start w:val="4"/>
    </w:lvl>
  </w:abstractNum>
  <w:abstractNum w:abstractNumId="7">
    <w:nsid w:val="440BADFC"/>
    <w:multiLevelType w:val="hybridMultilevel"/>
    <w:lvl w:ilvl="0">
      <w:lvlJc w:val="left"/>
      <w:lvlText w:val="%1."/>
      <w:numFmt w:val="decimal"/>
      <w:start w:val="5"/>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6"/>
    </w:lvl>
  </w:abstractNum>
  <w:abstractNum w:abstractNumId="10">
    <w:nsid w:val="77465F01"/>
    <w:multiLevelType w:val="hybridMultilevel"/>
    <w:lvl w:ilvl="0">
      <w:lvlJc w:val="left"/>
      <w:lvlText w:val="%1."/>
      <w:numFmt w:val="decimal"/>
      <w:start w:val="7"/>
    </w:lvl>
  </w:abstractNum>
  <w:abstractNum w:abstractNumId="11">
    <w:nsid w:val="7724C67E"/>
    <w:multiLevelType w:val="hybridMultilevel"/>
    <w:lvl w:ilvl="0">
      <w:lvlJc w:val="left"/>
      <w:lvlText w:val="%1."/>
      <w:numFmt w:val="decimal"/>
      <w:start w:val="8"/>
    </w:lvl>
  </w:abstractNum>
  <w:abstractNum w:abstractNumId="12">
    <w:nsid w:val="5C482A97"/>
    <w:multiLevelType w:val="hybridMultilevel"/>
    <w:lvl w:ilvl="0">
      <w:lvlJc w:val="left"/>
      <w:lvlText w:val="%1."/>
      <w:numFmt w:val="decimal"/>
      <w:start w:val="9"/>
    </w:lvl>
  </w:abstractNum>
  <w:abstractNum w:abstractNumId="13">
    <w:nsid w:val="2463B9EA"/>
    <w:multiLevelType w:val="hybridMultilevel"/>
    <w:lvl w:ilvl="0">
      <w:lvlJc w:val="left"/>
      <w:lvlText w:val="%1."/>
      <w:numFmt w:val="decimal"/>
      <w:start w:val="10"/>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1"/>
    </w:lvl>
  </w:abstractNum>
  <w:abstractNum w:abstractNumId="16">
    <w:nsid w:val="2D517796"/>
    <w:multiLevelType w:val="hybridMultilevel"/>
    <w:lvl w:ilvl="0">
      <w:lvlJc w:val="left"/>
      <w:lvlText w:val="•"/>
      <w:numFmt w:val="bullet"/>
      <w:start w:val="1"/>
    </w:lvl>
    <w:lvl w:ilvl="1">
      <w:lvlJc w:val="left"/>
      <w:lvlText w:val="•"/>
      <w:numFmt w:val="bullet"/>
      <w:start w:val="1"/>
    </w:lvl>
  </w:abstractNum>
  <w:abstractNum w:abstractNumId="17">
    <w:nsid w:val="580BD78F"/>
    <w:multiLevelType w:val="hybridMultilevel"/>
    <w:lvl w:ilvl="0">
      <w:lvlJc w:val="left"/>
      <w:lvlText w:val="%1."/>
      <w:numFmt w:val="decimal"/>
      <w:start w:val="12"/>
    </w:lvl>
  </w:abstractNum>
  <w:abstractNum w:abstractNumId="18">
    <w:nsid w:val="153EA438"/>
    <w:multiLevelType w:val="hybridMultilevel"/>
    <w:lvl w:ilvl="0">
      <w:lvlJc w:val="left"/>
      <w:lvlText w:val="%1."/>
      <w:numFmt w:val="decimal"/>
      <w:start w:val="13"/>
    </w:lvl>
  </w:abstractNum>
  <w:abstractNum w:abstractNumId="19">
    <w:nsid w:val="3855585C"/>
    <w:multiLevelType w:val="hybridMultilevel"/>
    <w:lvl w:ilvl="0">
      <w:lvlJc w:val="left"/>
      <w:lvlText w:val="%1."/>
      <w:numFmt w:val="decimal"/>
      <w:start w:val="14"/>
    </w:lvl>
  </w:abstractNum>
  <w:abstractNum w:abstractNumId="20">
    <w:nsid w:val="70A64E2A"/>
    <w:multiLevelType w:val="hybridMultilevel"/>
    <w:lvl w:ilvl="0">
      <w:lvlJc w:val="left"/>
      <w:lvlText w:val="%1."/>
      <w:numFmt w:val="decimal"/>
      <w:start w:val="15"/>
    </w:lvl>
  </w:abstractNum>
  <w:abstractNum w:abstractNumId="21">
    <w:nsid w:val="6A2342EC"/>
    <w:multiLevelType w:val="hybridMultilevel"/>
    <w:lvl w:ilvl="0">
      <w:lvlJc w:val="left"/>
      <w:lvlText w:val="%1."/>
      <w:numFmt w:val="decimal"/>
      <w:start w:val="16"/>
    </w:lvl>
  </w:abstractNum>
  <w:abstractNum w:abstractNumId="22">
    <w:nsid w:val="2A487CB0"/>
    <w:multiLevelType w:val="hybridMultilevel"/>
    <w:lvl w:ilvl="0">
      <w:lvlJc w:val="left"/>
      <w:lvlText w:val="&amp;"/>
      <w:numFmt w:val="bullet"/>
      <w:start w:val="1"/>
    </w:lvl>
    <w:lvl w:ilvl="1">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lvl w:ilvl="1">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decimal"/>
      <w:start w:val="22"/>
    </w:lvl>
  </w:abstractNum>
  <w:abstractNum w:abstractNumId="57">
    <w:nsid w:val="D34B6A8"/>
    <w:multiLevelType w:val="hybridMultilevel"/>
    <w:lvl w:ilvl="0">
      <w:lvlJc w:val="left"/>
      <w:lvlText w:val="%1"/>
      <w:numFmt w:val="decimal"/>
      <w:start w:val="101"/>
    </w:lvl>
  </w:abstractNum>
  <w:abstractNum w:abstractNumId="58">
    <w:nsid w:val="10233C99"/>
    <w:multiLevelType w:val="hybridMultilevel"/>
    <w:lvl w:ilvl="0">
      <w:lvlJc w:val="left"/>
      <w:lvlText w:val="%1"/>
      <w:numFmt w:val="decimal"/>
      <w:start w:val="104"/>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2022-10-25T16:37:11Z</dcterms:created>
  <dcterms:modified xsi:type="dcterms:W3CDTF">2022-10-25T16:37:11Z</dcterms:modified>
</cp:coreProperties>
</file>